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000000"/>
          <w:sz w:val="36"/>
          <w:szCs w:val="36"/>
        </w:rPr>
        <w:t>广西医科大学第一附属医院临床生物样本库</w:t>
      </w:r>
    </w:p>
    <w:p>
      <w:pPr>
        <w:snapToGrid w:val="0"/>
        <w:spacing w:line="520" w:lineRule="exact"/>
        <w:jc w:val="center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000000"/>
          <w:sz w:val="36"/>
          <w:szCs w:val="36"/>
        </w:rPr>
        <w:t>样本入库申请单</w:t>
      </w:r>
    </w:p>
    <w:p>
      <w:pPr>
        <w:snapToGrid w:val="0"/>
        <w:spacing w:line="520" w:lineRule="exact"/>
        <w:jc w:val="right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编号：入库-</w:t>
      </w:r>
    </w:p>
    <w:tbl>
      <w:tblPr>
        <w:tblStyle w:val="6"/>
        <w:tblW w:w="9451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784"/>
        <w:gridCol w:w="654"/>
        <w:gridCol w:w="148"/>
        <w:gridCol w:w="982"/>
        <w:gridCol w:w="694"/>
        <w:gridCol w:w="76"/>
        <w:gridCol w:w="101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15" w:type="dxa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  <w:t>申请人姓名</w:t>
            </w:r>
          </w:p>
        </w:tc>
        <w:tc>
          <w:tcPr>
            <w:tcW w:w="2438" w:type="dxa"/>
            <w:gridSpan w:val="2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申请日期</w:t>
            </w:r>
          </w:p>
        </w:tc>
        <w:tc>
          <w:tcPr>
            <w:tcW w:w="2874" w:type="dxa"/>
            <w:gridSpan w:val="3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15" w:type="dxa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科室</w:t>
            </w:r>
          </w:p>
        </w:tc>
        <w:tc>
          <w:tcPr>
            <w:tcW w:w="2438" w:type="dxa"/>
            <w:gridSpan w:val="2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申请人电话</w:t>
            </w:r>
          </w:p>
        </w:tc>
        <w:tc>
          <w:tcPr>
            <w:tcW w:w="2874" w:type="dxa"/>
            <w:gridSpan w:val="3"/>
          </w:tcPr>
          <w:p>
            <w:pPr>
              <w:pStyle w:val="11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15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联络人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联络人电话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5" w:type="dxa"/>
            <w:vMerge w:val="restart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样本信息</w:t>
            </w:r>
          </w:p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（样本类型见须知）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病种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样本类型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数量（管数）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储存时限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78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7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315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拟存储样本依托的课题名称</w:t>
            </w:r>
          </w:p>
        </w:tc>
        <w:tc>
          <w:tcPr>
            <w:tcW w:w="7136" w:type="dxa"/>
            <w:gridSpan w:val="8"/>
            <w:vAlign w:val="center"/>
          </w:tcPr>
          <w:p>
            <w:pPr>
              <w:pStyle w:val="11"/>
              <w:jc w:val="both"/>
              <w:rPr>
                <w:rFonts w:ascii="仿宋" w:hAnsi="仿宋" w:eastAsia="仿宋" w:cstheme="minorBidi"/>
                <w:kern w:val="2"/>
              </w:rPr>
            </w:pPr>
            <w:r>
              <w:rPr>
                <w:rFonts w:ascii="仿宋" w:hAnsi="仿宋" w:eastAsia="仿宋" w:cs="Wingdings 2"/>
                <w:sz w:val="28"/>
                <w:szCs w:val="28"/>
              </w:rPr>
              <w:t>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15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</w:rPr>
              <w:t>立项来源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pStyle w:val="11"/>
              <w:jc w:val="both"/>
              <w:rPr>
                <w:rFonts w:ascii="仿宋" w:hAnsi="仿宋" w:eastAsia="仿宋" w:cs="Wingdings 2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pStyle w:val="11"/>
              <w:jc w:val="both"/>
              <w:rPr>
                <w:rFonts w:ascii="仿宋" w:hAnsi="仿宋" w:eastAsia="仿宋" w:cs="Wingdings 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Wingdings 2"/>
                <w:b/>
                <w:sz w:val="28"/>
                <w:szCs w:val="28"/>
              </w:rPr>
              <w:t>立项编号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pStyle w:val="11"/>
              <w:jc w:val="both"/>
              <w:rPr>
                <w:rFonts w:ascii="仿宋" w:hAnsi="仿宋" w:eastAsia="仿宋" w:cs="Wingdings 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15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申请人声明</w:t>
            </w:r>
          </w:p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及意见</w:t>
            </w:r>
          </w:p>
        </w:tc>
        <w:tc>
          <w:tcPr>
            <w:tcW w:w="7136" w:type="dxa"/>
            <w:gridSpan w:val="8"/>
            <w:vAlign w:val="center"/>
          </w:tcPr>
          <w:p>
            <w:pPr>
              <w:snapToGrid w:val="0"/>
              <w:spacing w:line="312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本人声明上述信息真实，同意入库。并保证入库的样本：</w:t>
            </w:r>
          </w:p>
          <w:p>
            <w:pPr>
              <w:snapToGrid w:val="0"/>
              <w:spacing w:line="312" w:lineRule="auto"/>
              <w:ind w:firstLine="120" w:firstLineChars="50"/>
              <w:rPr>
                <w:rFonts w:ascii="仿宋" w:hAnsi="仿宋" w:eastAsia="仿宋" w:cs="MS Mincho"/>
                <w:sz w:val="24"/>
                <w:szCs w:val="24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>□ 患者已签署样本采集知情同意书；</w:t>
            </w:r>
          </w:p>
          <w:p>
            <w:pPr>
              <w:snapToGrid w:val="0"/>
              <w:spacing w:line="312" w:lineRule="auto"/>
              <w:ind w:firstLine="120" w:firstLineChars="50"/>
              <w:rPr>
                <w:rFonts w:ascii="仿宋" w:hAnsi="仿宋" w:eastAsia="仿宋" w:cs="MS Mincho"/>
                <w:sz w:val="24"/>
                <w:szCs w:val="24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>□ 已核查样本所属患者的病史，无携带三类传染病（详见须知）；</w:t>
            </w:r>
          </w:p>
          <w:p>
            <w:pPr>
              <w:snapToGrid w:val="0"/>
              <w:spacing w:line="312" w:lineRule="auto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符合国家相关法律法规要求并仅用于医学科学研究；</w:t>
            </w:r>
          </w:p>
          <w:p>
            <w:pPr>
              <w:snapToGrid w:val="0"/>
              <w:spacing w:line="312" w:lineRule="auto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不会转让第三者或另作他用；</w:t>
            </w:r>
          </w:p>
          <w:p>
            <w:pPr>
              <w:snapToGrid w:val="0"/>
              <w:spacing w:line="312" w:lineRule="auto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保护患者信息，不会对外泄漏患者隐私、疾病诊疗等信息。</w:t>
            </w:r>
          </w:p>
          <w:p>
            <w:pPr>
              <w:snapToGrid w:val="0"/>
              <w:spacing w:line="312" w:lineRule="auto"/>
              <w:ind w:firstLine="120" w:firstLineChars="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>□ 如有隐瞒、伪造等行为造成生物安全危害，自愿接受医院相关规定的惩罚。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95" w:afterLines="30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15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课题负责人意见</w:t>
            </w:r>
          </w:p>
        </w:tc>
        <w:tc>
          <w:tcPr>
            <w:tcW w:w="7136" w:type="dxa"/>
            <w:gridSpan w:val="8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</w:t>
            </w:r>
            <w:r>
              <w:rPr>
                <w:rFonts w:hint="eastAsia" w:ascii="仿宋" w:hAnsi="仿宋" w:eastAsia="仿宋" w:cs="Wingdings 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不同意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签名：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15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样本库意见</w:t>
            </w:r>
          </w:p>
        </w:tc>
        <w:tc>
          <w:tcPr>
            <w:tcW w:w="7136" w:type="dxa"/>
            <w:gridSpan w:val="8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</w:t>
            </w:r>
            <w:r>
              <w:rPr>
                <w:rFonts w:hint="eastAsia" w:ascii="仿宋" w:hAnsi="仿宋" w:eastAsia="仿宋" w:cs="Wingdings 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不同意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315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学科建设办公室意见</w:t>
            </w:r>
          </w:p>
        </w:tc>
        <w:tc>
          <w:tcPr>
            <w:tcW w:w="7136" w:type="dxa"/>
            <w:gridSpan w:val="8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仿宋" w:hAnsi="仿宋" w:eastAsia="仿宋" w:cs="Wingdings 2"/>
                <w:sz w:val="28"/>
                <w:szCs w:val="28"/>
              </w:rPr>
              <w:t></w:t>
            </w:r>
            <w:r>
              <w:rPr>
                <w:rFonts w:hint="eastAsia" w:ascii="仿宋" w:hAnsi="仿宋" w:eastAsia="仿宋" w:cs="Wingdings 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MS Minch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不同意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主任签名：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tbl>
      <w:tblPr>
        <w:tblStyle w:val="7"/>
        <w:tblpPr w:leftFromText="180" w:rightFromText="180" w:vertAnchor="text" w:tblpX="10214" w:tblpY="-11940"/>
        <w:tblOverlap w:val="never"/>
        <w:tblW w:w="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4" w:type="dxa"/>
          </w:tcPr>
          <w:p/>
        </w:tc>
      </w:tr>
    </w:tbl>
    <w:tbl>
      <w:tblPr>
        <w:tblStyle w:val="6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1526" w:type="dxa"/>
            <w:vAlign w:val="center"/>
          </w:tcPr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</w:t>
            </w:r>
          </w:p>
          <w:p>
            <w:pPr>
              <w:pStyle w:val="11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须知</w:t>
            </w:r>
          </w:p>
        </w:tc>
        <w:tc>
          <w:tcPr>
            <w:tcW w:w="6935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样本类别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全血、血浆、血清、白膜层、组织、尿液、大便、唾液、核酸、蛋白、肺泡灌洗液等；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2.三类传染病分类：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甲类疾病（2种）：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霍乱、鼠疫；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乙类疾病（26种）：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新冠肺炎（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COVID-19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）、传染性非典型肺炎（SARS）、艾滋病、病毒性肝炎、脊髓灰质炎、人感染高致病性禽流感、麻疹、流行性出血热、狂犬病、流行性乙型脑炎、登革热、炭疽、细菌性和阿米巴痢疾、</w:t>
            </w:r>
            <w:r>
              <w:fldChar w:fldCharType="begin"/>
            </w:r>
            <w:r>
              <w:instrText xml:space="preserve"> HYPERLINK "https://www.med66.com/jibing/feijiehe/" \t "_blank" \o "肺结核"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肺结核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、伤寒和副伤寒、流行性脑脊髓膜炎、百日咳、白喉、新生儿破伤风、猩红热、布鲁菌病、淋病、梅毒、钩端螺旋体病、人感染H7N9禽流感、血吸虫病，疟疾等。</w:t>
            </w:r>
          </w:p>
          <w:p>
            <w:pPr>
              <w:pStyle w:val="5"/>
              <w:snapToGrid w:val="0"/>
              <w:spacing w:before="0" w:beforeAutospacing="0" w:after="0" w:afterAutospacing="0" w:line="360" w:lineRule="auto"/>
              <w:rPr>
                <w:rFonts w:ascii="仿宋" w:hAnsi="仿宋" w:eastAsia="仿宋" w:cstheme="minorBidi"/>
                <w:color w:val="000000"/>
                <w:kern w:val="2"/>
              </w:rPr>
            </w:pPr>
            <w:r>
              <w:rPr>
                <w:rFonts w:hint="eastAsia" w:ascii="仿宋" w:hAnsi="仿宋" w:eastAsia="仿宋" w:cstheme="minorBidi"/>
                <w:b/>
                <w:color w:val="000000"/>
                <w:kern w:val="2"/>
              </w:rPr>
              <w:t>丙类疾病（12种）：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</w:rPr>
              <w:t>甲型H1N1流感、流行性</w:t>
            </w:r>
            <w:r>
              <w:fldChar w:fldCharType="begin"/>
            </w:r>
            <w:r>
              <w:instrText xml:space="preserve"> HYPERLINK "https://www.med66.com/jibing/ganmao/" \t "_blank" \o "感冒" </w:instrText>
            </w:r>
            <w:r>
              <w:fldChar w:fldCharType="separate"/>
            </w:r>
            <w:r>
              <w:rPr>
                <w:rFonts w:hint="eastAsia" w:ascii="仿宋" w:hAnsi="仿宋" w:eastAsia="仿宋" w:cstheme="minorBidi"/>
                <w:color w:val="000000"/>
                <w:kern w:val="2"/>
              </w:rPr>
              <w:t>感冒</w:t>
            </w:r>
            <w:r>
              <w:rPr>
                <w:rFonts w:hint="eastAsia" w:ascii="仿宋" w:hAnsi="仿宋" w:eastAsia="仿宋" w:cstheme="minorBidi"/>
                <w:color w:val="000000"/>
                <w:kern w:val="2"/>
              </w:rPr>
              <w:fldChar w:fldCharType="end"/>
            </w:r>
            <w:r>
              <w:rPr>
                <w:rFonts w:hint="eastAsia" w:ascii="仿宋" w:hAnsi="仿宋" w:eastAsia="仿宋" w:cstheme="minorBidi"/>
                <w:color w:val="000000"/>
                <w:kern w:val="2"/>
              </w:rPr>
              <w:t>、流行性腮腺炎、风疹、丝虫病、包虫病、急性出血性结膜炎、麻风病、流行性和地方性斑疹伤寒、黑热病，以及除霍乱、细菌性和阿米巴性痢疾、伤寒和副伤寒以外的感染性腹泻、手足口病等。</w:t>
            </w:r>
          </w:p>
          <w:p>
            <w:pPr>
              <w:pStyle w:val="5"/>
              <w:snapToGrid w:val="0"/>
              <w:spacing w:before="0" w:beforeAutospacing="0" w:after="0" w:afterAutospacing="0" w:line="360" w:lineRule="auto"/>
              <w:rPr>
                <w:rFonts w:ascii="仿宋" w:hAnsi="仿宋" w:eastAsia="仿宋" w:cstheme="minorBidi"/>
                <w:b/>
                <w:color w:val="000000"/>
                <w:kern w:val="2"/>
              </w:rPr>
            </w:pPr>
            <w:r>
              <w:rPr>
                <w:rFonts w:hint="eastAsia" w:ascii="仿宋" w:hAnsi="仿宋" w:eastAsia="仿宋" w:cstheme="minorBidi"/>
                <w:b/>
                <w:color w:val="000000"/>
                <w:kern w:val="2"/>
              </w:rPr>
              <w:t>3.所有样本原则上只能申请</w:t>
            </w:r>
            <w:r>
              <w:rPr>
                <w:rFonts w:ascii="仿宋" w:hAnsi="仿宋" w:eastAsia="仿宋" w:cstheme="minorBidi"/>
                <w:b/>
                <w:color w:val="000000"/>
                <w:kern w:val="2"/>
              </w:rPr>
              <w:t>储存</w:t>
            </w:r>
            <w:r>
              <w:rPr>
                <w:rFonts w:hint="eastAsia" w:ascii="仿宋" w:hAnsi="仿宋" w:eastAsia="仿宋" w:cstheme="minorBidi"/>
                <w:b/>
                <w:color w:val="000000"/>
                <w:kern w:val="2"/>
              </w:rPr>
              <w:t>时限不超过5年。</w:t>
            </w:r>
          </w:p>
          <w:p>
            <w:pPr>
              <w:pStyle w:val="5"/>
              <w:snapToGrid w:val="0"/>
              <w:spacing w:before="0" w:beforeAutospacing="0" w:after="0" w:afterAutospacing="0" w:line="360" w:lineRule="auto"/>
              <w:rPr>
                <w:rFonts w:ascii="仿宋" w:hAnsi="仿宋" w:eastAsia="仿宋" w:cstheme="minorBidi"/>
                <w:color w:val="000000"/>
                <w:kern w:val="2"/>
              </w:rPr>
            </w:pPr>
            <w:r>
              <w:rPr>
                <w:rFonts w:hint="eastAsia" w:ascii="仿宋" w:hAnsi="仿宋" w:eastAsia="仿宋" w:cstheme="minorBidi"/>
                <w:b/>
                <w:color w:val="000000"/>
                <w:kern w:val="2"/>
              </w:rPr>
              <w:t>4.</w:t>
            </w:r>
            <w:r>
              <w:rPr>
                <w:rFonts w:hint="eastAsia" w:ascii="仿宋" w:hAnsi="仿宋" w:eastAsia="仿宋"/>
                <w:b/>
                <w:color w:val="000000"/>
              </w:rPr>
              <w:t>入库流程：</w:t>
            </w:r>
            <w:r>
              <w:rPr>
                <w:rFonts w:hint="eastAsia" w:ascii="仿宋" w:hAnsi="仿宋" w:eastAsia="仿宋"/>
                <w:color w:val="000000"/>
              </w:rPr>
              <w:t>本入库申请表审批同意→申请人到临床生物样本库（住院大楼17楼）领取相应冻存管→发送《样本入库基本信息登记表》电子版至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fldChar w:fldCharType="begin"/>
            </w:r>
            <w:r>
              <w:instrText xml:space="preserve"> HYPERLINK "mailto:yfybiobank@163.com"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</w:rPr>
              <w:t>yfybiobank@163.com</w:t>
            </w:r>
            <w:r>
              <w:rPr>
                <w:rFonts w:ascii="仿宋" w:hAnsi="仿宋" w:eastAsia="仿宋"/>
                <w:color w:val="000000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</w:rPr>
              <w:t>→储存样本。</w:t>
            </w:r>
          </w:p>
          <w:p>
            <w:pPr>
              <w:tabs>
                <w:tab w:val="left" w:pos="720"/>
              </w:tabs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5.下载附件：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（1）样本入库基本信息登记表；（2）样本存储须知。</w:t>
            </w:r>
          </w:p>
          <w:p>
            <w:pPr>
              <w:tabs>
                <w:tab w:val="left" w:pos="720"/>
              </w:tabs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6.样本入库储存时间：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正常上班时间上午8:00-12:00，下午15:00-18:00；非上班时间或节假日需提前电话咨询，电话：0771-5782749。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地址：住院部17层（4号货梯直达或大厅乘坐电梯至19层血液内科，进入病房往左走至尽头消防安全通道走楼梯至17层）。</w:t>
            </w:r>
          </w:p>
          <w:p>
            <w:pPr>
              <w:tabs>
                <w:tab w:val="left" w:pos="720"/>
              </w:tabs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60" w:lineRule="auto"/>
              <w:rPr>
                <w:b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  <w:r>
      <w:rPr>
        <w:rFonts w:hint="eastAsia"/>
      </w:rPr>
      <w:t>版本号：ybk-rk-02</w:t>
    </w:r>
    <w:r>
      <w:ptab w:relativeTo="margin" w:alignment="right" w:leader="none"/>
    </w:r>
    <w:r>
      <w:rPr>
        <w:rFonts w:hint="eastAsia" w:asciiTheme="minorEastAsia" w:hAnsiTheme="minorEastAsia"/>
      </w:rPr>
      <w:t>版本日期：</w:t>
    </w:r>
    <w:r>
      <w:rPr>
        <w:rFonts w:asciiTheme="minorEastAsia" w:hAnsiTheme="minorEastAsia"/>
      </w:rPr>
      <w:t>20</w:t>
    </w:r>
    <w:r>
      <w:rPr>
        <w:rFonts w:hint="eastAsia" w:asciiTheme="minorEastAsia" w:hAnsiTheme="minorEastAsia"/>
      </w:rPr>
      <w:t>21</w:t>
    </w:r>
    <w:r>
      <w:rPr>
        <w:rFonts w:asciiTheme="minorEastAsia" w:hAnsiTheme="minorEastAsia"/>
      </w:rPr>
      <w:t>-0</w:t>
    </w:r>
    <w:r>
      <w:rPr>
        <w:rFonts w:hint="eastAsia" w:asciiTheme="minorEastAsia" w:hAnsiTheme="minorEastAsia"/>
      </w:rPr>
      <w:t>4-28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9C"/>
    <w:rsid w:val="00087D34"/>
    <w:rsid w:val="00147BC4"/>
    <w:rsid w:val="00214F2D"/>
    <w:rsid w:val="00292BAA"/>
    <w:rsid w:val="002E3504"/>
    <w:rsid w:val="00306379"/>
    <w:rsid w:val="003D0A28"/>
    <w:rsid w:val="00457706"/>
    <w:rsid w:val="00487AD4"/>
    <w:rsid w:val="00537965"/>
    <w:rsid w:val="00564C9C"/>
    <w:rsid w:val="0057778C"/>
    <w:rsid w:val="0060319F"/>
    <w:rsid w:val="007F7B68"/>
    <w:rsid w:val="00851888"/>
    <w:rsid w:val="0087299E"/>
    <w:rsid w:val="008F1756"/>
    <w:rsid w:val="00927685"/>
    <w:rsid w:val="00985664"/>
    <w:rsid w:val="00A701F5"/>
    <w:rsid w:val="00B171A7"/>
    <w:rsid w:val="00B40BB3"/>
    <w:rsid w:val="00B44295"/>
    <w:rsid w:val="00B44368"/>
    <w:rsid w:val="00C04224"/>
    <w:rsid w:val="00C264B4"/>
    <w:rsid w:val="00DD2545"/>
    <w:rsid w:val="00E55833"/>
    <w:rsid w:val="00F57865"/>
    <w:rsid w:val="26006915"/>
    <w:rsid w:val="2F504906"/>
    <w:rsid w:val="3E0808C0"/>
    <w:rsid w:val="51786375"/>
    <w:rsid w:val="57E276EE"/>
    <w:rsid w:val="62B17468"/>
    <w:rsid w:val="75411C1C"/>
    <w:rsid w:val="7C4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2021-04-21T09:35:00Z</dcterms:created>
  <dc:creator>33</dc:creator>
  <cp:lastModifiedBy>TRY</cp:lastModifiedBy>
  <cp:lastPrinted>2019-03-14T02:13:00Z</cp:lastPrinted>
  <dcterms:modified xsi:type="dcterms:W3CDTF">2021-08-17T08:26:12Z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A18D784139794579B32335D15255545C</vt:lpwstr>
  </property>
</Properties>
</file>