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060B5">
      <w:pPr>
        <w:tabs>
          <w:tab w:val="left" w:pos="315"/>
          <w:tab w:val="center" w:pos="4153"/>
        </w:tabs>
        <w:spacing w:line="360" w:lineRule="auto"/>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因公出国（境）服务采购需求</w:t>
      </w:r>
    </w:p>
    <w:p w14:paraId="32C44C84">
      <w:pPr>
        <w:pStyle w:val="4"/>
        <w:spacing w:line="360" w:lineRule="auto"/>
        <w:rPr>
          <w:rFonts w:hint="eastAsia" w:ascii="仿宋" w:hAnsi="仿宋" w:eastAsia="仿宋" w:cs="仿宋"/>
          <w:sz w:val="32"/>
          <w:szCs w:val="32"/>
          <w:highlight w:val="none"/>
          <w:lang w:val="en-US" w:eastAsia="zh-CN"/>
        </w:rPr>
      </w:pPr>
    </w:p>
    <w:p w14:paraId="627375D4">
      <w:pPr>
        <w:numPr>
          <w:ilvl w:val="0"/>
          <w:numId w:val="0"/>
        </w:numPr>
        <w:adjustRightInd w:val="0"/>
        <w:snapToGrid w:val="0"/>
        <w:spacing w:line="360" w:lineRule="auto"/>
        <w:ind w:firstLine="0" w:firstLineChars="0"/>
        <w:rPr>
          <w:rFonts w:hint="eastAsia" w:ascii="黑体" w:hAnsi="黑体" w:eastAsia="黑体" w:cs="黑体"/>
          <w:b/>
          <w:bCs/>
          <w:sz w:val="32"/>
          <w:szCs w:val="32"/>
          <w:highlight w:val="none"/>
          <w:lang w:val="en-US" w:eastAsia="zh-CN"/>
        </w:rPr>
      </w:pPr>
      <w:r>
        <w:rPr>
          <w:rFonts w:hint="eastAsia" w:ascii="黑体" w:hAnsi="黑体" w:eastAsia="黑体" w:cs="黑体"/>
          <w:b/>
          <w:bCs/>
          <w:kern w:val="2"/>
          <w:sz w:val="32"/>
          <w:szCs w:val="32"/>
          <w:highlight w:val="none"/>
          <w:lang w:val="en-US" w:eastAsia="zh-CN" w:bidi="ar-SA"/>
        </w:rPr>
        <w:t>一、</w:t>
      </w:r>
      <w:r>
        <w:rPr>
          <w:rFonts w:hint="eastAsia" w:ascii="黑体" w:hAnsi="黑体" w:eastAsia="黑体" w:cs="黑体"/>
          <w:b/>
          <w:bCs/>
          <w:sz w:val="32"/>
          <w:szCs w:val="32"/>
          <w:highlight w:val="none"/>
          <w:lang w:val="en-US" w:eastAsia="zh-CN"/>
        </w:rPr>
        <w:t>项目简介</w:t>
      </w:r>
    </w:p>
    <w:p w14:paraId="570A9DF9">
      <w:pPr>
        <w:numPr>
          <w:ilvl w:val="0"/>
          <w:numId w:val="0"/>
        </w:numPr>
        <w:adjustRightInd w:val="0"/>
        <w:snapToGrid w:val="0"/>
        <w:spacing w:line="360" w:lineRule="auto"/>
        <w:ind w:firstLine="42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广西医科大学第一附属医院6人组团将于2024年12月15-21日赴日本、韩国开展公务访问，停留7天（日本5天，韩国2天）。现需采购因公出国（境）服务，包含该团组本次出访的住宿、用餐、境外城市间交通、翻译、签证、保险等出行服务。</w:t>
      </w:r>
    </w:p>
    <w:p w14:paraId="5E884AB6">
      <w:pPr>
        <w:numPr>
          <w:ilvl w:val="0"/>
          <w:numId w:val="0"/>
        </w:numPr>
        <w:adjustRightInd w:val="0"/>
        <w:snapToGrid w:val="0"/>
        <w:spacing w:line="360" w:lineRule="auto"/>
        <w:ind w:firstLine="0" w:firstLineChars="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二、采购需求</w:t>
      </w:r>
      <w:r>
        <w:rPr>
          <w:rFonts w:hint="eastAsia" w:ascii="黑体" w:hAnsi="黑体" w:eastAsia="黑体" w:cs="黑体"/>
          <w:b/>
          <w:bCs/>
          <w:sz w:val="32"/>
          <w:szCs w:val="32"/>
          <w:highlight w:val="none"/>
          <w:lang w:val="en-US" w:eastAsia="zh-CN"/>
        </w:rPr>
        <w:tab/>
      </w:r>
    </w:p>
    <w:p w14:paraId="0E7511EE">
      <w:pPr>
        <w:numPr>
          <w:ilvl w:val="0"/>
          <w:numId w:val="0"/>
        </w:numPr>
        <w:adjustRightInd w:val="0"/>
        <w:snapToGrid w:val="0"/>
        <w:spacing w:line="360" w:lineRule="auto"/>
        <w:ind w:firstLine="42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1、因公出国（境）服务需</w:t>
      </w:r>
      <w:r>
        <w:rPr>
          <w:rFonts w:hint="eastAsia" w:ascii="仿宋" w:hAnsi="仿宋" w:eastAsia="仿宋" w:cs="仿宋"/>
          <w:sz w:val="32"/>
          <w:szCs w:val="32"/>
          <w:highlight w:val="none"/>
        </w:rPr>
        <w:t>符合财行〔2013〕516号印发《因公临时出国经费管理办法》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关于印发广西壮族自治区因公临时出国经费管理办法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桂财行{2014}27号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等相关规章制度要求，如有最新标准参照最新标准执行。</w:t>
      </w:r>
    </w:p>
    <w:p w14:paraId="16A61C01">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、因公出国（境）事务服务商需按照要求做好以下工作：</w:t>
      </w:r>
    </w:p>
    <w:p w14:paraId="74656CB4">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（1）紧密跟踪各国出入境及签证政策，协助签证办理，保证高签证率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包括但不限于以下服务：协助提供机票行程单、保险单等签证材料，必要时协助填写外文签证申请表等。</w:t>
      </w:r>
    </w:p>
    <w:p w14:paraId="049F5653">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（2）负责办理国际机票、购买相关保险。</w:t>
      </w:r>
    </w:p>
    <w:p w14:paraId="7862021D">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（3）设计公务活动线路，提供合理的访问日程安排，安排通讯、食宿与交通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目的地国语言翻译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预定会议室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如需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w:t>
      </w:r>
    </w:p>
    <w:p w14:paraId="39CBC74F">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（4）整体要求：</w:t>
      </w:r>
    </w:p>
    <w:p w14:paraId="3BA56801">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①服务商需根据访问计划，按照要求设计公务活动线路，提供合理的访问日程安排，协助签证办理，预定国际机票、购买相关保险、安排食宿及交通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提供翻译服务</w:t>
      </w:r>
      <w:r>
        <w:rPr>
          <w:rFonts w:hint="eastAsia" w:ascii="仿宋" w:hAnsi="仿宋" w:eastAsia="仿宋" w:cs="仿宋"/>
          <w:sz w:val="32"/>
          <w:szCs w:val="32"/>
          <w:highlight w:val="none"/>
        </w:rPr>
        <w:t>等，</w:t>
      </w:r>
      <w:r>
        <w:rPr>
          <w:rFonts w:hint="eastAsia" w:ascii="仿宋" w:hAnsi="仿宋" w:eastAsia="仿宋" w:cs="仿宋"/>
          <w:sz w:val="32"/>
          <w:szCs w:val="32"/>
          <w:highlight w:val="none"/>
        </w:rPr>
        <w:t>提供出访国当地法律与风俗指导，</w:t>
      </w:r>
      <w:r>
        <w:rPr>
          <w:rFonts w:hint="eastAsia" w:ascii="仿宋" w:hAnsi="仿宋" w:eastAsia="仿宋" w:cs="仿宋"/>
          <w:sz w:val="32"/>
          <w:szCs w:val="32"/>
          <w:highlight w:val="none"/>
        </w:rPr>
        <w:t>确保公务活动顺利完成。</w:t>
      </w:r>
    </w:p>
    <w:p w14:paraId="00B07268">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②机票：提供公务机票，按实结算；</w:t>
      </w:r>
    </w:p>
    <w:p w14:paraId="05AEB578">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③</w:t>
      </w:r>
      <w:r>
        <w:rPr>
          <w:rFonts w:hint="eastAsia" w:ascii="仿宋" w:hAnsi="仿宋" w:eastAsia="仿宋" w:cs="仿宋"/>
          <w:sz w:val="32"/>
          <w:szCs w:val="32"/>
          <w:highlight w:val="none"/>
        </w:rPr>
        <w:t>保险：按出访国家要求购买，按实结算，根据财务要求提供真实有效票据；</w:t>
      </w:r>
    </w:p>
    <w:p w14:paraId="56BDBEC8">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④</w:t>
      </w:r>
      <w:r>
        <w:rPr>
          <w:rFonts w:hint="eastAsia" w:ascii="仿宋" w:hAnsi="仿宋" w:eastAsia="仿宋" w:cs="仿宋"/>
          <w:sz w:val="32"/>
          <w:szCs w:val="32"/>
          <w:highlight w:val="none"/>
        </w:rPr>
        <w:t>住宿：按国家有关规定执行，根据财务要求提供真实有效票据；</w:t>
      </w:r>
    </w:p>
    <w:p w14:paraId="505D8B4F">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⑤</w:t>
      </w:r>
      <w:r>
        <w:rPr>
          <w:rFonts w:hint="eastAsia" w:ascii="仿宋" w:hAnsi="仿宋" w:eastAsia="仿宋" w:cs="仿宋"/>
          <w:sz w:val="32"/>
          <w:szCs w:val="32"/>
          <w:highlight w:val="none"/>
        </w:rPr>
        <w:t>餐食：按国家有关规定执行，根据财务要求提供真实有效票据；</w:t>
      </w:r>
    </w:p>
    <w:p w14:paraId="3E5B6221">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⑥</w:t>
      </w:r>
      <w:r>
        <w:rPr>
          <w:rFonts w:hint="eastAsia" w:ascii="仿宋" w:hAnsi="仿宋" w:eastAsia="仿宋" w:cs="仿宋"/>
          <w:sz w:val="32"/>
          <w:szCs w:val="32"/>
          <w:highlight w:val="none"/>
        </w:rPr>
        <w:t>公杂费：按国家有关规定执行；</w:t>
      </w:r>
    </w:p>
    <w:p w14:paraId="5E123930">
      <w:pPr>
        <w:adjustRightInd w:val="0"/>
        <w:snapToGrid w:val="0"/>
        <w:spacing w:line="360" w:lineRule="auto"/>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⑦</w:t>
      </w:r>
      <w:r>
        <w:rPr>
          <w:rFonts w:hint="eastAsia" w:ascii="仿宋" w:hAnsi="仿宋" w:eastAsia="仿宋" w:cs="仿宋"/>
          <w:sz w:val="32"/>
          <w:szCs w:val="32"/>
          <w:highlight w:val="none"/>
        </w:rPr>
        <w:t>城市间交通费：按国家有关规定执行、按实结算，须提供境外出访所在地真实有效票据。</w:t>
      </w:r>
    </w:p>
    <w:p w14:paraId="61AD9D94">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⑧</w:t>
      </w:r>
      <w:r>
        <w:rPr>
          <w:rFonts w:hint="eastAsia" w:ascii="仿宋" w:hAnsi="仿宋" w:eastAsia="仿宋" w:cs="仿宋"/>
          <w:sz w:val="32"/>
          <w:szCs w:val="32"/>
          <w:highlight w:val="none"/>
        </w:rPr>
        <w:t>因公出国（境）事务服务商还应熟悉我国和访问国有关法律和规定，具有接待因公出国（境）团组的能力；具有丰富的</w:t>
      </w:r>
      <w:r>
        <w:rPr>
          <w:rFonts w:hint="eastAsia" w:ascii="仿宋" w:hAnsi="仿宋" w:eastAsia="仿宋" w:cs="仿宋"/>
          <w:sz w:val="32"/>
          <w:szCs w:val="32"/>
          <w:highlight w:val="none"/>
          <w:lang w:val="en-US" w:eastAsia="zh-CN"/>
        </w:rPr>
        <w:t>行政事业单位</w:t>
      </w:r>
      <w:r>
        <w:rPr>
          <w:rFonts w:hint="eastAsia" w:ascii="仿宋" w:hAnsi="仿宋" w:eastAsia="仿宋" w:cs="仿宋"/>
          <w:sz w:val="32"/>
          <w:szCs w:val="32"/>
          <w:highlight w:val="none"/>
        </w:rPr>
        <w:t>、高校访问团执行经验；有可靠的境外合作渠道，确保公务活动顺利完成，并且符合国家外事相关规定。</w:t>
      </w:r>
    </w:p>
    <w:p w14:paraId="30EE2C6E">
      <w:pPr>
        <w:numPr>
          <w:ilvl w:val="0"/>
          <w:numId w:val="0"/>
        </w:numPr>
        <w:adjustRightInd w:val="0"/>
        <w:snapToGrid w:val="0"/>
        <w:spacing w:line="360" w:lineRule="auto"/>
        <w:ind w:firstLine="0" w:firstLineChars="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三、报价及付款方式</w:t>
      </w:r>
    </w:p>
    <w:p w14:paraId="0A2E712C">
      <w:pPr>
        <w:pStyle w:val="4"/>
        <w:spacing w:line="360" w:lineRule="auto"/>
        <w:ind w:left="0" w:firstLine="420" w:firstLineChars="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1.本项目服务费用按实际执行团组产生费用结算（一团一结），原则上结算费用不超过供应商投标报价，如有特殊情况导致费用变动的，应报组团人员同意后方可执行。</w:t>
      </w:r>
      <w:r>
        <w:rPr>
          <w:rFonts w:hint="eastAsia" w:ascii="仿宋" w:hAnsi="仿宋" w:eastAsia="仿宋" w:cs="仿宋"/>
          <w:kern w:val="2"/>
          <w:sz w:val="32"/>
          <w:szCs w:val="32"/>
          <w:highlight w:val="none"/>
          <w:lang w:val="en-US" w:eastAsia="zh-CN" w:bidi="ar-SA"/>
        </w:rPr>
        <w:t>报价包括服务期内团组路线设计、日程安排、交通、住宿、翻译、餐食、公杂、保险、利润、税金、政策性文件规定及采购需求包含的所有风险、责任等全部费用的总和。</w:t>
      </w:r>
    </w:p>
    <w:p w14:paraId="2861F0FE">
      <w:pPr>
        <w:pStyle w:val="4"/>
        <w:spacing w:line="360" w:lineRule="auto"/>
        <w:ind w:left="0" w:firstLine="420" w:firstLineChars="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2.回国后服务商须开具正式发票（含境外相关发票）并提供报销所需相关材料及发票，甲方在完成付款审批手续后15个工作日内全额支付款项。</w:t>
      </w:r>
      <w:bookmarkStart w:id="0" w:name="_GoBack"/>
      <w:bookmarkEnd w:id="0"/>
    </w:p>
    <w:p w14:paraId="50ABBE6C">
      <w:pPr>
        <w:numPr>
          <w:ilvl w:val="0"/>
          <w:numId w:val="0"/>
        </w:numPr>
        <w:adjustRightInd w:val="0"/>
        <w:snapToGrid w:val="0"/>
        <w:spacing w:line="240" w:lineRule="auto"/>
        <w:ind w:firstLine="0" w:firstLineChars="0"/>
        <w:rPr>
          <w:rFonts w:hint="eastAsia" w:ascii="黑体" w:hAnsi="黑体" w:eastAsia="黑体" w:cs="黑体"/>
          <w:b/>
          <w:bCs/>
          <w:sz w:val="32"/>
          <w:szCs w:val="32"/>
          <w:highlight w:val="none"/>
          <w:lang w:val="en-US" w:eastAsia="zh-CN"/>
        </w:rPr>
      </w:pPr>
    </w:p>
    <w:p w14:paraId="118278D2">
      <w:pPr>
        <w:numPr>
          <w:ilvl w:val="0"/>
          <w:numId w:val="1"/>
        </w:numPr>
        <w:adjustRightInd w:val="0"/>
        <w:snapToGrid w:val="0"/>
        <w:spacing w:line="240" w:lineRule="auto"/>
        <w:ind w:firstLine="0" w:firstLineChars="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评分标准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25"/>
        <w:gridCol w:w="6430"/>
      </w:tblGrid>
      <w:tr w14:paraId="7BAF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Align w:val="center"/>
          </w:tcPr>
          <w:p w14:paraId="3929F5C6">
            <w:pPr>
              <w:jc w:val="center"/>
              <w:rPr>
                <w:rFonts w:hint="eastAsia" w:ascii="仿宋" w:hAnsi="仿宋" w:eastAsia="仿宋" w:cs="仿宋"/>
                <w:b/>
                <w:bCs w:val="0"/>
                <w:sz w:val="32"/>
                <w:szCs w:val="32"/>
                <w:highlight w:val="none"/>
                <w:vertAlign w:val="baseline"/>
                <w:lang w:val="en-US" w:eastAsia="zh-CN"/>
              </w:rPr>
            </w:pPr>
            <w:r>
              <w:rPr>
                <w:rFonts w:hint="eastAsia" w:ascii="仿宋" w:hAnsi="仿宋" w:eastAsia="仿宋" w:cs="仿宋"/>
                <w:b/>
                <w:bCs w:val="0"/>
                <w:kern w:val="0"/>
                <w:sz w:val="32"/>
                <w:szCs w:val="32"/>
                <w:highlight w:val="none"/>
              </w:rPr>
              <w:t>序号</w:t>
            </w:r>
          </w:p>
        </w:tc>
        <w:tc>
          <w:tcPr>
            <w:tcW w:w="1725" w:type="dxa"/>
            <w:vAlign w:val="center"/>
          </w:tcPr>
          <w:p w14:paraId="75210A70">
            <w:pPr>
              <w:jc w:val="center"/>
              <w:rPr>
                <w:rFonts w:hint="eastAsia" w:ascii="仿宋" w:hAnsi="仿宋" w:eastAsia="仿宋" w:cs="仿宋"/>
                <w:b/>
                <w:bCs w:val="0"/>
                <w:sz w:val="32"/>
                <w:szCs w:val="32"/>
                <w:highlight w:val="none"/>
                <w:vertAlign w:val="baseline"/>
                <w:lang w:val="en-US" w:eastAsia="zh-CN"/>
              </w:rPr>
            </w:pPr>
            <w:r>
              <w:rPr>
                <w:rFonts w:hint="eastAsia" w:ascii="仿宋" w:hAnsi="仿宋" w:eastAsia="仿宋" w:cs="仿宋"/>
                <w:b/>
                <w:bCs w:val="0"/>
                <w:kern w:val="0"/>
                <w:sz w:val="32"/>
                <w:szCs w:val="32"/>
                <w:highlight w:val="none"/>
              </w:rPr>
              <w:t>评分因素</w:t>
            </w:r>
          </w:p>
        </w:tc>
        <w:tc>
          <w:tcPr>
            <w:tcW w:w="6430" w:type="dxa"/>
            <w:vAlign w:val="center"/>
          </w:tcPr>
          <w:p w14:paraId="3ADAF4FD">
            <w:pPr>
              <w:jc w:val="center"/>
              <w:rPr>
                <w:rFonts w:hint="eastAsia" w:ascii="仿宋" w:hAnsi="仿宋" w:eastAsia="仿宋" w:cs="仿宋"/>
                <w:b/>
                <w:bCs w:val="0"/>
                <w:sz w:val="32"/>
                <w:szCs w:val="32"/>
                <w:highlight w:val="none"/>
                <w:vertAlign w:val="baseline"/>
                <w:lang w:val="en-US" w:eastAsia="zh-CN"/>
              </w:rPr>
            </w:pPr>
            <w:r>
              <w:rPr>
                <w:rFonts w:hint="eastAsia" w:ascii="仿宋" w:hAnsi="仿宋" w:eastAsia="仿宋" w:cs="仿宋"/>
                <w:b/>
                <w:bCs w:val="0"/>
                <w:color w:val="000000"/>
                <w:kern w:val="0"/>
                <w:sz w:val="32"/>
                <w:szCs w:val="32"/>
                <w:highlight w:val="none"/>
              </w:rPr>
              <w:t>评审标准</w:t>
            </w:r>
          </w:p>
        </w:tc>
      </w:tr>
      <w:tr w14:paraId="0C64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3226595D">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1</w:t>
            </w:r>
          </w:p>
        </w:tc>
        <w:tc>
          <w:tcPr>
            <w:tcW w:w="1725" w:type="dxa"/>
          </w:tcPr>
          <w:p w14:paraId="0F7B1381">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投标报价</w:t>
            </w:r>
          </w:p>
          <w:p w14:paraId="20E548E9">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（20分）</w:t>
            </w:r>
          </w:p>
        </w:tc>
        <w:tc>
          <w:tcPr>
            <w:tcW w:w="6430" w:type="dxa"/>
          </w:tcPr>
          <w:p w14:paraId="1F24AE0E">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价格评分的计算方法如下：</w:t>
            </w:r>
          </w:p>
          <w:p w14:paraId="4506AFE3">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1、满足需求要求且报价价格最低的报价为评标基准价（D），其价格分为满分(20分)；</w:t>
            </w:r>
          </w:p>
          <w:p w14:paraId="1087FA1A">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2、其他合格供应商的报价得分按如下公式计算：报价得分=（基准价/报价）×20</w:t>
            </w:r>
          </w:p>
        </w:tc>
      </w:tr>
      <w:tr w14:paraId="4E31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BC8C5ED">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2</w:t>
            </w:r>
          </w:p>
        </w:tc>
        <w:tc>
          <w:tcPr>
            <w:tcW w:w="1725" w:type="dxa"/>
          </w:tcPr>
          <w:p w14:paraId="31BCE516">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服务方案及流程设计（30分）</w:t>
            </w:r>
          </w:p>
        </w:tc>
        <w:tc>
          <w:tcPr>
            <w:tcW w:w="6430" w:type="dxa"/>
          </w:tcPr>
          <w:p w14:paraId="69F155BE">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应包括行程计划、食宿安排、交通安排、翻译服务、本地化服务以及组织协调等相关内容。</w:t>
            </w:r>
          </w:p>
          <w:p w14:paraId="10EF9A04">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（服务方案及流程设计要充分考虑要素完整、流程优化、舒适便捷、可操作性强，优秀的得30分、良好的得20分、一般的得10分、未提供的不得分。）</w:t>
            </w:r>
          </w:p>
        </w:tc>
      </w:tr>
      <w:tr w14:paraId="4E6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563092FC">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3</w:t>
            </w:r>
          </w:p>
        </w:tc>
        <w:tc>
          <w:tcPr>
            <w:tcW w:w="1725" w:type="dxa"/>
          </w:tcPr>
          <w:p w14:paraId="619BF175">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应急预案</w:t>
            </w:r>
          </w:p>
          <w:p w14:paraId="2DCE53CD">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（10分）</w:t>
            </w:r>
          </w:p>
        </w:tc>
        <w:tc>
          <w:tcPr>
            <w:tcW w:w="6430" w:type="dxa"/>
          </w:tcPr>
          <w:p w14:paraId="2099C9FC">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响应供应商针对本项目相关突发应急预案或措施方案。预案和措施齐全、制度完善，程序规范，责任明确，具有可操作性；可根据出访要求和目的地国家相关规定做出相应安全预案，将安全预防做到实处：内容详尽为优秀的得10分；内容较详尽为良好的得7分；内容简单为一般的得4分；未提供的不得分。</w:t>
            </w:r>
          </w:p>
        </w:tc>
      </w:tr>
      <w:tr w14:paraId="53B9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27DAC23B">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4</w:t>
            </w:r>
          </w:p>
        </w:tc>
        <w:tc>
          <w:tcPr>
            <w:tcW w:w="1725" w:type="dxa"/>
          </w:tcPr>
          <w:p w14:paraId="47C0E398">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人员及设备配置</w:t>
            </w:r>
          </w:p>
          <w:p w14:paraId="2FA8F750">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（10分）</w:t>
            </w:r>
          </w:p>
        </w:tc>
        <w:tc>
          <w:tcPr>
            <w:tcW w:w="6430" w:type="dxa"/>
          </w:tcPr>
          <w:p w14:paraId="70A9F81A">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拟投入的服务团队人员考虑周全，岗位配备人员完善，配合人员科学合理高效，得10分；拟投入的服务团队人员中岗位配备人员比较合理，考虑较周全，能满足项目实施需要，得7分；拟投入的服务团队人员中岗位配备人员一般，考虑简单，只能基本满足项目实施需要，得4分；未提供的不得分。</w:t>
            </w:r>
          </w:p>
        </w:tc>
      </w:tr>
      <w:tr w14:paraId="168D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3B07D5CA">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5</w:t>
            </w:r>
          </w:p>
        </w:tc>
        <w:tc>
          <w:tcPr>
            <w:tcW w:w="1725" w:type="dxa"/>
          </w:tcPr>
          <w:p w14:paraId="0F02EA95">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针对本项目的服务承诺</w:t>
            </w:r>
          </w:p>
          <w:p w14:paraId="283052FC">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（10分）</w:t>
            </w:r>
          </w:p>
        </w:tc>
        <w:tc>
          <w:tcPr>
            <w:tcW w:w="6430" w:type="dxa"/>
          </w:tcPr>
          <w:p w14:paraId="691C8053">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响应供应商应有完整的服务质量承诺保障方案（服务体系、服务内容、响应速度）。</w:t>
            </w:r>
          </w:p>
          <w:p w14:paraId="40672A52">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项目实施过程中，响应供应商所提供的服务承诺可行到位，服务内容完善，得10分；服务承诺较为详细，服务内容较为合理，得7分；服务承诺简单，服务内容单一的得4分，未提供的不得分。</w:t>
            </w:r>
          </w:p>
        </w:tc>
      </w:tr>
      <w:tr w14:paraId="74A9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127B5194">
            <w:pPr>
              <w:numPr>
                <w:ilvl w:val="0"/>
                <w:numId w:val="0"/>
              </w:numPr>
              <w:adjustRightInd w:val="0"/>
              <w:snapToGrid w:val="0"/>
              <w:spacing w:line="240" w:lineRule="auto"/>
              <w:jc w:val="center"/>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6</w:t>
            </w:r>
          </w:p>
        </w:tc>
        <w:tc>
          <w:tcPr>
            <w:tcW w:w="1725" w:type="dxa"/>
          </w:tcPr>
          <w:p w14:paraId="2D0E6420">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业绩证明</w:t>
            </w:r>
          </w:p>
          <w:p w14:paraId="42EA36D2">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（20分）</w:t>
            </w:r>
          </w:p>
        </w:tc>
        <w:tc>
          <w:tcPr>
            <w:tcW w:w="6430" w:type="dxa"/>
          </w:tcPr>
          <w:p w14:paraId="37ACEEE1">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响应单位提供自2022年1月1日以来承担过类似因公出国（境）项目的业务，服务行政事业单位因公出国（境）的成功案例，需提供完整的相应证明材料。每提供一个出访团组的证明材料，得4分，满分20分。</w:t>
            </w:r>
          </w:p>
        </w:tc>
      </w:tr>
      <w:tr w14:paraId="7AF1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3"/>
          </w:tcPr>
          <w:p w14:paraId="695FC335">
            <w:pPr>
              <w:numPr>
                <w:ilvl w:val="0"/>
                <w:numId w:val="0"/>
              </w:numPr>
              <w:adjustRightInd w:val="0"/>
              <w:snapToGrid w:val="0"/>
              <w:spacing w:line="240" w:lineRule="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sz w:val="32"/>
                <w:szCs w:val="32"/>
                <w:highlight w:val="none"/>
                <w:vertAlign w:val="baseline"/>
                <w:lang w:val="en-US" w:eastAsia="zh-CN"/>
              </w:rPr>
              <w:t>总分（100分）</w:t>
            </w:r>
          </w:p>
        </w:tc>
      </w:tr>
    </w:tbl>
    <w:p w14:paraId="461E3306">
      <w:pPr>
        <w:numPr>
          <w:ilvl w:val="0"/>
          <w:numId w:val="0"/>
        </w:numPr>
        <w:adjustRightInd w:val="0"/>
        <w:snapToGrid w:val="0"/>
        <w:spacing w:line="240" w:lineRule="auto"/>
        <w:rPr>
          <w:rFonts w:hint="eastAsia" w:ascii="黑体" w:hAnsi="黑体" w:eastAsia="黑体" w:cs="黑体"/>
          <w:b/>
          <w:bCs/>
          <w:sz w:val="32"/>
          <w:szCs w:val="32"/>
          <w:highlight w:val="none"/>
          <w:lang w:val="en-US" w:eastAsia="zh-CN"/>
        </w:rPr>
      </w:pPr>
    </w:p>
    <w:p w14:paraId="3CFBAB78">
      <w:pPr>
        <w:pStyle w:val="4"/>
        <w:ind w:left="0"/>
        <w:jc w:val="left"/>
        <w:rPr>
          <w:rFonts w:hint="default" w:ascii="仿宋" w:hAnsi="仿宋" w:eastAsia="仿宋" w:cs="仿宋"/>
          <w:b w:val="0"/>
          <w:bCs/>
          <w:kern w:val="2"/>
          <w:sz w:val="28"/>
          <w:szCs w:val="28"/>
          <w:highlight w:val="none"/>
          <w:vertAlign w:val="baseline"/>
          <w:lang w:val="en-US" w:eastAsia="zh-CN" w:bidi="ar-SA"/>
        </w:rPr>
      </w:pPr>
      <w:r>
        <w:rPr>
          <w:rFonts w:hint="default" w:ascii="仿宋" w:hAnsi="仿宋" w:eastAsia="仿宋" w:cs="仿宋"/>
          <w:b w:val="0"/>
          <w:bCs/>
          <w:kern w:val="2"/>
          <w:sz w:val="28"/>
          <w:szCs w:val="28"/>
          <w:highlight w:val="none"/>
          <w:vertAlign w:val="baseline"/>
          <w:lang w:val="en-US" w:eastAsia="zh-CN" w:bidi="ar-SA"/>
        </w:rPr>
        <w:t>注：计分方法按四舍五入取至百分位。</w:t>
      </w:r>
    </w:p>
    <w:p w14:paraId="5DC1F552">
      <w:pPr>
        <w:pStyle w:val="4"/>
        <w:ind w:left="0"/>
        <w:jc w:val="left"/>
        <w:rPr>
          <w:rFonts w:hint="default" w:ascii="仿宋" w:hAnsi="仿宋" w:eastAsia="仿宋" w:cs="仿宋"/>
          <w:b w:val="0"/>
          <w:bCs/>
          <w:kern w:val="2"/>
          <w:sz w:val="28"/>
          <w:szCs w:val="28"/>
          <w:highlight w:val="none"/>
          <w:vertAlign w:val="baseline"/>
          <w:lang w:val="en-US" w:eastAsia="zh-CN" w:bidi="ar-SA"/>
        </w:rPr>
      </w:pPr>
      <w:r>
        <w:rPr>
          <w:rFonts w:hint="default" w:ascii="仿宋" w:hAnsi="仿宋" w:eastAsia="仿宋" w:cs="仿宋"/>
          <w:b w:val="0"/>
          <w:bCs/>
          <w:kern w:val="2"/>
          <w:sz w:val="28"/>
          <w:szCs w:val="28"/>
          <w:highlight w:val="none"/>
          <w:vertAlign w:val="baseline"/>
          <w:lang w:val="en-US" w:eastAsia="zh-CN" w:bidi="ar-S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sectPr>
      <w:pgSz w:w="11906" w:h="16838"/>
      <w:pgMar w:top="2098" w:right="158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183B9F-FCCC-45A5-90D8-F0DF8B2ACC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C295FEC-D434-45DF-AF2E-8B9967C0FEB5}"/>
  </w:font>
  <w:font w:name="仿宋">
    <w:panose1 w:val="02010609060101010101"/>
    <w:charset w:val="86"/>
    <w:family w:val="auto"/>
    <w:pitch w:val="default"/>
    <w:sig w:usb0="800002BF" w:usb1="38CF7CFA" w:usb2="00000016" w:usb3="00000000" w:csb0="00040001" w:csb1="00000000"/>
    <w:embedRegular r:id="rId3" w:fontKey="{F51ACDD4-B2FA-4D11-8919-837B4974ACFE}"/>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CE5A5"/>
    <w:multiLevelType w:val="singleLevel"/>
    <w:tmpl w:val="661CE5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129A4"/>
    <w:rsid w:val="02F72AEC"/>
    <w:rsid w:val="08FF2F4F"/>
    <w:rsid w:val="0A590531"/>
    <w:rsid w:val="0D4C7ED9"/>
    <w:rsid w:val="0E5B6625"/>
    <w:rsid w:val="118C11EC"/>
    <w:rsid w:val="17E12A40"/>
    <w:rsid w:val="1FFB7C68"/>
    <w:rsid w:val="21E72587"/>
    <w:rsid w:val="22BA5BB9"/>
    <w:rsid w:val="240F5A90"/>
    <w:rsid w:val="25233272"/>
    <w:rsid w:val="28550131"/>
    <w:rsid w:val="333B7B10"/>
    <w:rsid w:val="367B6FB5"/>
    <w:rsid w:val="36C46BAE"/>
    <w:rsid w:val="388E7474"/>
    <w:rsid w:val="39AF78A7"/>
    <w:rsid w:val="3AAC3BE1"/>
    <w:rsid w:val="3B9D5C20"/>
    <w:rsid w:val="3BFA0099"/>
    <w:rsid w:val="3C291261"/>
    <w:rsid w:val="3EE33949"/>
    <w:rsid w:val="3F586927"/>
    <w:rsid w:val="44C15732"/>
    <w:rsid w:val="453A628D"/>
    <w:rsid w:val="468E063F"/>
    <w:rsid w:val="492129A4"/>
    <w:rsid w:val="49CA7BE0"/>
    <w:rsid w:val="4A8C30E7"/>
    <w:rsid w:val="4AE90539"/>
    <w:rsid w:val="4B0215FB"/>
    <w:rsid w:val="4E2B1D35"/>
    <w:rsid w:val="525F7333"/>
    <w:rsid w:val="53A2397B"/>
    <w:rsid w:val="548968E9"/>
    <w:rsid w:val="55BE68A1"/>
    <w:rsid w:val="57C55E8A"/>
    <w:rsid w:val="5BFD3E45"/>
    <w:rsid w:val="5E251431"/>
    <w:rsid w:val="5EE017FC"/>
    <w:rsid w:val="6066724F"/>
    <w:rsid w:val="612A1228"/>
    <w:rsid w:val="61F45CEA"/>
    <w:rsid w:val="66344907"/>
    <w:rsid w:val="676B07FC"/>
    <w:rsid w:val="6951757E"/>
    <w:rsid w:val="6A10568B"/>
    <w:rsid w:val="6BA3608B"/>
    <w:rsid w:val="706A53C9"/>
    <w:rsid w:val="711A0B9D"/>
    <w:rsid w:val="738A025C"/>
    <w:rsid w:val="74253AE1"/>
    <w:rsid w:val="74B17A6A"/>
    <w:rsid w:val="772B3B04"/>
    <w:rsid w:val="78AE1D0A"/>
    <w:rsid w:val="79694470"/>
    <w:rsid w:val="79C1605A"/>
    <w:rsid w:val="7B046B46"/>
    <w:rsid w:val="7B354F51"/>
    <w:rsid w:val="7D902913"/>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3"/>
    <w:basedOn w:val="1"/>
    <w:qFormat/>
    <w:uiPriority w:val="0"/>
    <w:pPr>
      <w:spacing w:line="413" w:lineRule="auto"/>
      <w:ind w:firstLine="480" w:firstLineChars="200"/>
      <w:jc w:val="left"/>
      <w:outlineLvl w:val="2"/>
    </w:pPr>
    <w:rPr>
      <w:bCs/>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4"/>
    <w:basedOn w:val="1"/>
    <w:next w:val="1"/>
    <w:semiHidden/>
    <w:qFormat/>
    <w:uiPriority w:val="0"/>
    <w:pPr>
      <w:ind w:left="1260"/>
    </w:pPr>
  </w:style>
  <w:style w:type="paragraph" w:styleId="5">
    <w:name w:val="Plain Text"/>
    <w:basedOn w:val="1"/>
    <w:qFormat/>
    <w:uiPriority w:val="99"/>
    <w:rPr>
      <w:rFonts w:ascii="宋体" w:hAnsi="Courier New" w:cs="Courier New"/>
      <w:szCs w:val="21"/>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iv_MsoNormal ParagraphIndent"/>
    <w:basedOn w:val="10"/>
    <w:qFormat/>
    <w:uiPriority w:val="0"/>
    <w:rPr>
      <w:rFonts w:ascii="宋体" w:hAnsi="宋体" w:eastAsia="宋体" w:cs="宋体"/>
      <w:sz w:val="21"/>
    </w:rPr>
  </w:style>
  <w:style w:type="paragraph" w:customStyle="1" w:styleId="10">
    <w:name w:val="正文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1113</Words>
  <Characters>1140</Characters>
  <Lines>0</Lines>
  <Paragraphs>0</Paragraphs>
  <TotalTime>3</TotalTime>
  <ScaleCrop>false</ScaleCrop>
  <LinksUpToDate>false</LinksUpToDate>
  <CharactersWithSpaces>1141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2024-11-12T08:26:00Z</dcterms:created>
  <dc:creator>芥川</dc:creator>
  <cp:lastModifiedBy>芥川</cp:lastModifiedBy>
  <dcterms:modified xsi:type="dcterms:W3CDTF">2024-11-14T07:30:29Z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EEBFDBC769484F15B13BCB663BA1A6BB_11</vt:lpwstr>
  </property>
</Properties>
</file>