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C0AB3">
      <w:pPr>
        <w:snapToGrid w:val="0"/>
        <w:spacing w:line="400" w:lineRule="exact"/>
        <w:jc w:val="center"/>
        <w:rPr>
          <w:rFonts w:hint="eastAsia" w:ascii="宋体" w:hAnsi="宋体" w:eastAsia="宋体" w:cs="宋体"/>
          <w:b/>
          <w:bCs/>
          <w:color w:val="auto"/>
          <w:sz w:val="32"/>
          <w:szCs w:val="32"/>
          <w:highlight w:val="none"/>
          <w:lang w:val="en-US" w:eastAsia="zh-CN"/>
        </w:rPr>
      </w:pPr>
      <w:bookmarkStart w:id="0" w:name="OLE_LINK9"/>
      <w:bookmarkStart w:id="1" w:name="OLE_LINK1"/>
      <w:r>
        <w:rPr>
          <w:rFonts w:hint="eastAsia" w:ascii="宋体" w:hAnsi="宋体" w:eastAsia="宋体" w:cs="宋体"/>
          <w:b/>
          <w:bCs/>
          <w:color w:val="auto"/>
          <w:sz w:val="32"/>
          <w:szCs w:val="32"/>
          <w:highlight w:val="none"/>
        </w:rPr>
        <w:t>病媒生物预防控制服务</w:t>
      </w:r>
      <w:bookmarkEnd w:id="0"/>
      <w:r>
        <w:rPr>
          <w:rFonts w:hint="eastAsia" w:ascii="宋体" w:hAnsi="宋体" w:eastAsia="宋体" w:cs="宋体"/>
          <w:b/>
          <w:bCs/>
          <w:color w:val="auto"/>
          <w:sz w:val="32"/>
          <w:szCs w:val="32"/>
          <w:highlight w:val="none"/>
          <w:lang w:val="en-US" w:eastAsia="zh-CN"/>
        </w:rPr>
        <w:t>采购需求</w:t>
      </w:r>
    </w:p>
    <w:bookmarkEnd w:id="1"/>
    <w:p w14:paraId="7A831545">
      <w:pPr>
        <w:pStyle w:val="11"/>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highlight w:val="none"/>
          <w:lang w:val="zh-CN"/>
        </w:rPr>
      </w:pPr>
      <w:bookmarkStart w:id="2" w:name="OLE_LINK2"/>
      <w:r>
        <w:rPr>
          <w:rFonts w:hint="eastAsia" w:ascii="宋体" w:hAnsi="宋体" w:eastAsia="宋体" w:cs="宋体"/>
          <w:b/>
          <w:bCs/>
          <w:color w:val="auto"/>
          <w:sz w:val="24"/>
          <w:szCs w:val="24"/>
          <w:highlight w:val="none"/>
          <w:lang w:val="zh-CN"/>
        </w:rPr>
        <w:t>一、项目</w:t>
      </w:r>
      <w:bookmarkStart w:id="3" w:name="OLE_LINK6"/>
      <w:r>
        <w:rPr>
          <w:rFonts w:hint="eastAsia" w:ascii="宋体" w:hAnsi="宋体" w:eastAsia="宋体" w:cs="宋体"/>
          <w:b/>
          <w:bCs/>
          <w:color w:val="auto"/>
          <w:sz w:val="24"/>
          <w:szCs w:val="24"/>
          <w:highlight w:val="none"/>
          <w:lang w:val="zh-CN"/>
        </w:rPr>
        <w:t>概况</w:t>
      </w:r>
      <w:bookmarkEnd w:id="3"/>
    </w:p>
    <w:p w14:paraId="4CF4094C">
      <w:pPr>
        <w:pStyle w:val="11"/>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color w:val="auto"/>
          <w:sz w:val="24"/>
          <w:szCs w:val="24"/>
          <w:highlight w:val="none"/>
          <w:lang w:val="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zh-CN"/>
        </w:rPr>
        <w:t>服务地点: 广西医科大学第一附属医院</w:t>
      </w:r>
      <w:r>
        <w:rPr>
          <w:rFonts w:hint="eastAsia" w:cs="宋体"/>
          <w:color w:val="auto"/>
          <w:sz w:val="24"/>
          <w:szCs w:val="24"/>
          <w:highlight w:val="none"/>
          <w:lang w:val="zh-CN"/>
        </w:rPr>
        <w:t>，</w:t>
      </w:r>
      <w:r>
        <w:rPr>
          <w:rFonts w:hint="eastAsia" w:cs="宋体"/>
          <w:color w:val="auto"/>
          <w:sz w:val="24"/>
          <w:szCs w:val="24"/>
          <w:highlight w:val="none"/>
          <w:lang w:val="en-US" w:eastAsia="zh-CN"/>
        </w:rPr>
        <w:t>①</w:t>
      </w:r>
      <w:r>
        <w:rPr>
          <w:rFonts w:hint="eastAsia" w:ascii="宋体" w:hAnsi="宋体" w:eastAsia="宋体" w:cs="宋体"/>
          <w:color w:val="auto"/>
          <w:sz w:val="24"/>
          <w:szCs w:val="24"/>
          <w:highlight w:val="none"/>
          <w:lang w:val="zh-CN"/>
        </w:rPr>
        <w:t>医疗区：医院内楼宇建筑面积约285000㎡、东盟楼建筑面积约111187㎡、占地面积约75213.28㎡；医院外用房建筑面积约30000㎡；</w:t>
      </w:r>
      <w:r>
        <w:rPr>
          <w:rFonts w:hint="eastAsia" w:cs="宋体"/>
          <w:color w:val="auto"/>
          <w:sz w:val="24"/>
          <w:szCs w:val="24"/>
          <w:highlight w:val="none"/>
          <w:lang w:val="en-US" w:eastAsia="zh-CN"/>
        </w:rPr>
        <w:t>②</w:t>
      </w:r>
      <w:r>
        <w:rPr>
          <w:rFonts w:hint="eastAsia" w:ascii="宋体" w:hAnsi="宋体" w:eastAsia="宋体" w:cs="宋体"/>
          <w:color w:val="auto"/>
          <w:sz w:val="24"/>
          <w:szCs w:val="24"/>
          <w:highlight w:val="none"/>
          <w:lang w:val="zh-CN"/>
        </w:rPr>
        <w:t>职工食堂、工会等其他周边区域占地面积约37951㎡。</w:t>
      </w:r>
    </w:p>
    <w:p w14:paraId="0FB8BA64">
      <w:pPr>
        <w:pStyle w:val="11"/>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color w:val="auto"/>
          <w:sz w:val="24"/>
          <w:szCs w:val="24"/>
          <w:highlight w:val="none"/>
          <w:lang w:val="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zh-CN"/>
        </w:rPr>
        <w:t xml:space="preserve">预算价: </w:t>
      </w:r>
      <w:r>
        <w:rPr>
          <w:rFonts w:hint="eastAsia" w:cs="宋体"/>
          <w:color w:val="auto"/>
          <w:sz w:val="24"/>
          <w:szCs w:val="24"/>
          <w:highlight w:val="none"/>
          <w:lang w:val="en-US" w:eastAsia="zh-CN"/>
        </w:rPr>
        <w:t>29.6万</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highlight w:val="none"/>
          <w:lang w:val="en-US" w:eastAsia="zh-CN"/>
        </w:rPr>
        <w:t>报价超出预算价视为无效报价</w:t>
      </w:r>
      <w:r>
        <w:rPr>
          <w:rFonts w:hint="eastAsia" w:ascii="宋体" w:hAnsi="宋体" w:eastAsia="宋体" w:cs="宋体"/>
          <w:color w:val="auto"/>
          <w:sz w:val="24"/>
          <w:szCs w:val="24"/>
          <w:highlight w:val="none"/>
          <w:lang w:val="zh-CN"/>
        </w:rPr>
        <w:t>）</w:t>
      </w:r>
    </w:p>
    <w:p w14:paraId="0ECC6ABF">
      <w:pPr>
        <w:snapToGrid w:val="0"/>
        <w:spacing w:line="4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服务期: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p w14:paraId="44EBAF6D">
      <w:pPr>
        <w:snapToGrid w:val="0"/>
        <w:spacing w:line="400" w:lineRule="exac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二、商务条款</w:t>
      </w:r>
    </w:p>
    <w:p w14:paraId="61AAEB7C">
      <w:pPr>
        <w:snapToGrid w:val="0"/>
        <w:spacing w:line="40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1、报价要求：该服务费为包干价，即包括供应商完成本项目全部服务所涉及的全部费用，供应商不得以任何理由要求增加服务费或要求过人才另行支付其他任何费用。</w:t>
      </w:r>
    </w:p>
    <w:p w14:paraId="7247774D">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2、付款方式: 双方对考核表扣减费用进行核对后，</w:t>
      </w:r>
      <w:r>
        <w:rPr>
          <w:rFonts w:hint="eastAsia" w:ascii="宋体" w:hAnsi="宋体" w:eastAsia="宋体" w:cs="宋体"/>
          <w:b/>
          <w:bCs/>
          <w:color w:val="auto"/>
          <w:sz w:val="24"/>
          <w:szCs w:val="24"/>
          <w:highlight w:val="none"/>
          <w:lang w:val="en-US" w:eastAsia="zh-CN"/>
        </w:rPr>
        <w:t>服务费按半年度进行支付</w:t>
      </w:r>
      <w:r>
        <w:rPr>
          <w:rFonts w:hint="eastAsia" w:ascii="宋体" w:hAnsi="宋体" w:eastAsia="宋体" w:cs="宋体"/>
          <w:color w:val="auto"/>
          <w:sz w:val="24"/>
          <w:szCs w:val="24"/>
          <w:highlight w:val="none"/>
          <w:lang w:val="en-US" w:eastAsia="zh-CN"/>
        </w:rPr>
        <w:t>，供应商开具有效票据，并提供付款材料至采购人，采购人完成付款审批手续后15个工作日将费用汇至供应商指定账户。</w:t>
      </w:r>
    </w:p>
    <w:p w14:paraId="589AF267">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3、发票要求：付款前乙方必须提供真实、有效、合法的正式发票，如提供假发票的，乙方除须向甲方补开合法发票外，并须赔偿甲方发票票面金额一倍的违约金，由此产生的一切损失均由乙方承担。</w:t>
      </w:r>
    </w:p>
    <w:p w14:paraId="1EF0D9E2">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4、验收标准：符合现行国家相关标准、行业标准、地方标准或者其他标准、规范、合同要求。</w:t>
      </w:r>
    </w:p>
    <w:p w14:paraId="71406AE3">
      <w:pPr>
        <w:snapToGrid w:val="0"/>
        <w:spacing w:line="400" w:lineRule="exac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bookmarkStart w:id="4" w:name="OLE_LINK5"/>
      <w:r>
        <w:rPr>
          <w:rFonts w:hint="eastAsia" w:ascii="宋体" w:hAnsi="宋体" w:eastAsia="宋体" w:cs="宋体"/>
          <w:b/>
          <w:bCs/>
          <w:color w:val="auto"/>
          <w:sz w:val="24"/>
          <w:szCs w:val="24"/>
          <w:highlight w:val="none"/>
          <w:lang w:val="en-US" w:eastAsia="zh-CN"/>
        </w:rPr>
        <w:t>技</w:t>
      </w:r>
      <w:bookmarkStart w:id="5" w:name="OLE_LINK4"/>
      <w:r>
        <w:rPr>
          <w:rFonts w:hint="eastAsia" w:ascii="宋体" w:hAnsi="宋体" w:eastAsia="宋体" w:cs="宋体"/>
          <w:b/>
          <w:bCs/>
          <w:color w:val="auto"/>
          <w:sz w:val="24"/>
          <w:szCs w:val="24"/>
          <w:highlight w:val="none"/>
          <w:lang w:val="en-US" w:eastAsia="zh-CN"/>
        </w:rPr>
        <w:t>术及</w:t>
      </w:r>
      <w:bookmarkStart w:id="6" w:name="OLE_LINK3"/>
      <w:r>
        <w:rPr>
          <w:rFonts w:hint="eastAsia" w:ascii="宋体" w:hAnsi="宋体" w:eastAsia="宋体" w:cs="宋体"/>
          <w:b/>
          <w:bCs/>
          <w:color w:val="auto"/>
          <w:sz w:val="24"/>
          <w:szCs w:val="24"/>
          <w:highlight w:val="none"/>
          <w:lang w:val="en-US" w:eastAsia="zh-CN"/>
        </w:rPr>
        <w:t>服务要</w:t>
      </w:r>
      <w:bookmarkEnd w:id="5"/>
      <w:bookmarkEnd w:id="6"/>
      <w:r>
        <w:rPr>
          <w:rFonts w:hint="eastAsia" w:ascii="宋体" w:hAnsi="宋体" w:eastAsia="宋体" w:cs="宋体"/>
          <w:b/>
          <w:bCs/>
          <w:color w:val="auto"/>
          <w:sz w:val="24"/>
          <w:szCs w:val="24"/>
          <w:highlight w:val="none"/>
          <w:lang w:val="en-US" w:eastAsia="zh-CN"/>
        </w:rPr>
        <w:t>求</w:t>
      </w:r>
      <w:bookmarkEnd w:id="4"/>
    </w:p>
    <w:bookmarkEnd w:id="2"/>
    <w:p w14:paraId="2F2BA37A">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总体要求</w:t>
      </w:r>
      <w:r>
        <w:rPr>
          <w:rFonts w:hint="eastAsia" w:ascii="宋体" w:hAnsi="宋体" w:eastAsia="宋体" w:cs="宋体"/>
          <w:color w:val="auto"/>
          <w:sz w:val="24"/>
          <w:szCs w:val="24"/>
          <w:highlight w:val="none"/>
          <w:lang w:eastAsia="zh-CN"/>
        </w:rPr>
        <w:t>：</w:t>
      </w:r>
    </w:p>
    <w:p w14:paraId="6DBB6A7D">
      <w:pPr>
        <w:numPr>
          <w:ilvl w:val="0"/>
          <w:numId w:val="0"/>
        </w:num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消除</w:t>
      </w:r>
      <w:r>
        <w:rPr>
          <w:rFonts w:hint="eastAsia" w:ascii="宋体" w:hAnsi="宋体" w:eastAsia="宋体" w:cs="宋体"/>
          <w:color w:val="auto"/>
          <w:sz w:val="24"/>
          <w:szCs w:val="24"/>
          <w:highlight w:val="none"/>
          <w:lang w:eastAsia="zh"/>
        </w:rPr>
        <w:t>采购人</w:t>
      </w:r>
      <w:r>
        <w:rPr>
          <w:rFonts w:hint="eastAsia" w:ascii="宋体" w:hAnsi="宋体" w:eastAsia="宋体" w:cs="宋体"/>
          <w:color w:val="auto"/>
          <w:sz w:val="24"/>
          <w:szCs w:val="24"/>
          <w:highlight w:val="none"/>
        </w:rPr>
        <w:t>医院内有害生物的危害，把有害生物密度指标控制在国家规定的卫生标准以内，营造一个卫生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安全、清洁的工作生活环境。</w:t>
      </w:r>
    </w:p>
    <w:p w14:paraId="28FEF3B6">
      <w:pPr>
        <w:numPr>
          <w:ilvl w:val="0"/>
          <w:numId w:val="0"/>
        </w:num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合同期内，如鼠、蟑、蚊、蝇、白蚁、书虫、跳蚤等病媒生物的防治标准有更新的，供应商应按最新标准提供服务。</w:t>
      </w:r>
    </w:p>
    <w:p w14:paraId="443DA1DB">
      <w:pPr>
        <w:snapToGrid w:val="0"/>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（3）工作</w:t>
      </w:r>
      <w:r>
        <w:rPr>
          <w:rFonts w:hint="eastAsia" w:ascii="宋体" w:hAnsi="宋体" w:eastAsia="宋体" w:cs="宋体"/>
          <w:b w:val="0"/>
          <w:bCs w:val="0"/>
          <w:color w:val="auto"/>
          <w:sz w:val="24"/>
          <w:szCs w:val="24"/>
          <w:highlight w:val="none"/>
        </w:rPr>
        <w:t>人员必须具有消杀专业相关的有害生物防治机构颁发的消杀专业健康上岗证。</w:t>
      </w:r>
    </w:p>
    <w:p w14:paraId="78D35F36">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蟑螂、蚊子、苍蝇每季度在灭前和灭后测定一次密度；鼠密度每月测定一次。所测定的方法按国家规定方法进行。</w:t>
      </w:r>
    </w:p>
    <w:p w14:paraId="2F32B3A4">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所用的消毒杀虫灭鼠剂应符合环保和对</w:t>
      </w:r>
      <w:r>
        <w:rPr>
          <w:rFonts w:hint="eastAsia" w:ascii="宋体" w:hAnsi="宋体" w:eastAsia="宋体" w:cs="宋体"/>
          <w:color w:val="auto"/>
          <w:sz w:val="24"/>
          <w:szCs w:val="24"/>
          <w:highlight w:val="none"/>
          <w:lang w:val="en-US" w:eastAsia="zh-CN"/>
        </w:rPr>
        <w:t>人畜</w:t>
      </w:r>
      <w:r>
        <w:rPr>
          <w:rFonts w:hint="eastAsia" w:ascii="宋体" w:hAnsi="宋体" w:eastAsia="宋体" w:cs="宋体"/>
          <w:color w:val="auto"/>
          <w:sz w:val="24"/>
          <w:szCs w:val="24"/>
          <w:highlight w:val="none"/>
        </w:rPr>
        <w:t>安全的要求。</w:t>
      </w:r>
    </w:p>
    <w:p w14:paraId="38258285">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承担因用药械不当而产生中毒等不良后果的一切责任。</w:t>
      </w:r>
    </w:p>
    <w:p w14:paraId="142CA9FD">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防治技术人员每次进场施工时，严格遵守</w:t>
      </w:r>
      <w:r>
        <w:rPr>
          <w:rFonts w:hint="eastAsia" w:ascii="宋体" w:hAnsi="宋体" w:eastAsia="宋体" w:cs="宋体"/>
          <w:color w:val="auto"/>
          <w:sz w:val="24"/>
          <w:szCs w:val="24"/>
          <w:highlight w:val="none"/>
          <w:lang w:val="en-US" w:eastAsia="zh-CN"/>
        </w:rPr>
        <w:t>相关行业规范和</w:t>
      </w:r>
      <w:r>
        <w:rPr>
          <w:rFonts w:hint="eastAsia" w:ascii="宋体" w:hAnsi="宋体" w:eastAsia="宋体" w:cs="宋体"/>
          <w:color w:val="auto"/>
          <w:sz w:val="24"/>
          <w:szCs w:val="24"/>
          <w:highlight w:val="none"/>
          <w:lang w:eastAsia="zh"/>
        </w:rPr>
        <w:t>采购人</w:t>
      </w:r>
      <w:r>
        <w:rPr>
          <w:rFonts w:hint="eastAsia" w:ascii="宋体" w:hAnsi="宋体" w:eastAsia="宋体" w:cs="宋体"/>
          <w:color w:val="auto"/>
          <w:sz w:val="24"/>
          <w:szCs w:val="24"/>
          <w:highlight w:val="none"/>
        </w:rPr>
        <w:t>规章制度，防治虫害时不影响</w:t>
      </w:r>
      <w:r>
        <w:rPr>
          <w:rFonts w:hint="eastAsia" w:ascii="宋体" w:hAnsi="宋体" w:eastAsia="宋体" w:cs="宋体"/>
          <w:color w:val="auto"/>
          <w:sz w:val="24"/>
          <w:szCs w:val="24"/>
          <w:highlight w:val="none"/>
          <w:lang w:eastAsia="zh"/>
        </w:rPr>
        <w:t>采购人</w:t>
      </w:r>
      <w:r>
        <w:rPr>
          <w:rFonts w:hint="eastAsia" w:ascii="宋体" w:hAnsi="宋体" w:eastAsia="宋体" w:cs="宋体"/>
          <w:color w:val="auto"/>
          <w:sz w:val="24"/>
          <w:szCs w:val="24"/>
          <w:highlight w:val="none"/>
        </w:rPr>
        <w:t>正常工作，并保证消杀服务和质量。</w:t>
      </w:r>
    </w:p>
    <w:p w14:paraId="2CE95D7B">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每次杀虫完毕，须由</w:t>
      </w:r>
      <w:r>
        <w:rPr>
          <w:rFonts w:hint="eastAsia" w:ascii="宋体" w:hAnsi="宋体" w:eastAsia="宋体" w:cs="宋体"/>
          <w:color w:val="auto"/>
          <w:sz w:val="24"/>
          <w:szCs w:val="24"/>
          <w:highlight w:val="none"/>
          <w:lang w:eastAsia="zh"/>
        </w:rPr>
        <w:t>采购人</w:t>
      </w:r>
      <w:r>
        <w:rPr>
          <w:rFonts w:hint="eastAsia" w:ascii="宋体" w:hAnsi="宋体" w:eastAsia="宋体" w:cs="宋体"/>
          <w:color w:val="auto"/>
          <w:sz w:val="24"/>
          <w:szCs w:val="24"/>
          <w:highlight w:val="none"/>
        </w:rPr>
        <w:t>现场人员在验收单上签名后方能作为派工作业凭据认可。必要时</w:t>
      </w:r>
      <w:r>
        <w:rPr>
          <w:rFonts w:hint="eastAsia" w:ascii="宋体" w:hAnsi="宋体" w:eastAsia="宋体" w:cs="宋体"/>
          <w:color w:val="auto"/>
          <w:sz w:val="24"/>
          <w:szCs w:val="24"/>
          <w:highlight w:val="none"/>
          <w:lang w:val="en-US" w:eastAsia="zh-CN"/>
        </w:rPr>
        <w:t>应配合</w:t>
      </w:r>
      <w:r>
        <w:rPr>
          <w:rFonts w:hint="eastAsia" w:ascii="宋体" w:hAnsi="宋体" w:eastAsia="宋体" w:cs="宋体"/>
          <w:color w:val="auto"/>
          <w:sz w:val="24"/>
          <w:szCs w:val="24"/>
          <w:highlight w:val="none"/>
        </w:rPr>
        <w:t>增加防治次数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确保通过各项检查。</w:t>
      </w:r>
    </w:p>
    <w:p w14:paraId="3D51432E">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（9）日常安排一名工作人员在公司7*24小时值班，对采购人提出的突发应急灭害事件，应在2小时内响应并到达现场处置</w:t>
      </w:r>
      <w:r>
        <w:rPr>
          <w:rFonts w:hint="eastAsia" w:ascii="宋体" w:hAnsi="宋体" w:eastAsia="宋体" w:cs="宋体"/>
          <w:color w:val="auto"/>
          <w:sz w:val="24"/>
          <w:szCs w:val="24"/>
          <w:highlight w:val="none"/>
        </w:rPr>
        <w:t>。</w:t>
      </w:r>
    </w:p>
    <w:p w14:paraId="2725637C">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2、服务频次：</w:t>
      </w:r>
    </w:p>
    <w:tbl>
      <w:tblPr>
        <w:tblStyle w:val="7"/>
        <w:tblW w:w="4996"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87"/>
        <w:gridCol w:w="3752"/>
        <w:gridCol w:w="2876"/>
      </w:tblGrid>
      <w:tr w14:paraId="2F25D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vAlign w:val="center"/>
          </w:tcPr>
          <w:p w14:paraId="0EE3B32B">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w:t>
            </w:r>
          </w:p>
        </w:tc>
        <w:tc>
          <w:tcPr>
            <w:tcW w:w="2202" w:type="dxa"/>
            <w:vAlign w:val="center"/>
          </w:tcPr>
          <w:p w14:paraId="0997C043">
            <w:pPr>
              <w:snapToGrid w:val="0"/>
              <w:spacing w:line="4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范围及频次</w:t>
            </w:r>
          </w:p>
        </w:tc>
        <w:tc>
          <w:tcPr>
            <w:tcW w:w="1688" w:type="dxa"/>
            <w:vAlign w:val="center"/>
          </w:tcPr>
          <w:p w14:paraId="65CBCCDA">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1D4D2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1108" w:type="dxa"/>
            <w:vAlign w:val="center"/>
          </w:tcPr>
          <w:p w14:paraId="152F9380">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鼠、蚊、蝇、蟑螂等防制</w:t>
            </w:r>
          </w:p>
        </w:tc>
        <w:tc>
          <w:tcPr>
            <w:tcW w:w="2202" w:type="dxa"/>
            <w:vAlign w:val="center"/>
          </w:tcPr>
          <w:p w14:paraId="68CEF821">
            <w:pPr>
              <w:snapToGrid w:val="0"/>
              <w:spacing w:line="4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每月对全院</w:t>
            </w:r>
            <w:r>
              <w:rPr>
                <w:rFonts w:hint="eastAsia" w:ascii="宋体" w:hAnsi="宋体" w:eastAsia="宋体" w:cs="宋体"/>
                <w:color w:val="auto"/>
                <w:kern w:val="0"/>
                <w:sz w:val="24"/>
                <w:szCs w:val="24"/>
                <w:highlight w:val="none"/>
              </w:rPr>
              <w:t>外环境</w:t>
            </w:r>
            <w:r>
              <w:rPr>
                <w:rFonts w:hint="eastAsia" w:ascii="宋体" w:hAnsi="宋体" w:eastAsia="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rPr>
              <w:t>室内环境</w:t>
            </w:r>
            <w:r>
              <w:rPr>
                <w:rFonts w:hint="eastAsia" w:ascii="宋体" w:hAnsi="宋体" w:eastAsia="宋体" w:cs="宋体"/>
                <w:color w:val="auto"/>
                <w:kern w:val="0"/>
                <w:sz w:val="24"/>
                <w:szCs w:val="24"/>
                <w:highlight w:val="none"/>
                <w:lang w:val="en-US" w:eastAsia="zh-CN"/>
              </w:rPr>
              <w:t>进行</w:t>
            </w:r>
            <w:r>
              <w:rPr>
                <w:rFonts w:hint="eastAsia" w:ascii="宋体" w:hAnsi="宋体" w:eastAsia="宋体" w:cs="宋体"/>
                <w:color w:val="auto"/>
                <w:kern w:val="0"/>
                <w:sz w:val="24"/>
                <w:szCs w:val="24"/>
                <w:highlight w:val="none"/>
              </w:rPr>
              <w:t>1次</w:t>
            </w:r>
            <w:r>
              <w:rPr>
                <w:rFonts w:hint="eastAsia" w:ascii="宋体" w:hAnsi="宋体" w:eastAsia="宋体" w:cs="宋体"/>
                <w:color w:val="auto"/>
                <w:kern w:val="0"/>
                <w:sz w:val="24"/>
                <w:szCs w:val="24"/>
                <w:highlight w:val="none"/>
                <w:lang w:val="en-US" w:eastAsia="zh-CN"/>
              </w:rPr>
              <w:t>全面消杀，定期检查补漏、局部加强。</w:t>
            </w:r>
          </w:p>
        </w:tc>
        <w:tc>
          <w:tcPr>
            <w:tcW w:w="1688" w:type="dxa"/>
            <w:vAlign w:val="top"/>
          </w:tcPr>
          <w:p w14:paraId="75FE92F8">
            <w:pPr>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出现突发鼠虫密度异常升高或者其他关联事项，随时到场处理</w:t>
            </w:r>
          </w:p>
        </w:tc>
      </w:tr>
      <w:tr w14:paraId="3B156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vAlign w:val="top"/>
          </w:tcPr>
          <w:p w14:paraId="69FAEE6D">
            <w:pPr>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白蚁</w:t>
            </w:r>
            <w:r>
              <w:rPr>
                <w:rFonts w:hint="eastAsia" w:ascii="宋体" w:hAnsi="宋体" w:eastAsia="宋体" w:cs="宋体"/>
                <w:color w:val="auto"/>
                <w:kern w:val="0"/>
                <w:sz w:val="24"/>
                <w:szCs w:val="24"/>
                <w:highlight w:val="none"/>
                <w:lang w:val="en-US" w:eastAsia="zh-CN"/>
              </w:rPr>
              <w:t>防治</w:t>
            </w:r>
          </w:p>
        </w:tc>
        <w:tc>
          <w:tcPr>
            <w:tcW w:w="2202" w:type="dxa"/>
            <w:vAlign w:val="center"/>
          </w:tcPr>
          <w:p w14:paraId="49F65117">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防制区域内 4-10月份每月施药消杀一次（全年7次），每个月进行全面检查一次（全年 12次）</w:t>
            </w:r>
          </w:p>
        </w:tc>
        <w:tc>
          <w:tcPr>
            <w:tcW w:w="1688" w:type="dxa"/>
            <w:vAlign w:val="top"/>
          </w:tcPr>
          <w:p w14:paraId="7CFE3239">
            <w:pPr>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出现突发蚁情随叫随到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立即灭杀</w:t>
            </w:r>
          </w:p>
        </w:tc>
      </w:tr>
      <w:tr w14:paraId="1BD70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8" w:type="dxa"/>
            <w:vAlign w:val="top"/>
          </w:tcPr>
          <w:p w14:paraId="0E0BB814">
            <w:pPr>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室内档案虫、书虫</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跳蚤防治</w:t>
            </w:r>
          </w:p>
        </w:tc>
        <w:tc>
          <w:tcPr>
            <w:tcW w:w="2202" w:type="dxa"/>
            <w:vAlign w:val="center"/>
          </w:tcPr>
          <w:p w14:paraId="1710DF4C">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室内档案虫、书虫每季度消杀一次；对发现的跳蚤两小时内到达现场处理。</w:t>
            </w:r>
          </w:p>
        </w:tc>
        <w:tc>
          <w:tcPr>
            <w:tcW w:w="1688" w:type="dxa"/>
            <w:vAlign w:val="top"/>
          </w:tcPr>
          <w:p w14:paraId="74BE974B">
            <w:pPr>
              <w:snapToGrid w:val="0"/>
              <w:spacing w:line="400" w:lineRule="exact"/>
              <w:rPr>
                <w:rFonts w:hint="eastAsia" w:ascii="宋体" w:hAnsi="宋体" w:eastAsia="宋体" w:cs="宋体"/>
                <w:color w:val="auto"/>
                <w:kern w:val="0"/>
                <w:sz w:val="24"/>
                <w:szCs w:val="24"/>
                <w:highlight w:val="none"/>
              </w:rPr>
            </w:pPr>
          </w:p>
        </w:tc>
      </w:tr>
    </w:tbl>
    <w:p w14:paraId="07CF5896">
      <w:pPr>
        <w:snapToGrid w:val="0"/>
        <w:spacing w:line="40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3、病媒生物防制技术、质量标准及验收方法：</w:t>
      </w:r>
      <w:r>
        <w:rPr>
          <w:rFonts w:hint="eastAsia" w:ascii="宋体" w:hAnsi="宋体" w:cs="宋体"/>
          <w:color w:val="auto"/>
          <w:sz w:val="24"/>
          <w:szCs w:val="24"/>
          <w:highlight w:val="none"/>
          <w:lang w:val="en-US" w:eastAsia="zh-CN"/>
        </w:rPr>
        <w:t>参见</w:t>
      </w:r>
      <w:r>
        <w:rPr>
          <w:rFonts w:hint="eastAsia" w:ascii="宋体" w:hAnsi="宋体" w:eastAsia="宋体" w:cs="宋体"/>
          <w:color w:val="auto"/>
          <w:sz w:val="24"/>
          <w:szCs w:val="24"/>
          <w:highlight w:val="none"/>
          <w:lang w:val="en-US" w:eastAsia="zh-CN"/>
        </w:rPr>
        <w:t>《病媒生物密度控制水平 鼠类》（GB/T27770-2011）、《病媒生物密度控制水平 蚊虫》（GB/T27771-2011）、《病媒生物密度控制水平 蝇类》（GB/T27772-2011）、《病媒生物密度控制水平 蜚蠊》（GB/T27773-2011）规定的C级标准、《病媒生物密度监测方法 鼠类》（GB/T 23798-2009）、《病媒生物密度监测方法 蜚蠊》（GB/T 23795-2009）、《病媒生物密度监测方法 蝇类》（GB/T 23796-2009）、《病媒生物密度监测方法 蚊虫》（GB/T 23797-2020）以及国家、自治区、南宁市出台的有关标准和要求。</w:t>
      </w:r>
      <w:r>
        <w:rPr>
          <w:rFonts w:hint="eastAsia" w:ascii="宋体" w:hAnsi="宋体" w:cs="宋体"/>
          <w:color w:val="auto"/>
          <w:sz w:val="24"/>
          <w:szCs w:val="24"/>
          <w:highlight w:val="none"/>
          <w:lang w:val="en-US" w:eastAsia="zh-CN"/>
        </w:rPr>
        <w:t>如标准和要求有更新的，按最新标准执行。</w:t>
      </w:r>
    </w:p>
    <w:p w14:paraId="7219A0DE">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4、白蚁防制技术、质量标准及验收方法：以《房屋白蚁预防技术规程》（JGJ/T245-2011）为验收参考标准</w:t>
      </w:r>
      <w:r>
        <w:rPr>
          <w:rFonts w:hint="eastAsia" w:ascii="宋体" w:hAnsi="宋体" w:cs="宋体"/>
          <w:color w:val="auto"/>
          <w:sz w:val="24"/>
          <w:szCs w:val="24"/>
          <w:highlight w:val="none"/>
          <w:lang w:val="en-US" w:eastAsia="zh-CN"/>
        </w:rPr>
        <w:t>，如标准和要求有更新的，按最新标准执行</w:t>
      </w:r>
      <w:r>
        <w:rPr>
          <w:rFonts w:hint="eastAsia" w:ascii="宋体" w:hAnsi="宋体" w:eastAsia="宋体" w:cs="宋体"/>
          <w:color w:val="auto"/>
          <w:sz w:val="24"/>
          <w:szCs w:val="24"/>
          <w:highlight w:val="none"/>
          <w:lang w:val="en-US" w:eastAsia="zh-CN"/>
        </w:rPr>
        <w:t>。（1）原发处不再出现活蚁；（2）经药物预防处理过的蚁巢未发现活蚁；（3）因纷飞季节不可避免新增的蚁患，出现一处及时灭治一处；（4）现场检查白蚁的危害情况以在院内布放一定数量的诱杀盒，一个月后发现诱杀盒的被蛀食的数量不超过3个为符合标准 。</w:t>
      </w:r>
    </w:p>
    <w:p w14:paraId="22DB4053">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鼠类控制方法</w:t>
      </w:r>
      <w:r>
        <w:rPr>
          <w:rFonts w:hint="eastAsia" w:ascii="宋体" w:hAnsi="宋体" w:eastAsia="宋体" w:cs="宋体"/>
          <w:color w:val="auto"/>
          <w:sz w:val="24"/>
          <w:szCs w:val="24"/>
          <w:highlight w:val="none"/>
          <w:lang w:eastAsia="zh-CN"/>
        </w:rPr>
        <w:t>：</w:t>
      </w:r>
    </w:p>
    <w:p w14:paraId="41EE6507">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
        </w:rPr>
        <w:t>采购人</w:t>
      </w:r>
      <w:r>
        <w:rPr>
          <w:rFonts w:hint="eastAsia" w:ascii="宋体" w:hAnsi="宋体" w:eastAsia="宋体" w:cs="宋体"/>
          <w:color w:val="auto"/>
          <w:sz w:val="24"/>
          <w:szCs w:val="24"/>
          <w:highlight w:val="none"/>
        </w:rPr>
        <w:t>的配合下，充分了解防治范围内外的环境状况，掌握鼠类的息栖场所及生活习性，制订出切实可行的实施方案，并派出专业技术人员负责实施。</w:t>
      </w:r>
    </w:p>
    <w:p w14:paraId="058777FD">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使用高效、对人体安全的灭鼠药剂，</w:t>
      </w:r>
      <w:r>
        <w:rPr>
          <w:rFonts w:hint="eastAsia" w:ascii="宋体" w:hAnsi="宋体" w:eastAsia="宋体" w:cs="宋体"/>
          <w:color w:val="auto"/>
          <w:sz w:val="24"/>
          <w:szCs w:val="24"/>
          <w:highlight w:val="none"/>
          <w:lang w:val="en-US" w:eastAsia="zh-CN"/>
        </w:rPr>
        <w:t>避免鼠类抗性的产生，</w:t>
      </w:r>
      <w:r>
        <w:rPr>
          <w:rFonts w:hint="eastAsia" w:ascii="宋体" w:hAnsi="宋体" w:eastAsia="宋体" w:cs="宋体"/>
          <w:color w:val="auto"/>
          <w:sz w:val="24"/>
          <w:szCs w:val="24"/>
          <w:highlight w:val="none"/>
        </w:rPr>
        <w:t>确保灭鼠工作安全、高效进行。</w:t>
      </w:r>
    </w:p>
    <w:p w14:paraId="4553492E">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取突击性与经常性相结合的办法，根据鼠的栖息场所和活动规律，每个月采用“连续法”或“间隔法”投放毒饵，不留空白，必要时投放前饵，切实保证药饵的饱和率与到位率达到99%以上；如出现腐臭死鼠，负责进行清理消毒。</w:t>
      </w:r>
    </w:p>
    <w:p w14:paraId="090B881C">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根据特殊环境及鼠情需要，在采用化学方法灭鼠的同时兼施物理方法（鼠笼、鼠胶等）。</w:t>
      </w:r>
    </w:p>
    <w:p w14:paraId="37643242">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依据鼠类生境的调查结果，于首次灭后10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15天负责提请</w:t>
      </w:r>
      <w:r>
        <w:rPr>
          <w:rFonts w:hint="eastAsia" w:ascii="宋体" w:hAnsi="宋体" w:eastAsia="宋体" w:cs="宋体"/>
          <w:color w:val="auto"/>
          <w:sz w:val="24"/>
          <w:szCs w:val="24"/>
          <w:highlight w:val="none"/>
          <w:lang w:eastAsia="zh"/>
        </w:rPr>
        <w:t>采购人</w:t>
      </w:r>
      <w:r>
        <w:rPr>
          <w:rFonts w:hint="eastAsia" w:ascii="宋体" w:hAnsi="宋体" w:eastAsia="宋体" w:cs="宋体"/>
          <w:color w:val="auto"/>
          <w:sz w:val="24"/>
          <w:szCs w:val="24"/>
          <w:highlight w:val="none"/>
        </w:rPr>
        <w:t>在相应地点布设防鼠设施。</w:t>
      </w:r>
    </w:p>
    <w:p w14:paraId="1AC51479">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在施药时要做到把所放药物的位置记录成图及注意事项提前告知采购人，并在外环境投鼠药处适当位置布设明显警示标志，以便相互配合确保安全。如未尽到提醒义务，导致其他人员受伤，供应商应负全部责任。</w:t>
      </w:r>
    </w:p>
    <w:p w14:paraId="6FBC39F4">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（7）如遇突发鼠虫情，在接到采购人通知后2小时内做出响应并到达现场调查处理。</w:t>
      </w:r>
    </w:p>
    <w:p w14:paraId="5A38F44B">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（8）在工作过程中按规范要求操作，如供应商投入人员发生防治受伤（诱捕器夹伤、鼠咬等）由供应商自行负责。</w:t>
      </w:r>
    </w:p>
    <w:p w14:paraId="5292CC14">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蟑螂控制方法</w:t>
      </w:r>
    </w:p>
    <w:p w14:paraId="4D2F168F">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个月进行一次全面的施药。下水道和垃圾通道灭蟑使用热烟雾机，确保所有下水道和垃圾通道施药到位；室外施药使用手提式和背负式机动喷雾机，实施“滞留喷洒”技术；其余使用背负式机动超低容量喷雾机，实施“超低容量喷雾”技术。</w:t>
      </w:r>
    </w:p>
    <w:p w14:paraId="28DA3306">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根据蟑螂的杀灭情况，卫生杀虫剂配制复方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杀虫烟雾剂交替使用，避免蟑螂抗性的产生，保证杀灭效果。特殊场所灭蟑采用灭蟑胶饵及药饵予以连锁毒杀。</w:t>
      </w:r>
    </w:p>
    <w:p w14:paraId="3C6E8EED">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蚊子、苍蝇类等有害生物控制方法</w:t>
      </w:r>
    </w:p>
    <w:p w14:paraId="44992C94">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每个月进行一次全面的施药，重点控制垃圾场所、绿化带附近的有害生物密度。必要时综合使用灭蝇带、药饵等灭虫方法。</w:t>
      </w:r>
    </w:p>
    <w:p w14:paraId="2C99A87A">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
        </w:rPr>
        <w:t>采购人</w:t>
      </w:r>
      <w:r>
        <w:rPr>
          <w:rFonts w:hint="eastAsia" w:ascii="宋体" w:hAnsi="宋体" w:eastAsia="宋体" w:cs="宋体"/>
          <w:color w:val="auto"/>
          <w:sz w:val="24"/>
          <w:szCs w:val="24"/>
          <w:highlight w:val="none"/>
        </w:rPr>
        <w:t>周边的苍蝇、蚊子等有害生物滋生环境进行药物处理。</w:t>
      </w:r>
    </w:p>
    <w:p w14:paraId="0F9809AA">
      <w:pPr>
        <w:snapToGrid w:val="0"/>
        <w:spacing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白蚁的控制方法</w:t>
      </w:r>
    </w:p>
    <w:p w14:paraId="2072EEA1">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调查</w:t>
      </w:r>
      <w:r>
        <w:rPr>
          <w:rFonts w:hint="eastAsia" w:ascii="宋体" w:hAnsi="宋体" w:eastAsia="宋体" w:cs="宋体"/>
          <w:color w:val="auto"/>
          <w:sz w:val="24"/>
          <w:szCs w:val="24"/>
          <w:highlight w:val="none"/>
          <w:lang w:eastAsia="zh"/>
        </w:rPr>
        <w:t>采购人</w:t>
      </w:r>
      <w:r>
        <w:rPr>
          <w:rFonts w:hint="eastAsia" w:ascii="宋体" w:hAnsi="宋体" w:eastAsia="宋体" w:cs="宋体"/>
          <w:color w:val="auto"/>
          <w:sz w:val="24"/>
          <w:szCs w:val="24"/>
          <w:highlight w:val="none"/>
        </w:rPr>
        <w:t>内外环境的白蚊种类和危害情况。</w:t>
      </w:r>
    </w:p>
    <w:p w14:paraId="1BFE5A97">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在防治范围内，每个月进行一次全面检查，如发现蚁情，应立即予以杀灭。</w:t>
      </w:r>
    </w:p>
    <w:p w14:paraId="4AAB3BA5">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防治白蚁所使用的药剂应遵循“高效低毒、残效期长、污染小”的原则。</w:t>
      </w:r>
    </w:p>
    <w:p w14:paraId="18E7B4BE">
      <w:pPr>
        <w:snapToGrid w:val="0"/>
        <w:spacing w:line="40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白蚁有相互舔食的生活习性，宜采用粉球把慢性白蚁药粉喷注在蚁患门、窗框、木地板、树木等上有活蚁的区域，使活白蚁带毒回蚁巢进而对整个蚁巢里所有的活白蚁进行连锁传毒杀灭，达到整巢根治的效果。</w:t>
      </w:r>
    </w:p>
    <w:p w14:paraId="4C5C5BF9">
      <w:pPr>
        <w:snapToGrid w:val="0"/>
        <w:spacing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9、跳蚤的控制方法</w:t>
      </w:r>
    </w:p>
    <w:p w14:paraId="3C37C0F7">
      <w:pPr>
        <w:snapToGrid w:val="0"/>
        <w:spacing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（1）调查</w:t>
      </w:r>
      <w:r>
        <w:rPr>
          <w:rFonts w:hint="eastAsia" w:ascii="宋体" w:hAnsi="宋体" w:eastAsia="宋体" w:cs="宋体"/>
          <w:color w:val="auto"/>
          <w:sz w:val="24"/>
          <w:szCs w:val="24"/>
          <w:highlight w:val="none"/>
          <w:lang w:val="en-US" w:eastAsia="zh"/>
        </w:rPr>
        <w:t>采购人</w:t>
      </w:r>
      <w:r>
        <w:rPr>
          <w:rFonts w:hint="eastAsia" w:ascii="宋体" w:hAnsi="宋体" w:eastAsia="宋体" w:cs="宋体"/>
          <w:color w:val="auto"/>
          <w:sz w:val="24"/>
          <w:szCs w:val="24"/>
          <w:highlight w:val="none"/>
          <w:lang w:val="en-US" w:eastAsia="zh-CN"/>
        </w:rPr>
        <w:t>内可能出现跳蚤的区域，按要求定期进行消杀。</w:t>
      </w:r>
    </w:p>
    <w:p w14:paraId="7BC2BBDF">
      <w:pPr>
        <w:snapToGrid w:val="0"/>
        <w:spacing w:line="40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（2）对室内档案虫、书虫每季度消杀一次，对突发发现的跳蚤两小时内到达现</w:t>
      </w:r>
      <w:r>
        <w:rPr>
          <w:rFonts w:hint="eastAsia" w:ascii="宋体" w:hAnsi="宋体" w:eastAsia="宋体" w:cs="宋体"/>
          <w:b w:val="0"/>
          <w:bCs w:val="0"/>
          <w:color w:val="auto"/>
          <w:sz w:val="24"/>
          <w:szCs w:val="24"/>
          <w:highlight w:val="none"/>
          <w:lang w:val="en-US" w:eastAsia="zh-CN"/>
        </w:rPr>
        <w:t>场处理。</w:t>
      </w:r>
    </w:p>
    <w:p w14:paraId="40871FC1">
      <w:pPr>
        <w:snapToGrid w:val="0"/>
        <w:spacing w:line="400" w:lineRule="exact"/>
        <w:rPr>
          <w:rFonts w:hint="eastAsia" w:ascii="宋体" w:hAnsi="宋体" w:eastAsia="宋体" w:cs="宋体"/>
          <w:b w:val="0"/>
          <w:bCs w:val="0"/>
          <w:color w:val="auto"/>
          <w:sz w:val="24"/>
          <w:szCs w:val="24"/>
          <w:highlight w:val="none"/>
          <w:lang w:val="en-US" w:eastAsia="zh-CN"/>
        </w:rPr>
      </w:pPr>
    </w:p>
    <w:p w14:paraId="4A17C6FE">
      <w:pPr>
        <w:snapToGrid w:val="0"/>
        <w:spacing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四、用药要求</w:t>
      </w:r>
    </w:p>
    <w:p w14:paraId="0BD35ACF">
      <w:pPr>
        <w:snapToGrid w:val="0"/>
        <w:spacing w:line="40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所服务区域实行包工包料包达标，各供应商选用的消杀药品必须在有效期内，根据不同的病媒控制对象并结合不同环境类别通过合法途径以高效、低毒、环保、安全、精准投放为原则，杜绝选用低劣（已失效或批次质量不稳定）、非法（法规禁用、来源不明或未经许可自配）、高毒等的卫生杀虫剂及过度用药。</w:t>
      </w:r>
    </w:p>
    <w:p w14:paraId="223D678F">
      <w:pPr>
        <w:snapToGrid w:val="0"/>
        <w:spacing w:line="40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本项目除四害用药及主要技术参数明细表</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3489"/>
        <w:gridCol w:w="4462"/>
      </w:tblGrid>
      <w:tr w14:paraId="3B52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pct"/>
            <w:tcBorders>
              <w:top w:val="single" w:color="auto" w:sz="4" w:space="0"/>
              <w:left w:val="single" w:color="auto" w:sz="4" w:space="0"/>
              <w:bottom w:val="single" w:color="auto" w:sz="4" w:space="0"/>
              <w:right w:val="single" w:color="auto" w:sz="4" w:space="0"/>
            </w:tcBorders>
            <w:noWrap w:val="0"/>
            <w:vAlign w:val="center"/>
          </w:tcPr>
          <w:p w14:paraId="4FDB71A2">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047" w:type="pct"/>
            <w:tcBorders>
              <w:top w:val="single" w:color="auto" w:sz="4" w:space="0"/>
              <w:left w:val="single" w:color="auto" w:sz="4" w:space="0"/>
              <w:bottom w:val="single" w:color="auto" w:sz="4" w:space="0"/>
              <w:right w:val="single" w:color="auto" w:sz="4" w:space="0"/>
            </w:tcBorders>
            <w:noWrap w:val="0"/>
            <w:vAlign w:val="center"/>
          </w:tcPr>
          <w:p w14:paraId="2ED3365B">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主要技术参数（有效成分、含量、剂型）及投放要求</w:t>
            </w:r>
          </w:p>
        </w:tc>
        <w:tc>
          <w:tcPr>
            <w:tcW w:w="2618" w:type="pct"/>
            <w:tcBorders>
              <w:top w:val="single" w:color="auto" w:sz="4" w:space="0"/>
              <w:left w:val="single" w:color="auto" w:sz="4" w:space="0"/>
              <w:bottom w:val="single" w:color="auto" w:sz="4" w:space="0"/>
              <w:right w:val="single" w:color="auto" w:sz="4" w:space="0"/>
            </w:tcBorders>
            <w:noWrap w:val="0"/>
            <w:vAlign w:val="center"/>
          </w:tcPr>
          <w:p w14:paraId="13084D32">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药品用途及类别</w:t>
            </w:r>
          </w:p>
        </w:tc>
      </w:tr>
      <w:tr w14:paraId="3908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pct"/>
            <w:tcBorders>
              <w:top w:val="single" w:color="auto" w:sz="4" w:space="0"/>
              <w:left w:val="single" w:color="auto" w:sz="4" w:space="0"/>
              <w:bottom w:val="single" w:color="auto" w:sz="4" w:space="0"/>
              <w:right w:val="single" w:color="auto" w:sz="4" w:space="0"/>
            </w:tcBorders>
            <w:noWrap w:val="0"/>
            <w:vAlign w:val="center"/>
          </w:tcPr>
          <w:p w14:paraId="5BBF481E">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047" w:type="pct"/>
            <w:tcBorders>
              <w:top w:val="single" w:color="auto" w:sz="4" w:space="0"/>
              <w:left w:val="single" w:color="auto" w:sz="4" w:space="0"/>
              <w:bottom w:val="single" w:color="auto" w:sz="4" w:space="0"/>
              <w:right w:val="single" w:color="auto" w:sz="4" w:space="0"/>
            </w:tcBorders>
            <w:noWrap w:val="0"/>
            <w:vAlign w:val="center"/>
          </w:tcPr>
          <w:p w14:paraId="24CE9DF8">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吡丙醚≥0.5%（含复配剂）</w:t>
            </w:r>
            <w:r>
              <w:rPr>
                <w:rFonts w:hint="eastAsia" w:ascii="宋体" w:hAnsi="宋体" w:eastAsia="宋体" w:cs="宋体"/>
                <w:color w:val="auto"/>
                <w:kern w:val="0"/>
                <w:szCs w:val="21"/>
                <w:highlight w:val="none"/>
                <w:lang w:eastAsia="zh-CN"/>
              </w:rPr>
              <w:t>或倍硫磷</w:t>
            </w:r>
            <w:r>
              <w:rPr>
                <w:rFonts w:hint="eastAsia" w:ascii="宋体" w:hAnsi="宋体" w:eastAsia="宋体" w:cs="宋体"/>
                <w:color w:val="auto"/>
                <w:kern w:val="0"/>
                <w:szCs w:val="21"/>
                <w:highlight w:val="none"/>
              </w:rPr>
              <w:t>≥0.5%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颗粒剂或水乳剂</w:t>
            </w:r>
          </w:p>
        </w:tc>
        <w:tc>
          <w:tcPr>
            <w:tcW w:w="2618" w:type="pct"/>
            <w:tcBorders>
              <w:top w:val="single" w:color="auto" w:sz="4" w:space="0"/>
              <w:left w:val="single" w:color="auto" w:sz="4" w:space="0"/>
              <w:bottom w:val="single" w:color="auto" w:sz="4" w:space="0"/>
              <w:right w:val="single" w:color="auto" w:sz="4" w:space="0"/>
            </w:tcBorders>
            <w:noWrap w:val="0"/>
            <w:vAlign w:val="center"/>
          </w:tcPr>
          <w:p w14:paraId="33CA96FD">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内外环境蚊类孳生地用药（颗粒剂或水乳剂）</w:t>
            </w:r>
          </w:p>
        </w:tc>
      </w:tr>
      <w:tr w14:paraId="620B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pct"/>
            <w:tcBorders>
              <w:top w:val="single" w:color="auto" w:sz="4" w:space="0"/>
              <w:left w:val="single" w:color="auto" w:sz="4" w:space="0"/>
              <w:bottom w:val="single" w:color="auto" w:sz="4" w:space="0"/>
              <w:right w:val="single" w:color="auto" w:sz="4" w:space="0"/>
            </w:tcBorders>
            <w:noWrap w:val="0"/>
            <w:vAlign w:val="center"/>
          </w:tcPr>
          <w:p w14:paraId="2DD0B828">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047" w:type="pct"/>
            <w:tcBorders>
              <w:top w:val="single" w:color="auto" w:sz="4" w:space="0"/>
              <w:left w:val="single" w:color="auto" w:sz="4" w:space="0"/>
              <w:bottom w:val="single" w:color="auto" w:sz="4" w:space="0"/>
              <w:right w:val="single" w:color="auto" w:sz="4" w:space="0"/>
            </w:tcBorders>
            <w:noWrap w:val="0"/>
            <w:vAlign w:val="center"/>
          </w:tcPr>
          <w:p w14:paraId="2727B680">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残杀威·右旋苯醚氰菊酯</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乳油</w:t>
            </w:r>
          </w:p>
        </w:tc>
        <w:tc>
          <w:tcPr>
            <w:tcW w:w="2618" w:type="pct"/>
            <w:tcBorders>
              <w:top w:val="single" w:color="auto" w:sz="4" w:space="0"/>
              <w:left w:val="single" w:color="auto" w:sz="4" w:space="0"/>
              <w:bottom w:val="single" w:color="auto" w:sz="4" w:space="0"/>
              <w:right w:val="single" w:color="auto" w:sz="4" w:space="0"/>
            </w:tcBorders>
            <w:noWrap w:val="0"/>
            <w:vAlign w:val="center"/>
          </w:tcPr>
          <w:p w14:paraId="7068F442">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内</w:t>
            </w:r>
            <w:r>
              <w:rPr>
                <w:rFonts w:hint="eastAsia" w:ascii="宋体" w:hAnsi="宋体" w:eastAsia="宋体" w:cs="宋体"/>
                <w:color w:val="auto"/>
                <w:kern w:val="0"/>
                <w:szCs w:val="21"/>
                <w:highlight w:val="none"/>
              </w:rPr>
              <w:t>外环境成蚊、蝇、蟑螂栖息场所用药（</w:t>
            </w:r>
            <w:r>
              <w:rPr>
                <w:rFonts w:hint="eastAsia" w:ascii="宋体" w:hAnsi="宋体" w:eastAsia="宋体" w:cs="宋体"/>
                <w:color w:val="auto"/>
                <w:kern w:val="0"/>
                <w:szCs w:val="21"/>
                <w:highlight w:val="none"/>
                <w:lang w:val="en-US" w:eastAsia="zh-CN"/>
              </w:rPr>
              <w:t>乳油</w:t>
            </w:r>
            <w:r>
              <w:rPr>
                <w:rFonts w:hint="eastAsia" w:ascii="宋体" w:hAnsi="宋体" w:eastAsia="宋体" w:cs="宋体"/>
                <w:color w:val="auto"/>
                <w:kern w:val="0"/>
                <w:szCs w:val="21"/>
                <w:highlight w:val="none"/>
              </w:rPr>
              <w:t>）</w:t>
            </w:r>
          </w:p>
        </w:tc>
      </w:tr>
      <w:tr w14:paraId="278B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4" w:type="pct"/>
            <w:tcBorders>
              <w:top w:val="single" w:color="auto" w:sz="4" w:space="0"/>
              <w:left w:val="single" w:color="auto" w:sz="4" w:space="0"/>
              <w:bottom w:val="single" w:color="auto" w:sz="4" w:space="0"/>
              <w:right w:val="single" w:color="auto" w:sz="4" w:space="0"/>
            </w:tcBorders>
            <w:noWrap w:val="0"/>
            <w:vAlign w:val="center"/>
          </w:tcPr>
          <w:p w14:paraId="6353B6C5">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047" w:type="pct"/>
            <w:tcBorders>
              <w:top w:val="single" w:color="auto" w:sz="4" w:space="0"/>
              <w:left w:val="single" w:color="auto" w:sz="4" w:space="0"/>
              <w:bottom w:val="single" w:color="auto" w:sz="4" w:space="0"/>
              <w:right w:val="single" w:color="auto" w:sz="4" w:space="0"/>
            </w:tcBorders>
            <w:noWrap w:val="0"/>
            <w:vAlign w:val="center"/>
          </w:tcPr>
          <w:p w14:paraId="31EF4F41">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高效氯氰菊酯≥5%，悬浮剂，</w:t>
            </w:r>
          </w:p>
        </w:tc>
        <w:tc>
          <w:tcPr>
            <w:tcW w:w="2618" w:type="pct"/>
            <w:tcBorders>
              <w:top w:val="single" w:color="auto" w:sz="4" w:space="0"/>
              <w:left w:val="single" w:color="auto" w:sz="4" w:space="0"/>
              <w:bottom w:val="single" w:color="auto" w:sz="4" w:space="0"/>
              <w:right w:val="single" w:color="auto" w:sz="4" w:space="0"/>
            </w:tcBorders>
            <w:noWrap w:val="0"/>
            <w:vAlign w:val="center"/>
          </w:tcPr>
          <w:p w14:paraId="6248D190">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内外环境成蝇、蚊、蟑用药（悬浮剂）</w:t>
            </w:r>
          </w:p>
        </w:tc>
      </w:tr>
      <w:tr w14:paraId="5B4C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pct"/>
            <w:tcBorders>
              <w:top w:val="single" w:color="auto" w:sz="4" w:space="0"/>
              <w:left w:val="single" w:color="auto" w:sz="4" w:space="0"/>
              <w:bottom w:val="single" w:color="auto" w:sz="4" w:space="0"/>
              <w:right w:val="single" w:color="auto" w:sz="4" w:space="0"/>
            </w:tcBorders>
            <w:noWrap w:val="0"/>
            <w:vAlign w:val="center"/>
          </w:tcPr>
          <w:p w14:paraId="58905AE6">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047" w:type="pct"/>
            <w:tcBorders>
              <w:top w:val="single" w:color="auto" w:sz="4" w:space="0"/>
              <w:left w:val="single" w:color="auto" w:sz="4" w:space="0"/>
              <w:bottom w:val="single" w:color="auto" w:sz="4" w:space="0"/>
              <w:right w:val="single" w:color="auto" w:sz="4" w:space="0"/>
            </w:tcBorders>
            <w:noWrap w:val="0"/>
            <w:vAlign w:val="center"/>
          </w:tcPr>
          <w:p w14:paraId="65FD1A67">
            <w:pPr>
              <w:shd w:val="clear" w:color="auto" w:fill="auto"/>
              <w:spacing w:line="440" w:lineRule="exac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21"/>
                <w:szCs w:val="21"/>
                <w:highlight w:val="none"/>
                <w:lang w:val="en-US" w:eastAsia="zh-CN" w:bidi="ar"/>
              </w:rPr>
              <w:t>四氟醚菊酯·氯菊酯≥5%，水乳剂</w:t>
            </w:r>
          </w:p>
        </w:tc>
        <w:tc>
          <w:tcPr>
            <w:tcW w:w="2618" w:type="pct"/>
            <w:tcBorders>
              <w:top w:val="single" w:color="auto" w:sz="4" w:space="0"/>
              <w:left w:val="single" w:color="auto" w:sz="4" w:space="0"/>
              <w:bottom w:val="single" w:color="auto" w:sz="4" w:space="0"/>
              <w:right w:val="single" w:color="auto" w:sz="4" w:space="0"/>
            </w:tcBorders>
            <w:noWrap w:val="0"/>
            <w:vAlign w:val="center"/>
          </w:tcPr>
          <w:p w14:paraId="05D46A01">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室内蟑螂、蝇、蚊成虫杀灭用药（水乳剂）</w:t>
            </w:r>
          </w:p>
        </w:tc>
      </w:tr>
      <w:tr w14:paraId="19DA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pct"/>
            <w:tcBorders>
              <w:top w:val="single" w:color="auto" w:sz="4" w:space="0"/>
              <w:left w:val="single" w:color="auto" w:sz="4" w:space="0"/>
              <w:bottom w:val="single" w:color="auto" w:sz="4" w:space="0"/>
              <w:right w:val="single" w:color="auto" w:sz="4" w:space="0"/>
            </w:tcBorders>
            <w:noWrap w:val="0"/>
            <w:vAlign w:val="center"/>
          </w:tcPr>
          <w:p w14:paraId="6E651B67">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047" w:type="pct"/>
            <w:tcBorders>
              <w:top w:val="single" w:color="auto" w:sz="4" w:space="0"/>
              <w:left w:val="single" w:color="auto" w:sz="4" w:space="0"/>
              <w:bottom w:val="single" w:color="auto" w:sz="4" w:space="0"/>
              <w:right w:val="single" w:color="auto" w:sz="4" w:space="0"/>
            </w:tcBorders>
            <w:noWrap w:val="0"/>
            <w:vAlign w:val="center"/>
          </w:tcPr>
          <w:p w14:paraId="0C722271">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高效氯氰菊酯≥1%（含复配剂），热雾剂</w:t>
            </w:r>
          </w:p>
        </w:tc>
        <w:tc>
          <w:tcPr>
            <w:tcW w:w="2618" w:type="pct"/>
            <w:tcBorders>
              <w:top w:val="single" w:color="auto" w:sz="4" w:space="0"/>
              <w:left w:val="single" w:color="auto" w:sz="4" w:space="0"/>
              <w:bottom w:val="single" w:color="auto" w:sz="4" w:space="0"/>
              <w:right w:val="single" w:color="auto" w:sz="4" w:space="0"/>
            </w:tcBorders>
            <w:noWrap w:val="0"/>
            <w:vAlign w:val="center"/>
          </w:tcPr>
          <w:p w14:paraId="0FD5C804">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下水道、化粪池蟑螂等孳生、栖息地用药（热雾剂）</w:t>
            </w:r>
          </w:p>
        </w:tc>
      </w:tr>
      <w:tr w14:paraId="4ECA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pct"/>
            <w:tcBorders>
              <w:top w:val="single" w:color="auto" w:sz="4" w:space="0"/>
              <w:left w:val="single" w:color="auto" w:sz="4" w:space="0"/>
              <w:bottom w:val="single" w:color="auto" w:sz="4" w:space="0"/>
              <w:right w:val="single" w:color="auto" w:sz="4" w:space="0"/>
            </w:tcBorders>
            <w:noWrap w:val="0"/>
            <w:vAlign w:val="center"/>
          </w:tcPr>
          <w:p w14:paraId="1098555B">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047" w:type="pct"/>
            <w:tcBorders>
              <w:top w:val="single" w:color="auto" w:sz="4" w:space="0"/>
              <w:left w:val="single" w:color="auto" w:sz="4" w:space="0"/>
              <w:bottom w:val="single" w:color="auto" w:sz="4" w:space="0"/>
              <w:right w:val="single" w:color="auto" w:sz="4" w:space="0"/>
            </w:tcBorders>
            <w:noWrap w:val="0"/>
            <w:vAlign w:val="center"/>
          </w:tcPr>
          <w:p w14:paraId="0F7B1AF5">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溴敌隆、溴鼠灵或氟鼠灵≥0.005%，饵剂</w:t>
            </w:r>
          </w:p>
        </w:tc>
        <w:tc>
          <w:tcPr>
            <w:tcW w:w="2618" w:type="pct"/>
            <w:tcBorders>
              <w:top w:val="single" w:color="auto" w:sz="4" w:space="0"/>
              <w:left w:val="single" w:color="auto" w:sz="4" w:space="0"/>
              <w:bottom w:val="single" w:color="auto" w:sz="4" w:space="0"/>
              <w:right w:val="single" w:color="auto" w:sz="4" w:space="0"/>
            </w:tcBorders>
            <w:noWrap w:val="0"/>
            <w:vAlign w:val="center"/>
          </w:tcPr>
          <w:p w14:paraId="56F0E9C7">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公共环境灭鼠用药（饵剂）</w:t>
            </w:r>
          </w:p>
        </w:tc>
      </w:tr>
      <w:tr w14:paraId="1B4A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334" w:type="pct"/>
            <w:tcBorders>
              <w:top w:val="single" w:color="auto" w:sz="4" w:space="0"/>
              <w:left w:val="single" w:color="auto" w:sz="4" w:space="0"/>
              <w:bottom w:val="single" w:color="auto" w:sz="4" w:space="0"/>
              <w:right w:val="single" w:color="auto" w:sz="4" w:space="0"/>
            </w:tcBorders>
            <w:noWrap w:val="0"/>
            <w:vAlign w:val="center"/>
          </w:tcPr>
          <w:p w14:paraId="22E3B95D">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4665" w:type="pct"/>
            <w:gridSpan w:val="2"/>
            <w:tcBorders>
              <w:top w:val="single" w:color="auto" w:sz="4" w:space="0"/>
              <w:left w:val="single" w:color="auto" w:sz="4" w:space="0"/>
              <w:bottom w:val="single" w:color="auto" w:sz="4" w:space="0"/>
              <w:right w:val="single" w:color="auto" w:sz="4" w:space="0"/>
            </w:tcBorders>
            <w:noWrap w:val="0"/>
            <w:vAlign w:val="center"/>
          </w:tcPr>
          <w:p w14:paraId="5A271003">
            <w:pPr>
              <w:shd w:val="clear" w:color="auto" w:fill="auto"/>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毒鼠屋（水泥≥长29cm×宽17cm×高14cm）,鼠屋布放要求：按规范隐蔽设置。靠近食品生产、销售等食物丰富的行业周围的场所，每隔15-20米放置一个；机关单位、住宅区等则可每隔20-30米放置一个；一般场所绿地、围墙边的摆放间距可作适当调整，但每1000米布放不能少于30个。（用途：灭鼠）</w:t>
            </w:r>
          </w:p>
        </w:tc>
      </w:tr>
    </w:tbl>
    <w:p w14:paraId="621936A4">
      <w:pPr>
        <w:snapToGrid w:val="0"/>
        <w:spacing w:line="40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1.以上1－5项所列卫生杀虫剂及第6项灭鼠剂为本项目消杀</w:t>
      </w:r>
      <w:r>
        <w:rPr>
          <w:rFonts w:hint="eastAsia" w:ascii="宋体" w:hAnsi="宋体" w:cs="宋体"/>
          <w:b w:val="0"/>
          <w:bCs w:val="0"/>
          <w:color w:val="auto"/>
          <w:sz w:val="24"/>
          <w:szCs w:val="24"/>
          <w:highlight w:val="none"/>
          <w:lang w:val="en-US" w:eastAsia="zh-CN"/>
        </w:rPr>
        <w:t>用药</w:t>
      </w:r>
      <w:r>
        <w:rPr>
          <w:rFonts w:hint="eastAsia" w:ascii="宋体" w:hAnsi="宋体" w:eastAsia="宋体" w:cs="宋体"/>
          <w:b w:val="0"/>
          <w:bCs w:val="0"/>
          <w:color w:val="auto"/>
          <w:sz w:val="24"/>
          <w:szCs w:val="24"/>
          <w:highlight w:val="none"/>
          <w:lang w:val="en-US" w:eastAsia="zh-CN"/>
        </w:rPr>
        <w:t>类别，投标人所选用的药品可按照不低于以上所列的药械技术参数来选用，即有效成分、含量和剂型符合要求。若在服务期内，自治区、南宁市、城区疾控等有关技术部门根据实际消杀灭效果另行调整指导用药的，供应商须无条件依照指示要求应用。</w:t>
      </w:r>
    </w:p>
    <w:p w14:paraId="1B80A2C2">
      <w:pPr>
        <w:snapToGrid w:val="0"/>
        <w:spacing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2.根据国家对农药的有关管理规定，为了保证药品的质量及来源合法，</w:t>
      </w:r>
      <w:r>
        <w:rPr>
          <w:rFonts w:hint="eastAsia" w:ascii="宋体" w:hAnsi="宋体" w:cs="宋体"/>
          <w:b/>
          <w:bCs/>
          <w:color w:val="auto"/>
          <w:sz w:val="24"/>
          <w:szCs w:val="24"/>
          <w:highlight w:val="none"/>
          <w:lang w:val="en-US" w:eastAsia="zh-CN"/>
        </w:rPr>
        <w:t>供应商响应</w:t>
      </w:r>
      <w:r>
        <w:rPr>
          <w:rFonts w:hint="eastAsia" w:ascii="宋体" w:hAnsi="宋体" w:eastAsia="宋体" w:cs="宋体"/>
          <w:b/>
          <w:bCs/>
          <w:color w:val="auto"/>
          <w:sz w:val="24"/>
          <w:szCs w:val="24"/>
          <w:highlight w:val="none"/>
          <w:lang w:val="en-US" w:eastAsia="zh-CN"/>
        </w:rPr>
        <w:t>文件中必须出具由选用的药品制造商提供的有效“三证”（农药登记证、农药生产</w:t>
      </w:r>
      <w:r>
        <w:rPr>
          <w:rFonts w:hint="eastAsia" w:ascii="宋体" w:hAnsi="宋体" w:cs="宋体"/>
          <w:b/>
          <w:bCs/>
          <w:color w:val="auto"/>
          <w:sz w:val="24"/>
          <w:szCs w:val="24"/>
          <w:highlight w:val="none"/>
          <w:lang w:val="en-US" w:eastAsia="zh-CN"/>
        </w:rPr>
        <w:t>许可</w:t>
      </w:r>
      <w:r>
        <w:rPr>
          <w:rFonts w:hint="eastAsia" w:ascii="宋体" w:hAnsi="宋体" w:eastAsia="宋体" w:cs="宋体"/>
          <w:b/>
          <w:bCs/>
          <w:color w:val="auto"/>
          <w:sz w:val="24"/>
          <w:szCs w:val="24"/>
          <w:highlight w:val="none"/>
          <w:lang w:val="en-US" w:eastAsia="zh-CN"/>
        </w:rPr>
        <w:t>证、企业标准</w:t>
      </w:r>
      <w:r>
        <w:rPr>
          <w:rFonts w:hint="eastAsia" w:ascii="宋体" w:hAnsi="宋体" w:cs="宋体"/>
          <w:b/>
          <w:bCs/>
          <w:color w:val="auto"/>
          <w:sz w:val="24"/>
          <w:szCs w:val="24"/>
          <w:highlight w:val="none"/>
          <w:lang w:val="en-US" w:eastAsia="zh-CN"/>
        </w:rPr>
        <w:t>信息公共服务</w:t>
      </w:r>
      <w:r>
        <w:rPr>
          <w:rFonts w:hint="eastAsia" w:ascii="宋体" w:hAnsi="宋体" w:eastAsia="宋体" w:cs="宋体"/>
          <w:b/>
          <w:bCs/>
          <w:color w:val="auto"/>
          <w:sz w:val="24"/>
          <w:szCs w:val="24"/>
          <w:highlight w:val="none"/>
          <w:lang w:val="en-US" w:eastAsia="zh-CN"/>
        </w:rPr>
        <w:t>平台备案的企业标准）复印件。</w:t>
      </w:r>
    </w:p>
    <w:p w14:paraId="43F40BDC">
      <w:pPr>
        <w:snapToGrid w:val="0"/>
        <w:spacing w:line="40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3.杜绝使用来源不明无“三证”或质量不稳定的卫生杀虫剂，确保灭效和人畜等各项安全，符合绿色环保的有关要求。</w:t>
      </w:r>
    </w:p>
    <w:p w14:paraId="3B567B53">
      <w:pPr>
        <w:snapToGrid w:val="0"/>
        <w:spacing w:line="40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4.所有消杀使用的灭鼠毒饵站以及四害孳生地消杀都须有标签、标示牌等配置并做到灭鼠毒饵必须投放在毒鼠屋内，以确保人畜安全。</w:t>
      </w:r>
    </w:p>
    <w:p w14:paraId="21057C61">
      <w:pPr>
        <w:snapToGrid w:val="0"/>
        <w:spacing w:line="40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5.</w:t>
      </w:r>
      <w:r>
        <w:rPr>
          <w:rFonts w:hint="eastAsia" w:ascii="宋体" w:hAnsi="宋体" w:cs="宋体"/>
          <w:b w:val="0"/>
          <w:bCs w:val="0"/>
          <w:color w:val="auto"/>
          <w:sz w:val="24"/>
          <w:szCs w:val="24"/>
          <w:highlight w:val="none"/>
          <w:lang w:val="en-US" w:eastAsia="zh-CN"/>
        </w:rPr>
        <w:t>供应商应当</w:t>
      </w:r>
      <w:r>
        <w:rPr>
          <w:rFonts w:hint="eastAsia" w:ascii="宋体" w:hAnsi="宋体" w:eastAsia="宋体" w:cs="宋体"/>
          <w:b w:val="0"/>
          <w:bCs w:val="0"/>
          <w:color w:val="auto"/>
          <w:sz w:val="24"/>
          <w:szCs w:val="24"/>
          <w:highlight w:val="none"/>
          <w:lang w:val="en-US" w:eastAsia="zh-CN"/>
        </w:rPr>
        <w:t>充分利用各种有效的常规或创新的消杀技术、方法或装置以及过往同类项目经验，并在有关技术部门准许的情况下，安全、环保、高效地应用完成本项目消杀工作，达到消杀质量标准。</w:t>
      </w:r>
    </w:p>
    <w:p w14:paraId="67C9A1C1">
      <w:pPr>
        <w:snapToGrid w:val="0"/>
        <w:spacing w:line="400" w:lineRule="exact"/>
        <w:ind w:firstLine="42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6.供应商须做好服务期内安全生产保障工作。强化日常巡检、加强对员工的管理以及技术操作培训，严格操作规程，注意施工安全，文明施工。针对除“四害”工作所造成的一切安全后果由成交人自行承担。</w:t>
      </w:r>
    </w:p>
    <w:p w14:paraId="2D6D04C3">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br w:type="page"/>
      </w:r>
    </w:p>
    <w:p w14:paraId="6BECAE67">
      <w:pPr>
        <w:snapToGrid w:val="0"/>
        <w:spacing w:line="400" w:lineRule="exact"/>
        <w:ind w:firstLine="420" w:firstLineChars="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附件一：考核表</w:t>
      </w:r>
    </w:p>
    <w:tbl>
      <w:tblPr>
        <w:tblStyle w:val="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1016"/>
        <w:gridCol w:w="814"/>
        <w:gridCol w:w="1713"/>
        <w:gridCol w:w="3718"/>
        <w:gridCol w:w="501"/>
      </w:tblGrid>
      <w:tr w14:paraId="0C10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8514" w:type="dxa"/>
            <w:gridSpan w:val="6"/>
            <w:tcBorders>
              <w:top w:val="single" w:color="000000" w:sz="4" w:space="0"/>
              <w:left w:val="single" w:color="000000" w:sz="8" w:space="0"/>
              <w:bottom w:val="single" w:color="000000" w:sz="4" w:space="0"/>
              <w:right w:val="single" w:color="000000" w:sz="4" w:space="0"/>
            </w:tcBorders>
            <w:shd w:val="clear" w:color="auto" w:fill="D0CECE"/>
            <w:vAlign w:val="center"/>
          </w:tcPr>
          <w:p w14:paraId="1A72E7E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color w:val="auto"/>
                <w:sz w:val="28"/>
                <w:szCs w:val="28"/>
                <w:lang w:val="en-US" w:eastAsia="zh-CN"/>
              </w:rPr>
              <w:t>病媒生物预防控制服务月度考核表</w:t>
            </w:r>
          </w:p>
        </w:tc>
      </w:tr>
      <w:tr w14:paraId="1611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14" w:type="dxa"/>
            <w:gridSpan w:val="6"/>
            <w:tcBorders>
              <w:top w:val="single" w:color="000000" w:sz="4" w:space="0"/>
              <w:left w:val="single" w:color="000000" w:sz="8" w:space="0"/>
              <w:bottom w:val="single" w:color="000000" w:sz="4" w:space="0"/>
              <w:right w:val="single" w:color="000000" w:sz="4" w:space="0"/>
            </w:tcBorders>
            <w:shd w:val="clear" w:color="auto" w:fill="D0CECE"/>
            <w:vAlign w:val="center"/>
          </w:tcPr>
          <w:p w14:paraId="12E1B7E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评价时段：   年  月   日-  年    月   日</w:t>
            </w:r>
          </w:p>
        </w:tc>
      </w:tr>
      <w:tr w14:paraId="65EE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52" w:type="dxa"/>
            <w:tcBorders>
              <w:top w:val="single" w:color="000000" w:sz="4" w:space="0"/>
              <w:left w:val="single" w:color="000000" w:sz="8" w:space="0"/>
              <w:bottom w:val="single" w:color="000000" w:sz="4" w:space="0"/>
              <w:right w:val="single" w:color="000000" w:sz="4" w:space="0"/>
            </w:tcBorders>
            <w:shd w:val="clear" w:color="auto" w:fill="D0CECE"/>
            <w:vAlign w:val="center"/>
          </w:tcPr>
          <w:p w14:paraId="1D9EAC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016"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21A0AD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评价项</w:t>
            </w:r>
          </w:p>
        </w:tc>
        <w:tc>
          <w:tcPr>
            <w:tcW w:w="814"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261671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1713"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6FD0CA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指标</w:t>
            </w:r>
          </w:p>
        </w:tc>
        <w:tc>
          <w:tcPr>
            <w:tcW w:w="3718"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634E8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评分标准</w:t>
            </w:r>
          </w:p>
        </w:tc>
        <w:tc>
          <w:tcPr>
            <w:tcW w:w="501"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029A58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r>
      <w:tr w14:paraId="4202B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52" w:type="dxa"/>
            <w:tcBorders>
              <w:top w:val="single" w:color="000000" w:sz="4" w:space="0"/>
              <w:left w:val="single" w:color="000000" w:sz="8" w:space="0"/>
              <w:bottom w:val="nil"/>
              <w:right w:val="single" w:color="000000" w:sz="4" w:space="0"/>
            </w:tcBorders>
            <w:shd w:val="clear" w:color="auto" w:fill="auto"/>
            <w:vAlign w:val="center"/>
          </w:tcPr>
          <w:p w14:paraId="022207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16" w:type="dxa"/>
            <w:tcBorders>
              <w:top w:val="single" w:color="000000" w:sz="4" w:space="0"/>
              <w:left w:val="single" w:color="000000" w:sz="4" w:space="0"/>
              <w:bottom w:val="nil"/>
              <w:right w:val="single" w:color="000000" w:sz="4" w:space="0"/>
            </w:tcBorders>
            <w:shd w:val="clear" w:color="auto" w:fill="auto"/>
            <w:vAlign w:val="center"/>
          </w:tcPr>
          <w:p w14:paraId="556293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服务质量及效果</w:t>
            </w:r>
          </w:p>
        </w:tc>
        <w:tc>
          <w:tcPr>
            <w:tcW w:w="814" w:type="dxa"/>
            <w:tcBorders>
              <w:top w:val="single" w:color="000000" w:sz="4" w:space="0"/>
              <w:left w:val="single" w:color="000000" w:sz="4" w:space="0"/>
              <w:bottom w:val="nil"/>
              <w:right w:val="single" w:color="000000" w:sz="4" w:space="0"/>
            </w:tcBorders>
            <w:shd w:val="clear" w:color="auto" w:fill="auto"/>
            <w:vAlign w:val="center"/>
          </w:tcPr>
          <w:p w14:paraId="3ECAB9AA">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40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488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服务质量是否达标</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7057">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服务质量</w:t>
            </w:r>
            <w:r>
              <w:rPr>
                <w:rFonts w:hint="eastAsia" w:ascii="宋体" w:hAnsi="宋体" w:cs="宋体"/>
                <w:i w:val="0"/>
                <w:iCs w:val="0"/>
                <w:color w:val="000000"/>
                <w:kern w:val="0"/>
                <w:sz w:val="24"/>
                <w:szCs w:val="24"/>
                <w:highlight w:val="none"/>
                <w:u w:val="none"/>
                <w:lang w:val="en-US" w:eastAsia="zh-CN" w:bidi="ar"/>
              </w:rPr>
              <w:t>和频次</w:t>
            </w:r>
            <w:r>
              <w:rPr>
                <w:rFonts w:hint="eastAsia" w:ascii="宋体" w:hAnsi="宋体" w:eastAsia="宋体" w:cs="宋体"/>
                <w:i w:val="0"/>
                <w:iCs w:val="0"/>
                <w:color w:val="000000"/>
                <w:kern w:val="0"/>
                <w:sz w:val="24"/>
                <w:szCs w:val="24"/>
                <w:highlight w:val="none"/>
                <w:u w:val="none"/>
                <w:lang w:val="en-US" w:eastAsia="zh-CN" w:bidi="ar"/>
              </w:rPr>
              <w:t>不满足采购需求</w:t>
            </w:r>
            <w:r>
              <w:rPr>
                <w:rFonts w:hint="eastAsia" w:ascii="宋体" w:hAnsi="宋体" w:cs="宋体"/>
                <w:i w:val="0"/>
                <w:iCs w:val="0"/>
                <w:color w:val="000000"/>
                <w:kern w:val="0"/>
                <w:sz w:val="24"/>
                <w:szCs w:val="24"/>
                <w:highlight w:val="none"/>
                <w:u w:val="none"/>
                <w:lang w:val="en-US" w:eastAsia="zh-CN" w:bidi="ar"/>
              </w:rPr>
              <w:t>的 ，一次扣10分；</w:t>
            </w:r>
            <w:r>
              <w:rPr>
                <w:rFonts w:hint="eastAsia" w:ascii="宋体" w:hAnsi="宋体" w:eastAsia="宋体" w:cs="宋体"/>
                <w:i w:val="0"/>
                <w:iCs w:val="0"/>
                <w:color w:val="000000"/>
                <w:kern w:val="0"/>
                <w:sz w:val="24"/>
                <w:szCs w:val="24"/>
                <w:highlight w:val="none"/>
                <w:u w:val="none"/>
                <w:lang w:val="en-US" w:eastAsia="zh-CN" w:bidi="ar"/>
              </w:rPr>
              <w:t>作业方式</w:t>
            </w:r>
            <w:r>
              <w:rPr>
                <w:rFonts w:hint="eastAsia" w:ascii="宋体" w:hAnsi="宋体" w:cs="宋体"/>
                <w:i w:val="0"/>
                <w:iCs w:val="0"/>
                <w:color w:val="000000"/>
                <w:kern w:val="0"/>
                <w:sz w:val="24"/>
                <w:szCs w:val="24"/>
                <w:highlight w:val="none"/>
                <w:u w:val="none"/>
                <w:lang w:val="en-US" w:eastAsia="zh-CN" w:bidi="ar"/>
              </w:rPr>
              <w:t>或</w:t>
            </w:r>
            <w:r>
              <w:rPr>
                <w:rFonts w:hint="eastAsia" w:ascii="宋体" w:hAnsi="宋体" w:eastAsia="宋体" w:cs="宋体"/>
                <w:i w:val="0"/>
                <w:iCs w:val="0"/>
                <w:color w:val="000000"/>
                <w:kern w:val="0"/>
                <w:sz w:val="24"/>
                <w:szCs w:val="24"/>
                <w:highlight w:val="none"/>
                <w:u w:val="none"/>
                <w:lang w:val="en-US" w:eastAsia="zh-CN" w:bidi="ar"/>
              </w:rPr>
              <w:t>流程不符合行业标准</w:t>
            </w:r>
            <w:r>
              <w:rPr>
                <w:rFonts w:hint="eastAsia" w:ascii="宋体" w:hAnsi="宋体" w:cs="宋体"/>
                <w:i w:val="0"/>
                <w:iCs w:val="0"/>
                <w:color w:val="000000"/>
                <w:kern w:val="0"/>
                <w:sz w:val="24"/>
                <w:szCs w:val="24"/>
                <w:highlight w:val="none"/>
                <w:u w:val="none"/>
                <w:lang w:val="en-US" w:eastAsia="zh-CN" w:bidi="ar"/>
              </w:rPr>
              <w:t>的</w:t>
            </w:r>
            <w:r>
              <w:rPr>
                <w:rFonts w:hint="eastAsia" w:ascii="宋体" w:hAnsi="宋体" w:eastAsia="宋体" w:cs="宋体"/>
                <w:i w:val="0"/>
                <w:iCs w:val="0"/>
                <w:color w:val="000000"/>
                <w:kern w:val="0"/>
                <w:sz w:val="24"/>
                <w:szCs w:val="24"/>
                <w:highlight w:val="none"/>
                <w:u w:val="none"/>
                <w:lang w:val="en-US" w:eastAsia="zh-CN" w:bidi="ar"/>
              </w:rPr>
              <w:t>，出现一次扣</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分。</w:t>
            </w:r>
            <w:r>
              <w:rPr>
                <w:rFonts w:hint="eastAsia" w:ascii="宋体" w:hAnsi="宋体" w:cs="宋体"/>
                <w:i w:val="0"/>
                <w:iCs w:val="0"/>
                <w:color w:val="000000"/>
                <w:kern w:val="0"/>
                <w:sz w:val="24"/>
                <w:szCs w:val="24"/>
                <w:highlight w:val="none"/>
                <w:u w:val="none"/>
                <w:lang w:val="en-US" w:eastAsia="zh-CN" w:bidi="ar"/>
              </w:rPr>
              <w:t>如因供应商原因导致采购人</w:t>
            </w:r>
            <w:r>
              <w:rPr>
                <w:rFonts w:hint="eastAsia" w:ascii="宋体" w:hAnsi="宋体" w:eastAsia="宋体" w:cs="宋体"/>
                <w:color w:val="auto"/>
                <w:sz w:val="24"/>
                <w:szCs w:val="24"/>
                <w:highlight w:val="none"/>
                <w:lang w:val="en-US" w:eastAsia="zh-CN"/>
              </w:rPr>
              <w:t>各项检查</w:t>
            </w:r>
            <w:r>
              <w:rPr>
                <w:rFonts w:hint="eastAsia" w:ascii="宋体" w:hAnsi="宋体" w:cs="宋体"/>
                <w:color w:val="auto"/>
                <w:sz w:val="24"/>
                <w:szCs w:val="24"/>
                <w:highlight w:val="none"/>
                <w:lang w:val="en-US" w:eastAsia="zh-CN"/>
              </w:rPr>
              <w:t>未通过的，</w:t>
            </w:r>
            <w:r>
              <w:rPr>
                <w:rFonts w:hint="eastAsia" w:ascii="宋体" w:hAnsi="宋体" w:cs="宋体"/>
                <w:i w:val="0"/>
                <w:iCs w:val="0"/>
                <w:color w:val="000000"/>
                <w:kern w:val="0"/>
                <w:sz w:val="24"/>
                <w:szCs w:val="24"/>
                <w:highlight w:val="none"/>
                <w:u w:val="none"/>
                <w:lang w:val="en-US" w:eastAsia="zh-CN" w:bidi="ar"/>
              </w:rPr>
              <w:t>一次扣20分，且</w:t>
            </w:r>
            <w:r>
              <w:rPr>
                <w:rFonts w:hint="eastAsia" w:ascii="宋体" w:hAnsi="宋体" w:cs="宋体"/>
                <w:color w:val="auto"/>
                <w:sz w:val="24"/>
                <w:szCs w:val="24"/>
                <w:highlight w:val="none"/>
                <w:lang w:val="en-US" w:eastAsia="zh-CN"/>
              </w:rPr>
              <w:t>采购人有权</w:t>
            </w:r>
            <w:r>
              <w:rPr>
                <w:rFonts w:hint="eastAsia" w:ascii="宋体" w:hAnsi="宋体" w:eastAsia="宋体" w:cs="宋体"/>
                <w:i w:val="0"/>
                <w:iCs w:val="0"/>
                <w:color w:val="auto"/>
                <w:kern w:val="0"/>
                <w:sz w:val="24"/>
                <w:szCs w:val="24"/>
                <w:highlight w:val="none"/>
                <w:u w:val="none"/>
                <w:lang w:val="en-US" w:eastAsia="zh-CN" w:bidi="ar"/>
              </w:rPr>
              <w:t>单方终止本合同。</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0F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4"/>
                <w:szCs w:val="24"/>
                <w:highlight w:val="none"/>
                <w:u w:val="none"/>
              </w:rPr>
            </w:pPr>
          </w:p>
        </w:tc>
      </w:tr>
      <w:tr w14:paraId="0C04D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2" w:type="dxa"/>
            <w:vMerge w:val="restart"/>
            <w:tcBorders>
              <w:top w:val="single" w:color="000000" w:sz="4" w:space="0"/>
              <w:left w:val="single" w:color="000000" w:sz="8" w:space="0"/>
              <w:right w:val="single" w:color="000000" w:sz="4" w:space="0"/>
            </w:tcBorders>
            <w:shd w:val="clear" w:color="auto" w:fill="auto"/>
            <w:vAlign w:val="center"/>
          </w:tcPr>
          <w:p w14:paraId="554668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14:paraId="438B249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过程管理</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A31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40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64F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应急响应</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B67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cs="宋体"/>
                <w:color w:val="auto"/>
                <w:kern w:val="0"/>
                <w:sz w:val="24"/>
                <w:szCs w:val="24"/>
                <w:highlight w:val="none"/>
                <w:lang w:val="en-US" w:eastAsia="zh-CN"/>
              </w:rPr>
              <w:t>接到采购人紧急通知但未按采购人要求及时</w:t>
            </w:r>
            <w:r>
              <w:rPr>
                <w:rFonts w:hint="eastAsia" w:ascii="宋体" w:hAnsi="宋体" w:eastAsia="宋体" w:cs="宋体"/>
                <w:color w:val="auto"/>
                <w:kern w:val="0"/>
                <w:sz w:val="24"/>
                <w:szCs w:val="24"/>
                <w:highlight w:val="none"/>
              </w:rPr>
              <w:t>到场处理</w:t>
            </w:r>
            <w:r>
              <w:rPr>
                <w:rFonts w:hint="eastAsia" w:ascii="宋体" w:hAnsi="宋体" w:cs="宋体"/>
                <w:i w:val="0"/>
                <w:iCs w:val="0"/>
                <w:color w:val="000000"/>
                <w:kern w:val="0"/>
                <w:sz w:val="24"/>
                <w:szCs w:val="24"/>
                <w:highlight w:val="none"/>
                <w:u w:val="none"/>
                <w:lang w:val="en-US" w:eastAsia="zh-CN" w:bidi="ar"/>
              </w:rPr>
              <w:t>的</w:t>
            </w:r>
            <w:r>
              <w:rPr>
                <w:rFonts w:hint="eastAsia" w:ascii="宋体" w:hAnsi="宋体" w:eastAsia="宋体" w:cs="宋体"/>
                <w:i w:val="0"/>
                <w:iCs w:val="0"/>
                <w:color w:val="000000"/>
                <w:kern w:val="0"/>
                <w:sz w:val="24"/>
                <w:szCs w:val="24"/>
                <w:highlight w:val="none"/>
                <w:u w:val="none"/>
                <w:lang w:val="en-US" w:eastAsia="zh-CN" w:bidi="ar"/>
              </w:rPr>
              <w:t>，出现一次扣</w:t>
            </w:r>
            <w:r>
              <w:rPr>
                <w:rFonts w:hint="eastAsia" w:ascii="宋体" w:hAnsi="宋体" w:cs="宋体"/>
                <w:i w:val="0"/>
                <w:iCs w:val="0"/>
                <w:color w:val="000000"/>
                <w:kern w:val="0"/>
                <w:sz w:val="24"/>
                <w:szCs w:val="24"/>
                <w:highlight w:val="none"/>
                <w:u w:val="none"/>
                <w:lang w:val="en-US" w:eastAsia="zh-CN" w:bidi="ar"/>
              </w:rPr>
              <w:t>10</w:t>
            </w:r>
            <w:r>
              <w:rPr>
                <w:rFonts w:hint="eastAsia" w:ascii="宋体" w:hAnsi="宋体" w:eastAsia="宋体" w:cs="宋体"/>
                <w:i w:val="0"/>
                <w:iCs w:val="0"/>
                <w:color w:val="000000"/>
                <w:kern w:val="0"/>
                <w:sz w:val="24"/>
                <w:szCs w:val="24"/>
                <w:highlight w:val="none"/>
                <w:u w:val="none"/>
                <w:lang w:val="en-US" w:eastAsia="zh-CN" w:bidi="ar"/>
              </w:rPr>
              <w:t>分。</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B3A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r>
      <w:tr w14:paraId="5FCD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5DD9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4"/>
                <w:szCs w:val="24"/>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961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4"/>
                <w:szCs w:val="24"/>
                <w:highlight w:val="none"/>
                <w:u w:val="none"/>
              </w:rPr>
            </w:pPr>
          </w:p>
        </w:tc>
        <w:tc>
          <w:tcPr>
            <w:tcW w:w="814" w:type="dxa"/>
            <w:tcBorders>
              <w:top w:val="single" w:color="000000" w:sz="4" w:space="0"/>
              <w:left w:val="single" w:color="000000" w:sz="4" w:space="0"/>
              <w:bottom w:val="nil"/>
              <w:right w:val="single" w:color="000000" w:sz="4" w:space="0"/>
            </w:tcBorders>
            <w:shd w:val="clear" w:color="auto" w:fill="auto"/>
            <w:vAlign w:val="center"/>
          </w:tcPr>
          <w:p w14:paraId="112137F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444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工作纪律</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B94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违反工作纪律、不遵守采购人的规章制度的，出现一次扣</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分。</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134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r>
      <w:tr w14:paraId="0C3C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52" w:type="dxa"/>
            <w:vMerge w:val="restart"/>
            <w:tcBorders>
              <w:top w:val="single" w:color="000000" w:sz="4" w:space="0"/>
              <w:left w:val="single" w:color="000000" w:sz="8" w:space="0"/>
              <w:bottom w:val="single" w:color="000000" w:sz="4" w:space="0"/>
              <w:right w:val="nil"/>
            </w:tcBorders>
            <w:shd w:val="clear" w:color="auto" w:fill="auto"/>
            <w:vAlign w:val="center"/>
          </w:tcPr>
          <w:p w14:paraId="3856F6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F11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合作关系</w:t>
            </w:r>
          </w:p>
        </w:tc>
        <w:tc>
          <w:tcPr>
            <w:tcW w:w="814" w:type="dxa"/>
            <w:tcBorders>
              <w:top w:val="single" w:color="000000" w:sz="4" w:space="0"/>
              <w:left w:val="nil"/>
              <w:bottom w:val="single" w:color="000000" w:sz="4" w:space="0"/>
              <w:right w:val="single" w:color="000000" w:sz="4" w:space="0"/>
            </w:tcBorders>
            <w:shd w:val="clear" w:color="auto" w:fill="auto"/>
            <w:vAlign w:val="center"/>
          </w:tcPr>
          <w:p w14:paraId="093CA5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054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对采购人书面指令、口头指令、突发任务配合度及响应度</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B2D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对采购人发出的指令和任务不予配合</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出现问题未及与采购人沟通或施工时未听从采购人安排的，出现一次扣</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分。</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74E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r>
      <w:tr w14:paraId="3117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68" w:type="dxa"/>
            <w:gridSpan w:val="2"/>
            <w:tcBorders>
              <w:top w:val="single" w:color="auto" w:sz="4" w:space="0"/>
              <w:left w:val="single" w:color="auto" w:sz="4" w:space="0"/>
              <w:bottom w:val="single" w:color="auto" w:sz="4" w:space="0"/>
              <w:right w:val="single" w:color="auto" w:sz="4" w:space="0"/>
            </w:tcBorders>
            <w:shd w:val="clear" w:color="auto" w:fill="D0CECE"/>
            <w:vAlign w:val="center"/>
          </w:tcPr>
          <w:p w14:paraId="64ED8F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满分</w:t>
            </w:r>
          </w:p>
        </w:tc>
        <w:tc>
          <w:tcPr>
            <w:tcW w:w="814" w:type="dxa"/>
            <w:tcBorders>
              <w:top w:val="single" w:color="auto" w:sz="4" w:space="0"/>
              <w:left w:val="single" w:color="auto" w:sz="4" w:space="0"/>
              <w:bottom w:val="single" w:color="auto" w:sz="4" w:space="0"/>
              <w:right w:val="single" w:color="auto" w:sz="4" w:space="0"/>
            </w:tcBorders>
            <w:shd w:val="clear" w:color="auto" w:fill="D0CECE"/>
            <w:vAlign w:val="center"/>
          </w:tcPr>
          <w:p w14:paraId="072859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100分</w:t>
            </w:r>
          </w:p>
        </w:tc>
        <w:tc>
          <w:tcPr>
            <w:tcW w:w="1713" w:type="dxa"/>
            <w:tcBorders>
              <w:top w:val="single" w:color="auto" w:sz="4" w:space="0"/>
              <w:left w:val="single" w:color="auto" w:sz="4" w:space="0"/>
              <w:bottom w:val="single" w:color="auto" w:sz="4" w:space="0"/>
              <w:right w:val="single" w:color="auto" w:sz="4" w:space="0"/>
            </w:tcBorders>
            <w:shd w:val="clear" w:color="auto" w:fill="D0CECE"/>
            <w:vAlign w:val="center"/>
          </w:tcPr>
          <w:p w14:paraId="6D3B1E1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c>
          <w:tcPr>
            <w:tcW w:w="3718" w:type="dxa"/>
            <w:tcBorders>
              <w:top w:val="single" w:color="auto" w:sz="4" w:space="0"/>
              <w:left w:val="single" w:color="auto" w:sz="4" w:space="0"/>
              <w:bottom w:val="single" w:color="auto" w:sz="4" w:space="0"/>
              <w:right w:val="single" w:color="auto" w:sz="4" w:space="0"/>
            </w:tcBorders>
            <w:shd w:val="clear" w:color="auto" w:fill="D0CECE"/>
            <w:vAlign w:val="center"/>
          </w:tcPr>
          <w:p w14:paraId="317223B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c>
          <w:tcPr>
            <w:tcW w:w="501" w:type="dxa"/>
            <w:tcBorders>
              <w:top w:val="single" w:color="auto" w:sz="4" w:space="0"/>
              <w:left w:val="single" w:color="auto" w:sz="4" w:space="0"/>
              <w:bottom w:val="single" w:color="auto" w:sz="4" w:space="0"/>
              <w:right w:val="single" w:color="auto" w:sz="4" w:space="0"/>
            </w:tcBorders>
            <w:shd w:val="clear" w:color="auto" w:fill="D0CECE"/>
            <w:vAlign w:val="center"/>
          </w:tcPr>
          <w:p w14:paraId="5EE4532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r>
      <w:tr w14:paraId="5CBB3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68" w:type="dxa"/>
            <w:gridSpan w:val="2"/>
            <w:tcBorders>
              <w:top w:val="single" w:color="auto" w:sz="4" w:space="0"/>
              <w:left w:val="single" w:color="auto" w:sz="4" w:space="0"/>
              <w:bottom w:val="single" w:color="auto" w:sz="4" w:space="0"/>
              <w:right w:val="single" w:color="auto" w:sz="4" w:space="0"/>
            </w:tcBorders>
            <w:shd w:val="clear" w:color="auto" w:fill="D0CECE"/>
            <w:vAlign w:val="center"/>
          </w:tcPr>
          <w:p w14:paraId="39A45B5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 w:val="0"/>
                <w:bCs w:val="0"/>
                <w:color w:val="000000"/>
                <w:kern w:val="0"/>
                <w:sz w:val="24"/>
                <w:szCs w:val="24"/>
                <w:lang w:val="en-US" w:eastAsia="zh-CN"/>
              </w:rPr>
              <w:t>考核小组</w:t>
            </w:r>
            <w:r>
              <w:rPr>
                <w:rFonts w:hint="eastAsia" w:ascii="宋体" w:hAnsi="宋体" w:eastAsia="宋体" w:cs="宋体"/>
                <w:b w:val="0"/>
                <w:bCs w:val="0"/>
                <w:color w:val="000000"/>
                <w:kern w:val="0"/>
                <w:sz w:val="24"/>
                <w:szCs w:val="24"/>
                <w:lang w:val="en-US" w:eastAsia="zh-CN"/>
              </w:rPr>
              <w:t>签字</w:t>
            </w:r>
          </w:p>
        </w:tc>
        <w:tc>
          <w:tcPr>
            <w:tcW w:w="6746"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14:paraId="6762FA1B">
            <w:pPr>
              <w:spacing w:line="240" w:lineRule="auto"/>
              <w:rPr>
                <w:rFonts w:hint="eastAsia" w:ascii="宋体" w:hAnsi="宋体" w:eastAsia="宋体" w:cs="宋体"/>
                <w:i w:val="0"/>
                <w:iCs w:val="0"/>
                <w:color w:val="000000"/>
                <w:kern w:val="2"/>
                <w:sz w:val="24"/>
                <w:szCs w:val="24"/>
                <w:u w:val="none"/>
                <w:lang w:val="en-US" w:eastAsia="zh-CN" w:bidi="ar-SA"/>
              </w:rPr>
            </w:pPr>
          </w:p>
        </w:tc>
      </w:tr>
      <w:tr w14:paraId="63A1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68" w:type="dxa"/>
            <w:gridSpan w:val="2"/>
            <w:tcBorders>
              <w:top w:val="single" w:color="auto" w:sz="4" w:space="0"/>
              <w:left w:val="single" w:color="auto" w:sz="4" w:space="0"/>
              <w:bottom w:val="single" w:color="auto" w:sz="4" w:space="0"/>
              <w:right w:val="single" w:color="auto" w:sz="4" w:space="0"/>
            </w:tcBorders>
            <w:shd w:val="clear" w:color="auto" w:fill="D0CECE"/>
            <w:vAlign w:val="center"/>
          </w:tcPr>
          <w:p w14:paraId="375F33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c>
          <w:tcPr>
            <w:tcW w:w="6746"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14:paraId="597A25F9">
            <w:pPr>
              <w:keepNext w:val="0"/>
              <w:keepLines w:val="0"/>
              <w:widowControl/>
              <w:numPr>
                <w:ilvl w:val="-1"/>
                <w:numId w:val="0"/>
              </w:numPr>
              <w:suppressLineNumbers w:val="0"/>
              <w:spacing w:before="0" w:beforeAutospacing="0" w:after="0" w:afterAutospacing="0" w:line="240" w:lineRule="auto"/>
              <w:ind w:left="0" w:right="0"/>
              <w:jc w:val="left"/>
              <w:textAlignment w:val="center"/>
              <w:rPr>
                <w:rFonts w:hint="eastAsia" w:ascii="宋体" w:hAnsi="宋体" w:cs="宋体"/>
                <w:color w:val="000000"/>
                <w:kern w:val="0"/>
                <w:sz w:val="24"/>
              </w:rPr>
            </w:pPr>
            <w:r>
              <w:rPr>
                <w:rFonts w:hint="eastAsia" w:ascii="宋体" w:hAnsi="宋体" w:cs="宋体"/>
                <w:color w:val="000000"/>
                <w:kern w:val="0"/>
                <w:sz w:val="24"/>
              </w:rPr>
              <w:t>备注：</w:t>
            </w:r>
            <w:r>
              <w:rPr>
                <w:rFonts w:hint="eastAsia" w:ascii="宋体" w:hAnsi="宋体" w:eastAsia="宋体" w:cs="宋体"/>
                <w:i w:val="0"/>
                <w:iCs w:val="0"/>
                <w:color w:val="000000"/>
                <w:kern w:val="0"/>
                <w:sz w:val="24"/>
                <w:szCs w:val="24"/>
                <w:highlight w:val="none"/>
                <w:u w:val="none"/>
                <w:lang w:val="en-US" w:eastAsia="zh-CN" w:bidi="ar"/>
              </w:rPr>
              <w:t>考核结果分为：合格与不合格。满分为100分，90分以上（含90分）为合格；90分以下为不合格。出现不合格时，每降低5分扣款2000元，考核涉及的所有扣款，均在服务款中扣除。</w:t>
            </w:r>
            <w:r>
              <w:rPr>
                <w:rFonts w:hint="eastAsia" w:ascii="宋体" w:hAnsi="宋体" w:eastAsia="宋体" w:cs="宋体"/>
                <w:i w:val="0"/>
                <w:iCs w:val="0"/>
                <w:color w:val="auto"/>
                <w:kern w:val="0"/>
                <w:sz w:val="24"/>
                <w:szCs w:val="24"/>
                <w:highlight w:val="none"/>
                <w:u w:val="none"/>
                <w:lang w:val="en-US" w:eastAsia="zh-CN" w:bidi="ar"/>
              </w:rPr>
              <w:t>出现不合格时，中标人</w:t>
            </w:r>
            <w:bookmarkStart w:id="7" w:name="_GoBack"/>
            <w:bookmarkEnd w:id="7"/>
            <w:r>
              <w:rPr>
                <w:rFonts w:hint="eastAsia" w:ascii="宋体" w:hAnsi="宋体" w:eastAsia="宋体" w:cs="宋体"/>
                <w:i w:val="0"/>
                <w:iCs w:val="0"/>
                <w:color w:val="auto"/>
                <w:kern w:val="0"/>
                <w:sz w:val="24"/>
                <w:szCs w:val="24"/>
                <w:highlight w:val="none"/>
                <w:u w:val="none"/>
                <w:lang w:val="en-US" w:eastAsia="zh-CN" w:bidi="ar"/>
              </w:rPr>
              <w:t>必须向采购人提交整改方案，连续两个月或年度内累计3次出现服务考核不合格的，</w:t>
            </w:r>
            <w:r>
              <w:rPr>
                <w:rFonts w:hint="eastAsia" w:ascii="宋体" w:hAnsi="宋体" w:cs="宋体"/>
                <w:i w:val="0"/>
                <w:iCs w:val="0"/>
                <w:color w:val="auto"/>
                <w:kern w:val="0"/>
                <w:sz w:val="24"/>
                <w:szCs w:val="24"/>
                <w:highlight w:val="none"/>
                <w:u w:val="none"/>
                <w:lang w:val="en-US" w:eastAsia="zh-CN" w:bidi="ar"/>
              </w:rPr>
              <w:t>或</w:t>
            </w:r>
            <w:r>
              <w:rPr>
                <w:rFonts w:hint="eastAsia" w:ascii="宋体" w:hAnsi="宋体" w:cs="宋体"/>
                <w:i w:val="0"/>
                <w:iCs w:val="0"/>
                <w:color w:val="000000"/>
                <w:kern w:val="0"/>
                <w:sz w:val="24"/>
                <w:szCs w:val="24"/>
                <w:highlight w:val="none"/>
                <w:u w:val="none"/>
                <w:lang w:val="en-US" w:eastAsia="zh-CN" w:bidi="ar"/>
              </w:rPr>
              <w:t>因供应商原因导致采购人</w:t>
            </w:r>
            <w:r>
              <w:rPr>
                <w:rFonts w:hint="eastAsia" w:ascii="宋体" w:hAnsi="宋体" w:eastAsia="宋体" w:cs="宋体"/>
                <w:color w:val="auto"/>
                <w:sz w:val="24"/>
                <w:szCs w:val="24"/>
                <w:highlight w:val="none"/>
                <w:lang w:val="en-US" w:eastAsia="zh-CN"/>
              </w:rPr>
              <w:t>各项检查</w:t>
            </w:r>
            <w:r>
              <w:rPr>
                <w:rFonts w:hint="eastAsia" w:ascii="宋体" w:hAnsi="宋体" w:cs="宋体"/>
                <w:color w:val="auto"/>
                <w:sz w:val="24"/>
                <w:szCs w:val="24"/>
                <w:highlight w:val="none"/>
                <w:lang w:val="en-US" w:eastAsia="zh-CN"/>
              </w:rPr>
              <w:t>未通过的，</w:t>
            </w:r>
            <w:r>
              <w:rPr>
                <w:rFonts w:hint="eastAsia" w:ascii="宋体" w:hAnsi="宋体" w:eastAsia="宋体" w:cs="宋体"/>
                <w:i w:val="0"/>
                <w:iCs w:val="0"/>
                <w:color w:val="auto"/>
                <w:kern w:val="0"/>
                <w:sz w:val="24"/>
                <w:szCs w:val="24"/>
                <w:highlight w:val="none"/>
                <w:u w:val="none"/>
                <w:lang w:val="en-US" w:eastAsia="zh-CN" w:bidi="ar"/>
              </w:rPr>
              <w:t>采购人有权单方终止本合同。</w:t>
            </w:r>
          </w:p>
        </w:tc>
      </w:tr>
    </w:tbl>
    <w:p w14:paraId="1C7EBD9A">
      <w:pPr>
        <w:snapToGrid w:val="0"/>
        <w:spacing w:line="400" w:lineRule="exact"/>
        <w:rPr>
          <w:rFonts w:hint="eastAsia" w:ascii="宋体" w:hAnsi="宋体" w:eastAsia="宋体" w:cs="宋体"/>
          <w:b w:val="0"/>
          <w:bCs w:val="0"/>
          <w:color w:val="auto"/>
          <w:sz w:val="24"/>
          <w:szCs w:val="24"/>
          <w:highlight w:val="none"/>
          <w:lang w:val="en-US" w:eastAsia="zh-CN"/>
        </w:rPr>
      </w:pPr>
    </w:p>
    <w:p w14:paraId="3782EDB6">
      <w:pPr>
        <w:rPr>
          <w:rFonts w:hint="default"/>
          <w:color w:val="auto"/>
          <w:highlight w:val="none"/>
          <w:lang w:val="en-US" w:eastAsia="zh-CN"/>
        </w:rPr>
      </w:pPr>
      <w:r>
        <w:rPr>
          <w:rFonts w:hint="default"/>
          <w:color w:val="auto"/>
          <w:highlight w:val="none"/>
          <w:lang w:val="en-US" w:eastAsia="zh-CN"/>
        </w:rPr>
        <w:br w:type="page"/>
      </w:r>
    </w:p>
    <w:p w14:paraId="118278D2">
      <w:pPr>
        <w:snapToGrid w:val="0"/>
        <w:spacing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附件二：评分标准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645"/>
        <w:gridCol w:w="6006"/>
      </w:tblGrid>
      <w:tr w14:paraId="7BAF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3929F5C6">
            <w:pPr>
              <w:spacing w:line="240" w:lineRule="auto"/>
              <w:jc w:val="center"/>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kern w:val="0"/>
                <w:sz w:val="24"/>
                <w:szCs w:val="24"/>
                <w:highlight w:val="none"/>
              </w:rPr>
              <w:t>序号</w:t>
            </w:r>
          </w:p>
        </w:tc>
        <w:tc>
          <w:tcPr>
            <w:tcW w:w="1645" w:type="dxa"/>
            <w:vAlign w:val="center"/>
          </w:tcPr>
          <w:p w14:paraId="75210A70">
            <w:pPr>
              <w:spacing w:line="240" w:lineRule="auto"/>
              <w:jc w:val="center"/>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kern w:val="0"/>
                <w:sz w:val="24"/>
                <w:szCs w:val="24"/>
                <w:highlight w:val="none"/>
              </w:rPr>
              <w:t>评分因素</w:t>
            </w:r>
          </w:p>
        </w:tc>
        <w:tc>
          <w:tcPr>
            <w:tcW w:w="6006" w:type="dxa"/>
            <w:vAlign w:val="center"/>
          </w:tcPr>
          <w:p w14:paraId="3ADAF4FD">
            <w:pPr>
              <w:spacing w:line="240" w:lineRule="auto"/>
              <w:jc w:val="center"/>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kern w:val="0"/>
                <w:sz w:val="24"/>
                <w:szCs w:val="24"/>
                <w:highlight w:val="none"/>
              </w:rPr>
              <w:t>评审标准</w:t>
            </w:r>
          </w:p>
        </w:tc>
      </w:tr>
      <w:tr w14:paraId="0C64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3226595D">
            <w:pPr>
              <w:numPr>
                <w:ilvl w:val="0"/>
                <w:numId w:val="0"/>
              </w:numPr>
              <w:adjustRightInd w:val="0"/>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w:t>
            </w:r>
          </w:p>
        </w:tc>
        <w:tc>
          <w:tcPr>
            <w:tcW w:w="1645" w:type="dxa"/>
          </w:tcPr>
          <w:p w14:paraId="0F7B1381">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投标报价</w:t>
            </w:r>
          </w:p>
          <w:p w14:paraId="20E548E9">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（20分）</w:t>
            </w:r>
          </w:p>
        </w:tc>
        <w:tc>
          <w:tcPr>
            <w:tcW w:w="6006" w:type="dxa"/>
          </w:tcPr>
          <w:p w14:paraId="1F24AE0E">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价格评分的计算方法如下：</w:t>
            </w:r>
          </w:p>
          <w:p w14:paraId="4506AFE3">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1、满足需求要求且报价价格最低的报价为评标基准价（D），其价格分为满分(20分)；</w:t>
            </w:r>
          </w:p>
          <w:p w14:paraId="1087FA1A">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2、其他合格供应商的报价得分按如下公式计算：报价得分=（基准价/报价）×20</w:t>
            </w:r>
          </w:p>
        </w:tc>
      </w:tr>
      <w:tr w14:paraId="4E31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7BC8C5ED">
            <w:pPr>
              <w:numPr>
                <w:ilvl w:val="0"/>
                <w:numId w:val="0"/>
              </w:numPr>
              <w:adjustRightInd w:val="0"/>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w:t>
            </w:r>
          </w:p>
        </w:tc>
        <w:tc>
          <w:tcPr>
            <w:tcW w:w="1645" w:type="dxa"/>
          </w:tcPr>
          <w:p w14:paraId="31BCE516">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服务方案（30分）</w:t>
            </w:r>
          </w:p>
        </w:tc>
        <w:tc>
          <w:tcPr>
            <w:tcW w:w="6006" w:type="dxa"/>
          </w:tcPr>
          <w:p w14:paraId="205303E1">
            <w:pPr>
              <w:pStyle w:val="6"/>
              <w:shd w:val="clear" w:color="auto" w:fill="auto"/>
              <w:spacing w:line="240" w:lineRule="auto"/>
              <w:ind w:left="0" w:leftChars="0" w:firstLine="0" w:firstLineChars="0"/>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一档（10分）：服务方案中对消杀工序、操作规程、使用器械及药物描述简单，选用说明模糊，可实施性一般；</w:t>
            </w:r>
          </w:p>
          <w:p w14:paraId="72CED84F">
            <w:pPr>
              <w:pStyle w:val="6"/>
              <w:shd w:val="clear" w:color="auto" w:fill="auto"/>
              <w:spacing w:line="240" w:lineRule="auto"/>
              <w:ind w:left="0" w:leftChars="0" w:firstLine="0" w:firstLineChars="0"/>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二档（20分）：服务方案中对消杀工序、操作规程、使用器械及药物描述清晰，选用说明明确，可实施性较好；</w:t>
            </w:r>
          </w:p>
          <w:p w14:paraId="09748237">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kern w:val="2"/>
                <w:sz w:val="24"/>
                <w:szCs w:val="24"/>
                <w:highlight w:val="none"/>
                <w:vertAlign w:val="baseline"/>
                <w:lang w:val="en-US" w:eastAsia="zh-CN" w:bidi="ar-SA"/>
              </w:rPr>
              <w:t>三档（30分）：提供详细、全面、完善的消杀工序、操作规程、使用器械及药物方案，</w:t>
            </w:r>
            <w:r>
              <w:rPr>
                <w:rFonts w:hint="eastAsia" w:ascii="宋体" w:hAnsi="宋体" w:cs="宋体"/>
                <w:b w:val="0"/>
                <w:bCs/>
                <w:color w:val="auto"/>
                <w:kern w:val="2"/>
                <w:sz w:val="24"/>
                <w:szCs w:val="24"/>
                <w:highlight w:val="none"/>
                <w:vertAlign w:val="baseline"/>
                <w:lang w:val="en-US" w:eastAsia="zh-CN" w:bidi="ar-SA"/>
              </w:rPr>
              <w:t>选用药品完全符合用药要求，</w:t>
            </w:r>
            <w:r>
              <w:rPr>
                <w:rFonts w:hint="eastAsia" w:ascii="宋体" w:hAnsi="宋体" w:eastAsia="宋体" w:cs="宋体"/>
                <w:b w:val="0"/>
                <w:bCs/>
                <w:color w:val="auto"/>
                <w:kern w:val="2"/>
                <w:sz w:val="24"/>
                <w:szCs w:val="24"/>
                <w:highlight w:val="none"/>
                <w:vertAlign w:val="baseline"/>
                <w:lang w:val="en-US" w:eastAsia="zh-CN" w:bidi="ar-SA"/>
              </w:rPr>
              <w:t>能够结合本项目涉及的环境及虫害现状、采购人需求、安全性、合理性、有效性等方面体现出方案的可实施性。</w:t>
            </w:r>
          </w:p>
        </w:tc>
      </w:tr>
      <w:tr w14:paraId="4E6D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563092FC">
            <w:pPr>
              <w:numPr>
                <w:ilvl w:val="0"/>
                <w:numId w:val="0"/>
              </w:numPr>
              <w:adjustRightInd w:val="0"/>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3</w:t>
            </w:r>
          </w:p>
        </w:tc>
        <w:tc>
          <w:tcPr>
            <w:tcW w:w="1645" w:type="dxa"/>
          </w:tcPr>
          <w:p w14:paraId="619BF175">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应急预案</w:t>
            </w:r>
          </w:p>
          <w:p w14:paraId="2DCE53CD">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（10分）</w:t>
            </w:r>
          </w:p>
        </w:tc>
        <w:tc>
          <w:tcPr>
            <w:tcW w:w="6006" w:type="dxa"/>
          </w:tcPr>
          <w:p w14:paraId="259C18EB">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响应供应商针对本项目相关突发应急预案或措施方案。</w:t>
            </w:r>
          </w:p>
          <w:p w14:paraId="62D951D9">
            <w:pPr>
              <w:numPr>
                <w:ilvl w:val="0"/>
                <w:numId w:val="0"/>
              </w:numPr>
              <w:adjustRightInd w:val="0"/>
              <w:snapToGrid w:val="0"/>
              <w:spacing w:line="240" w:lineRule="auto"/>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一档（4分）：</w:t>
            </w:r>
            <w:r>
              <w:rPr>
                <w:rFonts w:hint="eastAsia" w:ascii="宋体" w:hAnsi="宋体" w:eastAsia="宋体" w:cs="宋体"/>
                <w:b w:val="0"/>
                <w:bCs/>
                <w:color w:val="auto"/>
                <w:sz w:val="24"/>
                <w:szCs w:val="24"/>
                <w:highlight w:val="none"/>
                <w:vertAlign w:val="baseline"/>
                <w:lang w:val="en-US" w:eastAsia="zh-CN"/>
              </w:rPr>
              <w:t>内容简单为一般的得4分；</w:t>
            </w:r>
          </w:p>
          <w:p w14:paraId="686264ED">
            <w:pPr>
              <w:numPr>
                <w:ilvl w:val="0"/>
                <w:numId w:val="0"/>
              </w:numPr>
              <w:adjustRightInd w:val="0"/>
              <w:snapToGrid w:val="0"/>
              <w:spacing w:line="240" w:lineRule="auto"/>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二档（7分）：</w:t>
            </w:r>
            <w:r>
              <w:rPr>
                <w:rFonts w:hint="eastAsia" w:ascii="宋体" w:hAnsi="宋体" w:eastAsia="宋体" w:cs="宋体"/>
                <w:b w:val="0"/>
                <w:bCs/>
                <w:color w:val="auto"/>
                <w:sz w:val="24"/>
                <w:szCs w:val="24"/>
                <w:highlight w:val="none"/>
                <w:vertAlign w:val="baseline"/>
                <w:lang w:val="en-US" w:eastAsia="zh-CN"/>
              </w:rPr>
              <w:t>内容较详尽为良好的得7分；</w:t>
            </w:r>
          </w:p>
          <w:p w14:paraId="2099C9FC">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kern w:val="2"/>
                <w:sz w:val="24"/>
                <w:szCs w:val="24"/>
                <w:highlight w:val="none"/>
                <w:vertAlign w:val="baseline"/>
                <w:lang w:val="en-US" w:eastAsia="zh-CN" w:bidi="ar-SA"/>
              </w:rPr>
              <w:t>三档（10分）：</w:t>
            </w:r>
            <w:r>
              <w:rPr>
                <w:rFonts w:hint="eastAsia" w:ascii="宋体" w:hAnsi="宋体" w:eastAsia="宋体" w:cs="宋体"/>
                <w:b w:val="0"/>
                <w:bCs/>
                <w:color w:val="auto"/>
                <w:sz w:val="24"/>
                <w:szCs w:val="24"/>
                <w:highlight w:val="none"/>
                <w:vertAlign w:val="baseline"/>
                <w:lang w:val="en-US" w:eastAsia="zh-CN"/>
              </w:rPr>
              <w:t>预案和措施齐全、制度完善，程序规范，责任明确，具有可操作性：内容详尽为优秀的得10分</w:t>
            </w:r>
            <w:r>
              <w:rPr>
                <w:rFonts w:hint="eastAsia" w:ascii="宋体" w:hAnsi="宋体" w:cs="宋体"/>
                <w:b w:val="0"/>
                <w:bCs/>
                <w:color w:val="auto"/>
                <w:sz w:val="24"/>
                <w:szCs w:val="24"/>
                <w:highlight w:val="none"/>
                <w:vertAlign w:val="baseline"/>
                <w:lang w:val="en-US" w:eastAsia="zh-CN"/>
              </w:rPr>
              <w:t>。</w:t>
            </w:r>
          </w:p>
        </w:tc>
      </w:tr>
      <w:tr w14:paraId="53B9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27DAC23B">
            <w:pPr>
              <w:numPr>
                <w:ilvl w:val="0"/>
                <w:numId w:val="0"/>
              </w:numPr>
              <w:adjustRightInd w:val="0"/>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4</w:t>
            </w:r>
          </w:p>
        </w:tc>
        <w:tc>
          <w:tcPr>
            <w:tcW w:w="1645" w:type="dxa"/>
          </w:tcPr>
          <w:p w14:paraId="47C0E398">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人员配置</w:t>
            </w:r>
          </w:p>
          <w:p w14:paraId="2FA8F750">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（10分）</w:t>
            </w:r>
          </w:p>
        </w:tc>
        <w:tc>
          <w:tcPr>
            <w:tcW w:w="6006" w:type="dxa"/>
          </w:tcPr>
          <w:p w14:paraId="2D2E1560">
            <w:pPr>
              <w:numPr>
                <w:ilvl w:val="0"/>
                <w:numId w:val="0"/>
              </w:numPr>
              <w:adjustRightInd w:val="0"/>
              <w:snapToGrid w:val="0"/>
              <w:spacing w:line="240" w:lineRule="auto"/>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一档（4分）：</w:t>
            </w:r>
            <w:r>
              <w:rPr>
                <w:rFonts w:hint="eastAsia" w:ascii="宋体" w:hAnsi="宋体" w:eastAsia="宋体" w:cs="宋体"/>
                <w:b w:val="0"/>
                <w:bCs/>
                <w:color w:val="auto"/>
                <w:sz w:val="24"/>
                <w:szCs w:val="24"/>
                <w:highlight w:val="none"/>
                <w:vertAlign w:val="baseline"/>
                <w:lang w:val="en-US" w:eastAsia="zh-CN"/>
              </w:rPr>
              <w:t>拟投入的服务团队人员中岗位配备人员一般，考虑简单，只能基本满足项目实施需要，7人及以下持有有害生物防制员证书得4分；</w:t>
            </w:r>
          </w:p>
          <w:p w14:paraId="6E89FCCE">
            <w:pPr>
              <w:numPr>
                <w:ilvl w:val="0"/>
                <w:numId w:val="0"/>
              </w:numPr>
              <w:adjustRightInd w:val="0"/>
              <w:snapToGrid w:val="0"/>
              <w:spacing w:line="240" w:lineRule="auto"/>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二档（7分）：</w:t>
            </w:r>
            <w:r>
              <w:rPr>
                <w:rFonts w:hint="eastAsia" w:ascii="宋体" w:hAnsi="宋体" w:eastAsia="宋体" w:cs="宋体"/>
                <w:b w:val="0"/>
                <w:bCs/>
                <w:color w:val="auto"/>
                <w:sz w:val="24"/>
                <w:szCs w:val="24"/>
                <w:highlight w:val="none"/>
                <w:vertAlign w:val="baseline"/>
                <w:lang w:val="en-US" w:eastAsia="zh-CN"/>
              </w:rPr>
              <w:t>拟投入的服务团队人员中岗位配备人员比较合理，考虑较周全，能满足项目实施需要，</w:t>
            </w:r>
            <w:r>
              <w:rPr>
                <w:rFonts w:hint="eastAsia" w:ascii="宋体" w:hAnsi="宋体" w:cs="宋体"/>
                <w:b w:val="0"/>
                <w:bCs/>
                <w:color w:val="auto"/>
                <w:sz w:val="24"/>
                <w:szCs w:val="24"/>
                <w:highlight w:val="none"/>
                <w:vertAlign w:val="baseline"/>
                <w:lang w:val="en-US" w:eastAsia="zh-CN"/>
              </w:rPr>
              <w:t>8-</w:t>
            </w:r>
            <w:r>
              <w:rPr>
                <w:rFonts w:hint="eastAsia" w:ascii="宋体" w:hAnsi="宋体" w:eastAsia="宋体" w:cs="宋体"/>
                <w:b w:val="0"/>
                <w:bCs/>
                <w:color w:val="auto"/>
                <w:sz w:val="24"/>
                <w:szCs w:val="24"/>
                <w:highlight w:val="none"/>
                <w:vertAlign w:val="baseline"/>
                <w:lang w:val="en-US" w:eastAsia="zh-CN"/>
              </w:rPr>
              <w:t>12人持有有害生物防制员证书的得7分；</w:t>
            </w:r>
          </w:p>
          <w:p w14:paraId="70A9F81A">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kern w:val="2"/>
                <w:sz w:val="24"/>
                <w:szCs w:val="24"/>
                <w:highlight w:val="none"/>
                <w:vertAlign w:val="baseline"/>
                <w:lang w:val="en-US" w:eastAsia="zh-CN" w:bidi="ar-SA"/>
              </w:rPr>
              <w:t>三档（10分）：</w:t>
            </w:r>
            <w:r>
              <w:rPr>
                <w:rFonts w:hint="eastAsia" w:ascii="宋体" w:hAnsi="宋体" w:eastAsia="宋体" w:cs="宋体"/>
                <w:b w:val="0"/>
                <w:bCs/>
                <w:color w:val="auto"/>
                <w:sz w:val="24"/>
                <w:szCs w:val="24"/>
                <w:highlight w:val="none"/>
                <w:vertAlign w:val="baseline"/>
                <w:lang w:val="en-US" w:eastAsia="zh-CN"/>
              </w:rPr>
              <w:t>拟投入的服务团队人员考虑周全，岗位配备人员完善，配合人员科学合理高效，有13人</w:t>
            </w:r>
            <w:r>
              <w:rPr>
                <w:rFonts w:hint="eastAsia" w:ascii="宋体" w:hAnsi="宋体" w:cs="宋体"/>
                <w:b w:val="0"/>
                <w:bCs/>
                <w:color w:val="auto"/>
                <w:sz w:val="24"/>
                <w:szCs w:val="24"/>
                <w:highlight w:val="none"/>
                <w:vertAlign w:val="baseline"/>
                <w:lang w:val="en-US" w:eastAsia="zh-CN"/>
              </w:rPr>
              <w:t>及</w:t>
            </w:r>
            <w:r>
              <w:rPr>
                <w:rFonts w:hint="eastAsia" w:ascii="宋体" w:hAnsi="宋体" w:eastAsia="宋体" w:cs="宋体"/>
                <w:b w:val="0"/>
                <w:bCs/>
                <w:color w:val="auto"/>
                <w:sz w:val="24"/>
                <w:szCs w:val="24"/>
                <w:highlight w:val="none"/>
                <w:vertAlign w:val="baseline"/>
                <w:lang w:val="en-US" w:eastAsia="zh-CN"/>
              </w:rPr>
              <w:t>以上持有有害生物防制员证书</w:t>
            </w:r>
            <w:r>
              <w:rPr>
                <w:rFonts w:hint="eastAsia" w:ascii="宋体" w:hAnsi="宋体" w:cs="宋体"/>
                <w:b w:val="0"/>
                <w:bCs/>
                <w:color w:val="auto"/>
                <w:sz w:val="24"/>
                <w:szCs w:val="24"/>
                <w:highlight w:val="none"/>
                <w:vertAlign w:val="baseline"/>
                <w:lang w:val="en-US" w:eastAsia="zh-CN"/>
              </w:rPr>
              <w:t>的</w:t>
            </w:r>
            <w:r>
              <w:rPr>
                <w:rFonts w:hint="eastAsia" w:ascii="宋体" w:hAnsi="宋体" w:eastAsia="宋体" w:cs="宋体"/>
                <w:b w:val="0"/>
                <w:bCs/>
                <w:color w:val="auto"/>
                <w:sz w:val="24"/>
                <w:szCs w:val="24"/>
                <w:highlight w:val="none"/>
                <w:vertAlign w:val="baseline"/>
                <w:lang w:val="en-US" w:eastAsia="zh-CN"/>
              </w:rPr>
              <w:t>得10分。</w:t>
            </w:r>
          </w:p>
          <w:p w14:paraId="57B2943B">
            <w:pPr>
              <w:numPr>
                <w:ilvl w:val="0"/>
                <w:numId w:val="0"/>
              </w:numPr>
              <w:adjustRightInd w:val="0"/>
              <w:snapToGrid w:val="0"/>
              <w:spacing w:line="240" w:lineRule="auto"/>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注：提供</w:t>
            </w:r>
            <w:r>
              <w:rPr>
                <w:rFonts w:hint="eastAsia" w:ascii="宋体" w:hAnsi="宋体" w:eastAsia="宋体" w:cs="宋体"/>
                <w:b w:val="0"/>
                <w:bCs/>
                <w:color w:val="auto"/>
                <w:sz w:val="24"/>
                <w:szCs w:val="24"/>
                <w:highlight w:val="none"/>
                <w:vertAlign w:val="baseline"/>
                <w:lang w:val="en-US" w:eastAsia="zh-CN"/>
              </w:rPr>
              <w:t>拟投入</w:t>
            </w:r>
            <w:r>
              <w:rPr>
                <w:rFonts w:hint="eastAsia" w:ascii="宋体" w:hAnsi="宋体" w:cs="宋体"/>
                <w:b w:val="0"/>
                <w:bCs/>
                <w:color w:val="auto"/>
                <w:sz w:val="24"/>
                <w:szCs w:val="24"/>
                <w:highlight w:val="none"/>
                <w:vertAlign w:val="baseline"/>
                <w:lang w:val="en-US" w:eastAsia="zh-CN"/>
              </w:rPr>
              <w:t>人员相关资格证书复印件，负责不得分。</w:t>
            </w:r>
          </w:p>
        </w:tc>
      </w:tr>
      <w:tr w14:paraId="168D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3B07D5CA">
            <w:pPr>
              <w:numPr>
                <w:ilvl w:val="0"/>
                <w:numId w:val="0"/>
              </w:numPr>
              <w:adjustRightInd w:val="0"/>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5</w:t>
            </w:r>
          </w:p>
        </w:tc>
        <w:tc>
          <w:tcPr>
            <w:tcW w:w="1645" w:type="dxa"/>
          </w:tcPr>
          <w:p w14:paraId="0F02EA95">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针对本项目的服务承诺和售后承诺</w:t>
            </w:r>
          </w:p>
          <w:p w14:paraId="283052FC">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（10分）</w:t>
            </w:r>
          </w:p>
        </w:tc>
        <w:tc>
          <w:tcPr>
            <w:tcW w:w="6006" w:type="dxa"/>
          </w:tcPr>
          <w:p w14:paraId="691C8053">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响应供应商应有完整的服务质量承诺保障方案及售后服务方案（服务体系、服务内容、响应速度）。</w:t>
            </w:r>
          </w:p>
          <w:p w14:paraId="66030AE9">
            <w:pPr>
              <w:numPr>
                <w:ilvl w:val="0"/>
                <w:numId w:val="0"/>
              </w:numPr>
              <w:adjustRightInd w:val="0"/>
              <w:snapToGrid w:val="0"/>
              <w:spacing w:line="240" w:lineRule="auto"/>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一档（4分）：</w:t>
            </w:r>
            <w:r>
              <w:rPr>
                <w:rFonts w:hint="eastAsia" w:ascii="宋体" w:hAnsi="宋体" w:eastAsia="宋体" w:cs="宋体"/>
                <w:b w:val="0"/>
                <w:bCs/>
                <w:color w:val="auto"/>
                <w:sz w:val="24"/>
                <w:szCs w:val="24"/>
                <w:highlight w:val="none"/>
                <w:vertAlign w:val="baseline"/>
                <w:lang w:val="en-US" w:eastAsia="zh-CN"/>
              </w:rPr>
              <w:t>服务承诺和售后承诺简单，服务内容单一的得4分；</w:t>
            </w:r>
          </w:p>
          <w:p w14:paraId="708643D6">
            <w:pPr>
              <w:numPr>
                <w:ilvl w:val="0"/>
                <w:numId w:val="0"/>
              </w:numPr>
              <w:adjustRightInd w:val="0"/>
              <w:snapToGrid w:val="0"/>
              <w:spacing w:line="240" w:lineRule="auto"/>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二档（7分）：</w:t>
            </w:r>
            <w:r>
              <w:rPr>
                <w:rFonts w:hint="eastAsia" w:ascii="宋体" w:hAnsi="宋体" w:eastAsia="宋体" w:cs="宋体"/>
                <w:b w:val="0"/>
                <w:bCs/>
                <w:color w:val="auto"/>
                <w:sz w:val="24"/>
                <w:szCs w:val="24"/>
                <w:highlight w:val="none"/>
                <w:vertAlign w:val="baseline"/>
                <w:lang w:val="en-US" w:eastAsia="zh-CN"/>
              </w:rPr>
              <w:t>服务承诺和售后承诺较为详细，服务内容较为合理，得7分；</w:t>
            </w:r>
          </w:p>
          <w:p w14:paraId="40672A52">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kern w:val="2"/>
                <w:sz w:val="24"/>
                <w:szCs w:val="24"/>
                <w:highlight w:val="none"/>
                <w:vertAlign w:val="baseline"/>
                <w:lang w:val="en-US" w:eastAsia="zh-CN" w:bidi="ar-SA"/>
              </w:rPr>
              <w:t>三档（10分）：</w:t>
            </w:r>
            <w:r>
              <w:rPr>
                <w:rFonts w:hint="eastAsia" w:ascii="宋体" w:hAnsi="宋体" w:eastAsia="宋体" w:cs="宋体"/>
                <w:b w:val="0"/>
                <w:bCs/>
                <w:color w:val="auto"/>
                <w:sz w:val="24"/>
                <w:szCs w:val="24"/>
                <w:highlight w:val="none"/>
                <w:vertAlign w:val="baseline"/>
                <w:lang w:val="en-US" w:eastAsia="zh-CN"/>
              </w:rPr>
              <w:t>项目实施过程中，响应供应商所提供的服务承诺和售后承诺可行到位，服务内容完善，得10分</w:t>
            </w:r>
            <w:r>
              <w:rPr>
                <w:rFonts w:hint="eastAsia" w:ascii="宋体" w:hAnsi="宋体" w:cs="宋体"/>
                <w:b w:val="0"/>
                <w:bCs/>
                <w:color w:val="auto"/>
                <w:sz w:val="24"/>
                <w:szCs w:val="24"/>
                <w:highlight w:val="none"/>
                <w:vertAlign w:val="baseline"/>
                <w:lang w:val="en-US" w:eastAsia="zh-CN"/>
              </w:rPr>
              <w:t>。</w:t>
            </w:r>
          </w:p>
        </w:tc>
      </w:tr>
      <w:tr w14:paraId="74A9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127B5194">
            <w:pPr>
              <w:numPr>
                <w:ilvl w:val="0"/>
                <w:numId w:val="0"/>
              </w:numPr>
              <w:adjustRightInd w:val="0"/>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6</w:t>
            </w:r>
          </w:p>
        </w:tc>
        <w:tc>
          <w:tcPr>
            <w:tcW w:w="1645" w:type="dxa"/>
          </w:tcPr>
          <w:p w14:paraId="2D0E6420">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业绩</w:t>
            </w:r>
            <w:r>
              <w:rPr>
                <w:rFonts w:hint="eastAsia" w:ascii="宋体" w:hAnsi="宋体" w:cs="宋体"/>
                <w:b w:val="0"/>
                <w:bCs/>
                <w:color w:val="auto"/>
                <w:sz w:val="24"/>
                <w:szCs w:val="24"/>
                <w:highlight w:val="none"/>
                <w:vertAlign w:val="baseline"/>
                <w:lang w:val="en-US" w:eastAsia="zh-CN"/>
              </w:rPr>
              <w:t>、资信</w:t>
            </w:r>
            <w:r>
              <w:rPr>
                <w:rFonts w:hint="eastAsia" w:ascii="宋体" w:hAnsi="宋体" w:eastAsia="宋体" w:cs="宋体"/>
                <w:b w:val="0"/>
                <w:bCs/>
                <w:color w:val="auto"/>
                <w:sz w:val="24"/>
                <w:szCs w:val="24"/>
                <w:highlight w:val="none"/>
                <w:vertAlign w:val="baseline"/>
                <w:lang w:val="en-US" w:eastAsia="zh-CN"/>
              </w:rPr>
              <w:t>证明</w:t>
            </w:r>
          </w:p>
          <w:p w14:paraId="42EA36D2">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（20分）</w:t>
            </w:r>
          </w:p>
        </w:tc>
        <w:tc>
          <w:tcPr>
            <w:tcW w:w="6006" w:type="dxa"/>
          </w:tcPr>
          <w:p w14:paraId="10276802">
            <w:pPr>
              <w:keepNext w:val="0"/>
              <w:keepLines w:val="0"/>
              <w:pageBreakBefore w:val="0"/>
              <w:widowControl w:val="0"/>
              <w:kinsoku/>
              <w:wordWrap/>
              <w:overflowPunct/>
              <w:topLinePunct w:val="0"/>
              <w:autoSpaceDE/>
              <w:autoSpaceDN/>
              <w:bidi w:val="0"/>
              <w:snapToGrid/>
              <w:spacing w:line="240" w:lineRule="auto"/>
              <w:textAlignment w:val="baseline"/>
              <w:rPr>
                <w:rFonts w:cs="Courier New"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szCs w:val="24"/>
                <w:highlight w:val="none"/>
              </w:rPr>
              <w:t>1、供应商20</w:t>
            </w:r>
            <w:r>
              <w:rPr>
                <w:rFonts w:cs="Courier New" w:asciiTheme="minorEastAsia" w:hAnsiTheme="minorEastAsia" w:eastAsiaTheme="minorEastAsia"/>
                <w:color w:val="auto"/>
                <w:sz w:val="24"/>
                <w:szCs w:val="24"/>
                <w:highlight w:val="none"/>
              </w:rPr>
              <w:t>2</w:t>
            </w:r>
            <w:r>
              <w:rPr>
                <w:rFonts w:hint="eastAsia" w:cs="Courier New" w:asciiTheme="minorEastAsia" w:hAnsiTheme="minorEastAsia" w:eastAsiaTheme="minorEastAsia"/>
                <w:color w:val="auto"/>
                <w:sz w:val="24"/>
                <w:szCs w:val="24"/>
                <w:highlight w:val="none"/>
              </w:rPr>
              <w:t>2</w:t>
            </w:r>
            <w:r>
              <w:rPr>
                <w:rFonts w:cs="Courier New" w:asciiTheme="minorEastAsia" w:hAnsiTheme="minorEastAsia" w:eastAsiaTheme="minorEastAsia"/>
                <w:color w:val="auto"/>
                <w:sz w:val="24"/>
                <w:szCs w:val="24"/>
                <w:highlight w:val="none"/>
              </w:rPr>
              <w:t>年</w:t>
            </w:r>
            <w:r>
              <w:rPr>
                <w:rFonts w:hint="eastAsia" w:cs="Courier New" w:asciiTheme="minorEastAsia" w:hAnsiTheme="minorEastAsia" w:eastAsiaTheme="minorEastAsia"/>
                <w:color w:val="auto"/>
                <w:sz w:val="24"/>
                <w:szCs w:val="24"/>
                <w:highlight w:val="none"/>
              </w:rPr>
              <w:t>1月1日以来承接过同类项目的，每个项目得</w:t>
            </w:r>
            <w:r>
              <w:rPr>
                <w:rFonts w:hint="eastAsia" w:cs="Courier New" w:asciiTheme="minorEastAsia" w:hAnsiTheme="minorEastAsia" w:eastAsiaTheme="minorEastAsia"/>
                <w:color w:val="auto"/>
                <w:sz w:val="24"/>
                <w:szCs w:val="24"/>
                <w:highlight w:val="none"/>
                <w:lang w:val="en-US" w:eastAsia="zh-CN"/>
              </w:rPr>
              <w:t>2</w:t>
            </w:r>
            <w:r>
              <w:rPr>
                <w:rFonts w:hint="eastAsia" w:cs="Courier New" w:asciiTheme="minorEastAsia" w:hAnsiTheme="minorEastAsia" w:eastAsiaTheme="minorEastAsia"/>
                <w:color w:val="auto"/>
                <w:sz w:val="24"/>
                <w:szCs w:val="24"/>
                <w:highlight w:val="none"/>
              </w:rPr>
              <w:t>分，满分</w:t>
            </w:r>
            <w:r>
              <w:rPr>
                <w:rFonts w:hint="eastAsia" w:cs="Courier New" w:asciiTheme="minorEastAsia" w:hAnsiTheme="minorEastAsia" w:eastAsiaTheme="minorEastAsia"/>
                <w:color w:val="auto"/>
                <w:sz w:val="24"/>
                <w:szCs w:val="24"/>
                <w:highlight w:val="none"/>
                <w:lang w:val="en-US" w:eastAsia="zh-CN"/>
              </w:rPr>
              <w:t>8</w:t>
            </w:r>
            <w:r>
              <w:rPr>
                <w:rFonts w:hint="eastAsia" w:cs="Courier New" w:asciiTheme="minorEastAsia" w:hAnsiTheme="minorEastAsia" w:eastAsiaTheme="minorEastAsia"/>
                <w:color w:val="auto"/>
                <w:sz w:val="24"/>
                <w:szCs w:val="24"/>
                <w:highlight w:val="none"/>
              </w:rPr>
              <w:t>分。</w:t>
            </w:r>
          </w:p>
          <w:p w14:paraId="30930581">
            <w:pPr>
              <w:keepNext w:val="0"/>
              <w:keepLines w:val="0"/>
              <w:pageBreakBefore w:val="0"/>
              <w:widowControl w:val="0"/>
              <w:kinsoku/>
              <w:wordWrap/>
              <w:overflowPunct/>
              <w:topLinePunct w:val="0"/>
              <w:autoSpaceDE/>
              <w:autoSpaceDN/>
              <w:bidi w:val="0"/>
              <w:snapToGrid/>
              <w:spacing w:line="240" w:lineRule="auto"/>
              <w:jc w:val="left"/>
              <w:rPr>
                <w:rFonts w:cs="Courier New"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szCs w:val="24"/>
                <w:highlight w:val="none"/>
              </w:rPr>
              <w:t>注：响应文件中提供中标/成交通知书或合同复印件，不提供不予计分。</w:t>
            </w:r>
          </w:p>
          <w:p w14:paraId="17D66415">
            <w:pPr>
              <w:keepNext w:val="0"/>
              <w:keepLines w:val="0"/>
              <w:pageBreakBefore w:val="0"/>
              <w:widowControl w:val="0"/>
              <w:kinsoku/>
              <w:wordWrap/>
              <w:overflowPunct/>
              <w:topLinePunct w:val="0"/>
              <w:autoSpaceDE/>
              <w:autoSpaceDN/>
              <w:bidi w:val="0"/>
              <w:snapToGrid/>
              <w:spacing w:line="240" w:lineRule="auto"/>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2、供应商获得质量管理体系认证证书、环境管理体系认证证书、职业健康安全管理体系认证证书的</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rPr>
              <w:t>每一项得2分，满分6分。【注：须提供相关证书复印件，不提供不得分】</w:t>
            </w:r>
          </w:p>
          <w:p w14:paraId="49D45264">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cs="宋体" w:asciiTheme="minorEastAsia" w:hAnsiTheme="minorEastAsia" w:eastAsiaTheme="minorEastAsia"/>
                <w:color w:val="auto"/>
                <w:sz w:val="24"/>
                <w:szCs w:val="24"/>
                <w:highlight w:val="none"/>
                <w:lang w:val="en-US" w:eastAsia="zh-CN"/>
              </w:rPr>
              <w:t>3、</w:t>
            </w:r>
            <w:r>
              <w:rPr>
                <w:rFonts w:hint="eastAsia" w:cs="宋体" w:asciiTheme="minorEastAsia" w:hAnsiTheme="minorEastAsia" w:eastAsiaTheme="minorEastAsia"/>
                <w:color w:val="auto"/>
                <w:sz w:val="24"/>
                <w:szCs w:val="24"/>
                <w:highlight w:val="none"/>
              </w:rPr>
              <w:t>供应商采用</w:t>
            </w:r>
            <w:r>
              <w:rPr>
                <w:rFonts w:hint="eastAsia" w:cs="宋体" w:asciiTheme="minorEastAsia" w:hAnsiTheme="minorEastAsia" w:eastAsiaTheme="minorEastAsia"/>
                <w:color w:val="auto"/>
                <w:sz w:val="24"/>
                <w:szCs w:val="24"/>
                <w:highlight w:val="none"/>
                <w:lang w:val="en-US" w:eastAsia="zh-CN"/>
              </w:rPr>
              <w:t>先进设备</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先进</w:t>
            </w:r>
            <w:r>
              <w:rPr>
                <w:rFonts w:hint="eastAsia" w:cs="宋体" w:asciiTheme="minorEastAsia" w:hAnsiTheme="minorEastAsia" w:eastAsiaTheme="minorEastAsia"/>
                <w:color w:val="auto"/>
                <w:sz w:val="24"/>
                <w:szCs w:val="24"/>
                <w:highlight w:val="none"/>
              </w:rPr>
              <w:t>方法提升</w:t>
            </w:r>
            <w:r>
              <w:rPr>
                <w:rFonts w:hint="eastAsia" w:cs="宋体" w:asciiTheme="minorEastAsia" w:hAnsiTheme="minorEastAsia" w:eastAsiaTheme="minorEastAsia"/>
                <w:color w:val="auto"/>
                <w:sz w:val="24"/>
                <w:szCs w:val="24"/>
                <w:highlight w:val="none"/>
                <w:lang w:val="en-US" w:eastAsia="zh-CN"/>
              </w:rPr>
              <w:t>服务水平，</w:t>
            </w:r>
            <w:r>
              <w:rPr>
                <w:rFonts w:hint="eastAsia" w:cs="宋体" w:asciiTheme="minorEastAsia" w:hAnsiTheme="minorEastAsia" w:eastAsiaTheme="minorEastAsia"/>
                <w:color w:val="auto"/>
                <w:sz w:val="24"/>
                <w:szCs w:val="24"/>
                <w:highlight w:val="none"/>
              </w:rPr>
              <w:t>拥有自己研发或采购有</w:t>
            </w:r>
            <w:r>
              <w:rPr>
                <w:rFonts w:hint="eastAsia" w:cs="宋体" w:asciiTheme="minorEastAsia" w:hAnsiTheme="minorEastAsia" w:eastAsiaTheme="minorEastAsia"/>
                <w:color w:val="auto"/>
                <w:sz w:val="24"/>
                <w:szCs w:val="24"/>
                <w:highlight w:val="none"/>
                <w:lang w:val="en-US" w:eastAsia="zh-CN"/>
              </w:rPr>
              <w:t>管理系统、设施设备的，每提供一项得1分，</w:t>
            </w:r>
            <w:r>
              <w:rPr>
                <w:rFonts w:hint="eastAsia" w:cs="宋体" w:asciiTheme="minorEastAsia" w:hAnsiTheme="minorEastAsia" w:eastAsiaTheme="minorEastAsia"/>
                <w:color w:val="auto"/>
                <w:sz w:val="24"/>
                <w:szCs w:val="24"/>
                <w:highlight w:val="none"/>
              </w:rPr>
              <w:t>满分</w:t>
            </w:r>
            <w:r>
              <w:rPr>
                <w:rFonts w:hint="eastAsia" w:cs="宋体" w:asciiTheme="minorEastAsia" w:hAnsiTheme="minorEastAsia" w:eastAsiaTheme="minorEastAsia"/>
                <w:color w:val="auto"/>
                <w:sz w:val="24"/>
                <w:szCs w:val="24"/>
                <w:highlight w:val="none"/>
                <w:lang w:val="en-US" w:eastAsia="zh-CN"/>
              </w:rPr>
              <w:t>6</w:t>
            </w:r>
            <w:r>
              <w:rPr>
                <w:rFonts w:hint="eastAsia" w:cs="宋体" w:asciiTheme="minorEastAsia" w:hAnsiTheme="minorEastAsia" w:eastAsiaTheme="minorEastAsia"/>
                <w:color w:val="auto"/>
                <w:sz w:val="24"/>
                <w:szCs w:val="24"/>
                <w:highlight w:val="none"/>
              </w:rPr>
              <w:t>分</w:t>
            </w:r>
            <w:r>
              <w:rPr>
                <w:rFonts w:hint="eastAsia" w:cs="宋体" w:asciiTheme="minorEastAsia" w:hAnsiTheme="minorEastAsia" w:eastAsiaTheme="minorEastAsia"/>
                <w:color w:val="auto"/>
                <w:sz w:val="24"/>
                <w:szCs w:val="24"/>
                <w:highlight w:val="none"/>
                <w:lang w:val="en-US" w:eastAsia="zh-CN"/>
              </w:rPr>
              <w:t>。</w:t>
            </w:r>
            <w:r>
              <w:rPr>
                <w:rFonts w:hint="eastAsia" w:cs="宋体" w:asciiTheme="minorEastAsia" w:hAnsiTheme="minorEastAsia" w:eastAsiaTheme="minorEastAsia"/>
                <w:color w:val="auto"/>
                <w:sz w:val="24"/>
                <w:szCs w:val="24"/>
                <w:highlight w:val="none"/>
              </w:rPr>
              <w:t>【注：须提供供应商拥有完全知识产权并获得有关主管行政部门颁发的相关证书复印件，同时提交政府公开关联网站查询信息截图，不提供不得分】</w:t>
            </w:r>
            <w:r>
              <w:rPr>
                <w:rFonts w:hint="eastAsia" w:cs="宋体" w:asciiTheme="minorEastAsia" w:hAnsiTheme="minorEastAsia" w:eastAsiaTheme="minorEastAsia"/>
                <w:color w:val="auto"/>
                <w:sz w:val="24"/>
                <w:szCs w:val="24"/>
                <w:highlight w:val="none"/>
                <w:lang w:val="en-US" w:eastAsia="zh-CN"/>
              </w:rPr>
              <w:t>。</w:t>
            </w:r>
          </w:p>
        </w:tc>
      </w:tr>
      <w:tr w14:paraId="7AF1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695FC335">
            <w:pPr>
              <w:numPr>
                <w:ilvl w:val="0"/>
                <w:numId w:val="0"/>
              </w:numPr>
              <w:adjustRightInd w:val="0"/>
              <w:snapToGrid w:val="0"/>
              <w:spacing w:line="240" w:lineRule="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总分（100分）</w:t>
            </w:r>
          </w:p>
        </w:tc>
      </w:tr>
    </w:tbl>
    <w:p w14:paraId="461E3306">
      <w:pPr>
        <w:numPr>
          <w:ilvl w:val="0"/>
          <w:numId w:val="0"/>
        </w:numPr>
        <w:adjustRightInd w:val="0"/>
        <w:snapToGrid w:val="0"/>
        <w:spacing w:line="240" w:lineRule="auto"/>
        <w:rPr>
          <w:rFonts w:hint="eastAsia" w:ascii="黑体" w:hAnsi="黑体" w:eastAsia="黑体" w:cs="黑体"/>
          <w:b/>
          <w:bCs/>
          <w:color w:val="auto"/>
          <w:sz w:val="32"/>
          <w:szCs w:val="32"/>
          <w:highlight w:val="none"/>
          <w:lang w:val="en-US" w:eastAsia="zh-CN"/>
        </w:rPr>
      </w:pPr>
    </w:p>
    <w:p w14:paraId="3CFBAB78">
      <w:pPr>
        <w:pStyle w:val="5"/>
        <w:ind w:left="0"/>
        <w:jc w:val="left"/>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注：计分方法按四舍五入取至百分位。</w:t>
      </w:r>
    </w:p>
    <w:p w14:paraId="5DC1F552">
      <w:pPr>
        <w:pStyle w:val="5"/>
        <w:ind w:left="0"/>
        <w:jc w:val="left"/>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候选人推荐原则：采购小组将根据总得分由高到低排列次序并推荐中标候选人。得分相同的，以投标报价由低到高顺序排列。得分相同且投标报价相同的并列，报价文件满足招标文件全部实质性要求，且按照评审因素的量化指标评审得分最高的投标人为排名第一的中标候选人（另有约定的除外）。</w:t>
      </w:r>
    </w:p>
    <w:p w14:paraId="725230DF">
      <w:pPr>
        <w:pStyle w:val="4"/>
        <w:rPr>
          <w:rFonts w:hint="default"/>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ZWViM2EzNWY1OTg0N2QwZGUzNzk3ODI4ZDQ2ZmEifQ=="/>
  </w:docVars>
  <w:rsids>
    <w:rsidRoot w:val="00172A27"/>
    <w:rsid w:val="00462564"/>
    <w:rsid w:val="00936276"/>
    <w:rsid w:val="00EB1C0E"/>
    <w:rsid w:val="017E2A82"/>
    <w:rsid w:val="02816CCE"/>
    <w:rsid w:val="02C80459"/>
    <w:rsid w:val="038D51FF"/>
    <w:rsid w:val="03CF5817"/>
    <w:rsid w:val="040C6A6B"/>
    <w:rsid w:val="04842AA6"/>
    <w:rsid w:val="05F17CC7"/>
    <w:rsid w:val="080758CB"/>
    <w:rsid w:val="087370B9"/>
    <w:rsid w:val="09840E52"/>
    <w:rsid w:val="0ADB7197"/>
    <w:rsid w:val="0BCA3494"/>
    <w:rsid w:val="0C2A7A8F"/>
    <w:rsid w:val="0CEC5B5B"/>
    <w:rsid w:val="0E220154"/>
    <w:rsid w:val="0ECB7EDB"/>
    <w:rsid w:val="12011292"/>
    <w:rsid w:val="12464903"/>
    <w:rsid w:val="12AA0EAB"/>
    <w:rsid w:val="14FE7D0A"/>
    <w:rsid w:val="1565422D"/>
    <w:rsid w:val="161A5018"/>
    <w:rsid w:val="161F262E"/>
    <w:rsid w:val="166167A3"/>
    <w:rsid w:val="1BFC2ACA"/>
    <w:rsid w:val="1CC65684"/>
    <w:rsid w:val="1CDF6673"/>
    <w:rsid w:val="1CEC7CF2"/>
    <w:rsid w:val="1DE63A32"/>
    <w:rsid w:val="1EDA17E8"/>
    <w:rsid w:val="1F2C1918"/>
    <w:rsid w:val="20AD0837"/>
    <w:rsid w:val="211B39F2"/>
    <w:rsid w:val="221072CF"/>
    <w:rsid w:val="22F0322F"/>
    <w:rsid w:val="23405992"/>
    <w:rsid w:val="247D50F0"/>
    <w:rsid w:val="25396B3D"/>
    <w:rsid w:val="25787665"/>
    <w:rsid w:val="27C546B8"/>
    <w:rsid w:val="28C606E7"/>
    <w:rsid w:val="2C5A1872"/>
    <w:rsid w:val="2CF47F19"/>
    <w:rsid w:val="2D59250F"/>
    <w:rsid w:val="2DC07DFB"/>
    <w:rsid w:val="2E1819E5"/>
    <w:rsid w:val="2E536EC1"/>
    <w:rsid w:val="2E823302"/>
    <w:rsid w:val="2FD7142C"/>
    <w:rsid w:val="316A07AA"/>
    <w:rsid w:val="330D3BC9"/>
    <w:rsid w:val="33321DE9"/>
    <w:rsid w:val="3381627F"/>
    <w:rsid w:val="33CD5020"/>
    <w:rsid w:val="358F4C83"/>
    <w:rsid w:val="363C023B"/>
    <w:rsid w:val="371B42F4"/>
    <w:rsid w:val="38B93DC5"/>
    <w:rsid w:val="3A6D4E67"/>
    <w:rsid w:val="3AA213D3"/>
    <w:rsid w:val="3B013949"/>
    <w:rsid w:val="3B251BE5"/>
    <w:rsid w:val="3BB6283D"/>
    <w:rsid w:val="3CCC5C8E"/>
    <w:rsid w:val="3D281519"/>
    <w:rsid w:val="436112E1"/>
    <w:rsid w:val="438E2B64"/>
    <w:rsid w:val="43A429F9"/>
    <w:rsid w:val="489B715A"/>
    <w:rsid w:val="49282FCC"/>
    <w:rsid w:val="4A761B16"/>
    <w:rsid w:val="4BBF4ACF"/>
    <w:rsid w:val="4BE86A43"/>
    <w:rsid w:val="4C7B78B7"/>
    <w:rsid w:val="4CC34DBA"/>
    <w:rsid w:val="4CD314A1"/>
    <w:rsid w:val="4EA07161"/>
    <w:rsid w:val="4F3D0E54"/>
    <w:rsid w:val="4FA709C3"/>
    <w:rsid w:val="4FF37764"/>
    <w:rsid w:val="502B5150"/>
    <w:rsid w:val="50350035"/>
    <w:rsid w:val="504C4954"/>
    <w:rsid w:val="51CE66DB"/>
    <w:rsid w:val="520A6E7D"/>
    <w:rsid w:val="52372CBD"/>
    <w:rsid w:val="554A7E27"/>
    <w:rsid w:val="55913CA7"/>
    <w:rsid w:val="55F935FB"/>
    <w:rsid w:val="577675F9"/>
    <w:rsid w:val="588673C8"/>
    <w:rsid w:val="5919023C"/>
    <w:rsid w:val="591C5F7E"/>
    <w:rsid w:val="59CD1798"/>
    <w:rsid w:val="59ED7884"/>
    <w:rsid w:val="59F44805"/>
    <w:rsid w:val="5A4F5EDF"/>
    <w:rsid w:val="5AE76118"/>
    <w:rsid w:val="5B7C4AB2"/>
    <w:rsid w:val="5C361105"/>
    <w:rsid w:val="5C817592"/>
    <w:rsid w:val="5F5C70D4"/>
    <w:rsid w:val="5FFF2BD8"/>
    <w:rsid w:val="617E6D1C"/>
    <w:rsid w:val="62D6719E"/>
    <w:rsid w:val="631D3F45"/>
    <w:rsid w:val="63D74F7B"/>
    <w:rsid w:val="65043F50"/>
    <w:rsid w:val="650A312E"/>
    <w:rsid w:val="65CA1062"/>
    <w:rsid w:val="675D05FA"/>
    <w:rsid w:val="6A2E3D63"/>
    <w:rsid w:val="6B5C045C"/>
    <w:rsid w:val="6B7670B8"/>
    <w:rsid w:val="6BBD3845"/>
    <w:rsid w:val="6BC8789F"/>
    <w:rsid w:val="6DDB5FB0"/>
    <w:rsid w:val="6F307625"/>
    <w:rsid w:val="6FE77488"/>
    <w:rsid w:val="703B7FDB"/>
    <w:rsid w:val="717E2EDA"/>
    <w:rsid w:val="723E2669"/>
    <w:rsid w:val="72DB57D9"/>
    <w:rsid w:val="73A40BF2"/>
    <w:rsid w:val="7549747A"/>
    <w:rsid w:val="75AD3D8E"/>
    <w:rsid w:val="76803428"/>
    <w:rsid w:val="768865A9"/>
    <w:rsid w:val="76F37EC6"/>
    <w:rsid w:val="791A3E30"/>
    <w:rsid w:val="792A1B99"/>
    <w:rsid w:val="798152DA"/>
    <w:rsid w:val="79F0693F"/>
    <w:rsid w:val="7ADB314B"/>
    <w:rsid w:val="7CF20C20"/>
    <w:rsid w:val="7D6733BC"/>
    <w:rsid w:val="7D8600AB"/>
    <w:rsid w:val="7EBC7738"/>
    <w:rsid w:val="7F6F0306"/>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8"/>
    <w:basedOn w:val="1"/>
    <w:next w:val="1"/>
    <w:unhideWhenUsed/>
    <w:qFormat/>
    <w:uiPriority w:val="99"/>
    <w:pPr>
      <w:adjustRightInd w:val="0"/>
      <w:spacing w:line="360" w:lineRule="atLeast"/>
      <w:ind w:left="2940"/>
      <w:textAlignment w:val="baseline"/>
    </w:pPr>
    <w:rPr>
      <w:rFonts w:ascii="Times New Roman" w:hAnsi="Times New Roman" w:eastAsia="宋体" w:cs="Times New Roman"/>
    </w:rPr>
  </w:style>
  <w:style w:type="paragraph" w:styleId="3">
    <w:name w:val="annotation text"/>
    <w:basedOn w:val="1"/>
    <w:qFormat/>
    <w:uiPriority w:val="0"/>
    <w:pPr>
      <w:jc w:val="left"/>
    </w:pPr>
  </w:style>
  <w:style w:type="paragraph" w:styleId="4">
    <w:name w:val="Body Text"/>
    <w:basedOn w:val="1"/>
    <w:qFormat/>
    <w:uiPriority w:val="99"/>
    <w:pPr>
      <w:spacing w:line="380" w:lineRule="exact"/>
    </w:pPr>
    <w:rPr>
      <w:sz w:val="24"/>
      <w:szCs w:val="24"/>
    </w:rPr>
  </w:style>
  <w:style w:type="paragraph" w:styleId="5">
    <w:name w:val="index 4"/>
    <w:basedOn w:val="1"/>
    <w:next w:val="1"/>
    <w:semiHidden/>
    <w:qFormat/>
    <w:uiPriority w:val="0"/>
    <w:pPr>
      <w:ind w:left="1260"/>
    </w:pPr>
  </w:style>
  <w:style w:type="paragraph" w:styleId="6">
    <w:name w:val="Plain Text"/>
    <w:basedOn w:val="1"/>
    <w:next w:val="2"/>
    <w:qFormat/>
    <w:uiPriority w:val="0"/>
    <w:rPr>
      <w:rFonts w:ascii="宋体" w:hAnsi="Courier New"/>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autoRedefine/>
    <w:qFormat/>
    <w:uiPriority w:val="0"/>
    <w:pPr>
      <w:widowControl w:val="0"/>
      <w:autoSpaceDE w:val="0"/>
      <w:autoSpaceDN w:val="0"/>
      <w:adjustRightInd w:val="0"/>
      <w:jc w:val="left"/>
    </w:pPr>
    <w:rPr>
      <w:rFonts w:ascii="Times New Roman" w:hAnsi="Times New Roman" w:eastAsia="宋体" w:cs="Calibri"/>
      <w:color w:val="000000"/>
      <w:kern w:val="0"/>
      <w:sz w:val="24"/>
      <w:szCs w:val="24"/>
      <w:lang w:val="en-US" w:eastAsia="zh-CN" w:bidi="ar-SA"/>
    </w:rPr>
  </w:style>
  <w:style w:type="paragraph" w:customStyle="1" w:styleId="11">
    <w:name w:val="Div_MsoNormal ParagraphIndent"/>
    <w:basedOn w:val="12"/>
    <w:qFormat/>
    <w:uiPriority w:val="0"/>
    <w:rPr>
      <w:rFonts w:ascii="宋体" w:hAnsi="宋体" w:eastAsia="宋体" w:cs="宋体"/>
      <w:sz w:val="21"/>
    </w:rPr>
  </w:style>
  <w:style w:type="paragraph" w:customStyle="1" w:styleId="12">
    <w:name w:val="正文1"/>
    <w:qFormat/>
    <w:uiPriority w:val="0"/>
    <w:rPr>
      <w:rFonts w:ascii="Times New Roman" w:hAnsi="Times New Roman" w:eastAsia="Times New Roman" w:cs="Times New Roman"/>
      <w:sz w:val="24"/>
      <w:szCs w:val="24"/>
      <w:lang w:val="en-US" w:eastAsia="zh-CN" w:bidi="ar-SA"/>
    </w:rPr>
  </w:style>
  <w:style w:type="character" w:customStyle="1" w:styleId="13">
    <w:name w:val="font11"/>
    <w:basedOn w:val="9"/>
    <w:qFormat/>
    <w:uiPriority w:val="0"/>
    <w:rPr>
      <w:rFonts w:hint="eastAsia" w:ascii="宋体" w:hAnsi="宋体" w:eastAsia="宋体" w:cs="宋体"/>
      <w:color w:val="000000"/>
      <w:sz w:val="20"/>
      <w:szCs w:val="20"/>
      <w:u w:val="none"/>
    </w:rPr>
  </w:style>
  <w:style w:type="character" w:customStyle="1" w:styleId="14">
    <w:name w:val="font31"/>
    <w:basedOn w:val="9"/>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4243</Words>
  <Characters>4456</Characters>
  <Lines>0</Lines>
  <Paragraphs>0</Paragraphs>
  <TotalTime>12</TotalTime>
  <ScaleCrop>false</ScaleCrop>
  <LinksUpToDate>false</LinksUpToDate>
  <CharactersWithSpaces>4502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2024-09-11T07:54:00Z</dcterms:created>
  <dc:creator>芥川</dc:creator>
  <cp:lastModifiedBy>芥川</cp:lastModifiedBy>
  <cp:lastPrinted>2024-12-04T09:14:00Z</cp:lastPrinted>
  <dcterms:modified xsi:type="dcterms:W3CDTF">2024-12-26T09:36:51Z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1550DBD14DCD48DD96CCAA180B576C25_13</vt:lpwstr>
  </property>
  <property fmtid="{D5CDD505-2E9C-101B-9397-08002B2CF9AE}" pid="4" name="KSOTemplateDocerSaveRecord">
    <vt:lpwstr>eyJoZGlkIjoiZmM3ZTQ3ZmYxY2MzYTFkODg2OTU0YmEwZmQzMGYyZDkiLCJ1c2VySWQiOiIyNTM3MzMxNjMifQ==</vt:lpwstr>
  </property>
</Properties>
</file>