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杂志官网及投审稿系统项目参数需求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ind w:left="481" w:leftChars="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1.期刊入口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公众可通过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广西医科大学第一附属医院官网</w:t>
      </w:r>
      <w:r>
        <w:rPr>
          <w:rFonts w:ascii="仿宋" w:hAnsi="仿宋" w:eastAsia="仿宋"/>
          <w:bCs/>
          <w:sz w:val="24"/>
          <w:szCs w:val="24"/>
        </w:rPr>
        <w:t>入口界面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进入期刊官网，且可选择期刊下的不同板块进入不同的子网页；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建设《结直肠肛门外科》杂志</w:t>
      </w:r>
      <w:r>
        <w:rPr>
          <w:rFonts w:ascii="仿宋" w:hAnsi="仿宋" w:eastAsia="仿宋"/>
          <w:b/>
          <w:bCs/>
          <w:sz w:val="24"/>
          <w:szCs w:val="24"/>
        </w:rPr>
        <w:t>子网页</w:t>
      </w:r>
      <w:r>
        <w:rPr>
          <w:rFonts w:hint="eastAsia" w:ascii="仿宋" w:hAnsi="仿宋" w:eastAsia="仿宋"/>
          <w:b/>
          <w:bCs/>
          <w:sz w:val="24"/>
          <w:szCs w:val="24"/>
        </w:rPr>
        <w:t>（期刊新官网）</w:t>
      </w:r>
      <w:r>
        <w:rPr>
          <w:rFonts w:ascii="仿宋" w:hAnsi="仿宋" w:eastAsia="仿宋"/>
          <w:b/>
          <w:bCs/>
          <w:sz w:val="24"/>
          <w:szCs w:val="24"/>
        </w:rPr>
        <w:t>：</w:t>
      </w:r>
    </w:p>
    <w:p>
      <w:pPr>
        <w:numPr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将期刊子网页设置为一个单独的页面，在现有官网页面、栏目设置上升级优化，全方位展示期刊内容和最新动态，页面内容包含但不限于以下栏目：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期刊基本信息：最新一期杂志封面图、期刊简介、编委会介绍；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当期内容展示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每期全部内容单篇完整显示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过刊浏览：往期内容全文浏览和下载；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线上公益学术厅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期刊定期举办的线上线下学术讲座视频的直播和回放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期刊动态</w:t>
      </w:r>
      <w:r>
        <w:rPr>
          <w:rFonts w:ascii="仿宋" w:hAnsi="仿宋" w:eastAsia="仿宋"/>
          <w:sz w:val="24"/>
          <w:szCs w:val="24"/>
        </w:rPr>
        <w:t>：展示期刊</w:t>
      </w:r>
      <w:r>
        <w:rPr>
          <w:rFonts w:hint="eastAsia" w:ascii="仿宋" w:hAnsi="仿宋" w:eastAsia="仿宋"/>
          <w:sz w:val="24"/>
          <w:szCs w:val="24"/>
        </w:rPr>
        <w:t>最新活动、新闻、荣誉等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建设新的投审稿系统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实现</w:t>
      </w:r>
      <w:r>
        <w:rPr>
          <w:rFonts w:ascii="仿宋" w:hAnsi="仿宋" w:eastAsia="仿宋"/>
          <w:sz w:val="24"/>
          <w:szCs w:val="24"/>
        </w:rPr>
        <w:t>在线投稿</w:t>
      </w:r>
      <w:r>
        <w:rPr>
          <w:rFonts w:hint="eastAsia" w:ascii="仿宋" w:hAnsi="仿宋" w:eastAsia="仿宋"/>
          <w:sz w:val="24"/>
          <w:szCs w:val="24"/>
        </w:rPr>
        <w:t>、审稿</w:t>
      </w:r>
      <w:r>
        <w:rPr>
          <w:rFonts w:ascii="仿宋" w:hAnsi="仿宋" w:eastAsia="仿宋"/>
          <w:sz w:val="24"/>
          <w:szCs w:val="24"/>
        </w:rPr>
        <w:t>，点击后可跳转至作者投稿系统界面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等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引用排行：按年度或</w:t>
      </w:r>
      <w:r>
        <w:rPr>
          <w:rFonts w:hint="eastAsia" w:ascii="仿宋" w:hAnsi="仿宋" w:eastAsia="仿宋"/>
          <w:sz w:val="24"/>
          <w:szCs w:val="24"/>
        </w:rPr>
        <w:t>期数</w:t>
      </w:r>
      <w:r>
        <w:rPr>
          <w:rFonts w:ascii="仿宋" w:hAnsi="仿宋" w:eastAsia="仿宋"/>
          <w:sz w:val="24"/>
          <w:szCs w:val="24"/>
        </w:rPr>
        <w:t>选取排名靠前的高引用量论文进行展示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845" w:leftChars="0" w:hanging="425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期刊论文全文获取：以在线链接开放论文的</w:t>
      </w:r>
      <w:r>
        <w:rPr>
          <w:rFonts w:hint="eastAsia" w:ascii="仿宋" w:hAnsi="仿宋" w:eastAsia="仿宋"/>
          <w:sz w:val="24"/>
          <w:szCs w:val="24"/>
        </w:rPr>
        <w:t>全文获取，实现免费</w:t>
      </w:r>
      <w:r>
        <w:rPr>
          <w:rFonts w:ascii="仿宋" w:hAnsi="仿宋" w:eastAsia="仿宋"/>
          <w:sz w:val="24"/>
          <w:szCs w:val="24"/>
        </w:rPr>
        <w:t>下载</w:t>
      </w:r>
      <w:r>
        <w:rPr>
          <w:rFonts w:hint="eastAsia" w:ascii="仿宋" w:hAnsi="仿宋" w:eastAsia="仿宋"/>
          <w:sz w:val="24"/>
          <w:szCs w:val="24"/>
        </w:rPr>
        <w:t>期刊全文P</w:t>
      </w:r>
      <w:r>
        <w:rPr>
          <w:rFonts w:ascii="仿宋" w:hAnsi="仿宋" w:eastAsia="仿宋"/>
          <w:sz w:val="24"/>
          <w:szCs w:val="24"/>
        </w:rPr>
        <w:t>DF</w:t>
      </w:r>
      <w:r>
        <w:rPr>
          <w:rFonts w:hint="eastAsia" w:ascii="仿宋" w:hAnsi="仿宋" w:eastAsia="仿宋"/>
          <w:sz w:val="24"/>
          <w:szCs w:val="24"/>
        </w:rPr>
        <w:t>，论文图表的高清弹框显示。</w:t>
      </w:r>
    </w:p>
    <w:p>
      <w:pPr>
        <w:spacing w:line="360" w:lineRule="auto"/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4"/>
          <w:szCs w:val="24"/>
        </w:rPr>
        <w:t>．建设《结直肠肛门外科》杂志</w:t>
      </w:r>
      <w:r>
        <w:rPr>
          <w:rFonts w:ascii="仿宋" w:hAnsi="仿宋" w:eastAsia="仿宋"/>
          <w:b/>
          <w:bCs/>
          <w:sz w:val="24"/>
          <w:szCs w:val="24"/>
        </w:rPr>
        <w:t>子网页</w:t>
      </w:r>
      <w:r>
        <w:rPr>
          <w:rFonts w:hint="eastAsia" w:ascii="仿宋" w:hAnsi="仿宋" w:eastAsia="仿宋"/>
          <w:b/>
          <w:bCs/>
          <w:sz w:val="24"/>
          <w:szCs w:val="24"/>
        </w:rPr>
        <w:t>（期刊新官网）英文版</w:t>
      </w:r>
      <w:r>
        <w:rPr>
          <w:rFonts w:ascii="仿宋" w:hAnsi="仿宋" w:eastAsia="仿宋"/>
          <w:b/>
          <w:bCs/>
          <w:sz w:val="24"/>
          <w:szCs w:val="24"/>
        </w:rPr>
        <w:t>：</w:t>
      </w:r>
    </w:p>
    <w:p>
      <w:pPr>
        <w:spacing w:line="360" w:lineRule="auto"/>
        <w:ind w:firstLine="48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</w:rPr>
        <w:t>英文版子网页版面设置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</w:t>
      </w:r>
      <w:r>
        <w:rPr>
          <w:rFonts w:ascii="仿宋" w:hAnsi="仿宋" w:eastAsia="仿宋"/>
          <w:sz w:val="24"/>
          <w:szCs w:val="24"/>
        </w:rPr>
        <w:t>与中文版相同，页面内容</w:t>
      </w:r>
      <w:r>
        <w:rPr>
          <w:rFonts w:hint="eastAsia" w:ascii="仿宋" w:hAnsi="仿宋" w:eastAsia="仿宋"/>
          <w:sz w:val="24"/>
          <w:szCs w:val="24"/>
        </w:rPr>
        <w:t>包含但不限于以下栏目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8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ascii="仿宋" w:hAnsi="仿宋" w:eastAsia="仿宋"/>
          <w:sz w:val="24"/>
          <w:szCs w:val="24"/>
        </w:rPr>
        <w:t>期刊基本信息：最新一期杂志封面图、期刊简介；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当期文章展示/往期浏览</w:t>
      </w:r>
      <w:r>
        <w:rPr>
          <w:rFonts w:ascii="仿宋" w:hAnsi="仿宋" w:eastAsia="仿宋"/>
          <w:sz w:val="24"/>
          <w:szCs w:val="24"/>
        </w:rPr>
        <w:t>：当期</w:t>
      </w:r>
      <w:r>
        <w:rPr>
          <w:rFonts w:hint="eastAsia" w:ascii="仿宋" w:hAnsi="仿宋" w:eastAsia="仿宋"/>
          <w:sz w:val="24"/>
          <w:szCs w:val="24"/>
        </w:rPr>
        <w:t>/往期</w:t>
      </w:r>
      <w:r>
        <w:rPr>
          <w:rFonts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</w:rPr>
        <w:t>完整</w:t>
      </w:r>
      <w:r>
        <w:rPr>
          <w:rFonts w:ascii="仿宋" w:hAnsi="仿宋" w:eastAsia="仿宋"/>
          <w:sz w:val="24"/>
          <w:szCs w:val="24"/>
        </w:rPr>
        <w:t>英文摘要及图</w:t>
      </w:r>
      <w:r>
        <w:rPr>
          <w:rFonts w:hint="eastAsia" w:ascii="仿宋" w:hAnsi="仿宋" w:eastAsia="仿宋"/>
          <w:sz w:val="24"/>
          <w:szCs w:val="24"/>
        </w:rPr>
        <w:t>表展示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（3）</w:t>
      </w:r>
      <w:r>
        <w:rPr>
          <w:rFonts w:hint="eastAsia" w:ascii="仿宋" w:hAnsi="仿宋" w:eastAsia="仿宋"/>
          <w:sz w:val="24"/>
          <w:szCs w:val="24"/>
        </w:rPr>
        <w:t>期刊论文英文长摘要显示</w:t>
      </w:r>
      <w:r>
        <w:rPr>
          <w:rFonts w:ascii="仿宋" w:hAnsi="仿宋" w:eastAsia="仿宋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（4）论文全文获取</w:t>
      </w:r>
      <w:r>
        <w:rPr>
          <w:rFonts w:hint="eastAsia" w:ascii="仿宋" w:hAnsi="仿宋" w:eastAsia="仿宋"/>
          <w:sz w:val="24"/>
          <w:szCs w:val="24"/>
        </w:rPr>
        <w:t>同上。</w:t>
      </w:r>
    </w:p>
    <w:p>
      <w:pPr>
        <w:spacing w:line="360" w:lineRule="auto"/>
        <w:ind w:firstLine="480" w:firstLineChars="200"/>
        <w:jc w:val="left"/>
        <w:rPr>
          <w:rStyle w:val="7"/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示例：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）Signal Transduction and Targeted Therapy：</w:t>
      </w:r>
      <w:r>
        <w:fldChar w:fldCharType="begin"/>
      </w:r>
      <w:r>
        <w:instrText xml:space="preserve"> HYPERLINK "https://www.nature.com/sigtrans/" </w:instrText>
      </w:r>
      <w:r>
        <w:fldChar w:fldCharType="separate"/>
      </w:r>
      <w:r>
        <w:rPr>
          <w:rStyle w:val="7"/>
          <w:rFonts w:ascii="仿宋" w:hAnsi="仿宋" w:eastAsia="仿宋"/>
          <w:sz w:val="24"/>
          <w:szCs w:val="24"/>
        </w:rPr>
        <w:t>https://www.nature.com/sigtrans/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）Cell Research</w:t>
      </w:r>
      <w:r>
        <w:rPr>
          <w:rFonts w:hint="eastAsia" w:ascii="仿宋" w:hAnsi="仿宋" w:eastAsia="仿宋"/>
          <w:sz w:val="24"/>
          <w:szCs w:val="24"/>
        </w:rPr>
        <w:t>：</w:t>
      </w:r>
      <w:r>
        <w:fldChar w:fldCharType="begin"/>
      </w:r>
      <w:r>
        <w:instrText xml:space="preserve"> HYPERLINK "https://www.nature.com/cr/" </w:instrText>
      </w:r>
      <w:r>
        <w:fldChar w:fldCharType="separate"/>
      </w:r>
      <w:r>
        <w:rPr>
          <w:rStyle w:val="7"/>
          <w:rFonts w:ascii="仿宋" w:hAnsi="仿宋" w:eastAsia="仿宋"/>
          <w:sz w:val="24"/>
          <w:szCs w:val="24"/>
        </w:rPr>
        <w:t>https://www.nature.com/cr/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）Journal of Nutritional Oncology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Style w:val="7"/>
          <w:rFonts w:ascii="仿宋" w:hAnsi="仿宋" w:eastAsia="仿宋"/>
          <w:sz w:val="24"/>
          <w:szCs w:val="24"/>
        </w:rPr>
        <w:t>https://journals.lww.com/jno/pages/default.aspx</w:t>
      </w:r>
    </w:p>
    <w:p>
      <w:pPr>
        <w:spacing w:line="360" w:lineRule="auto"/>
        <w:ind w:firstLine="480" w:firstLineChars="200"/>
        <w:jc w:val="left"/>
        <w:rPr>
          <w:rStyle w:val="7"/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）Water Resources and Hydropower Engineering</w:t>
      </w:r>
      <w:r>
        <w:rPr>
          <w:rFonts w:hint="eastAsia" w:ascii="仿宋" w:hAnsi="仿宋" w:eastAsia="仿宋"/>
          <w:sz w:val="24"/>
          <w:szCs w:val="24"/>
        </w:rPr>
        <w:t>：</w:t>
      </w:r>
      <w:r>
        <w:fldChar w:fldCharType="begin"/>
      </w:r>
      <w:r>
        <w:instrText xml:space="preserve"> HYPERLINK "https://sjwje.cbpt.cnki.net/WKE3/WebPublication/index.aspx?mid=sjwje" </w:instrText>
      </w:r>
      <w:r>
        <w:fldChar w:fldCharType="separate"/>
      </w:r>
      <w:r>
        <w:rPr>
          <w:rStyle w:val="7"/>
          <w:rFonts w:ascii="仿宋" w:hAnsi="仿宋" w:eastAsia="仿宋"/>
          <w:sz w:val="24"/>
          <w:szCs w:val="24"/>
        </w:rPr>
        <w:t>https://sjwje.cbpt.cnki.net/WKE3/WebPublication/index.aspx?mid=sjwje</w:t>
      </w:r>
      <w:r>
        <w:rPr>
          <w:rStyle w:val="7"/>
          <w:rFonts w:ascii="仿宋" w:hAnsi="仿宋" w:eastAsia="仿宋"/>
          <w:sz w:val="24"/>
          <w:szCs w:val="24"/>
        </w:rPr>
        <w:fldChar w:fldCharType="end"/>
      </w:r>
    </w:p>
    <w:p>
      <w:pPr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4.</w:t>
      </w:r>
      <w:r>
        <w:rPr>
          <w:rFonts w:ascii="仿宋" w:hAnsi="仿宋" w:eastAsia="仿宋"/>
          <w:b/>
          <w:bCs/>
          <w:sz w:val="24"/>
          <w:szCs w:val="24"/>
        </w:rPr>
        <w:t>建设与官网相匹配的全新投稿系统及数据库：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为了更好的管理相关论文，完善期刊可以进行自我管理的数据库信息，投稿系统及数据库需要与官网同步建设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szCs w:val="24"/>
        </w:rPr>
        <w:t>具体建设内容如下：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（</w:t>
      </w:r>
      <w:r>
        <w:rPr>
          <w:rFonts w:hint="eastAsia" w:ascii="仿宋" w:hAnsi="仿宋" w:eastAsia="仿宋"/>
          <w:bCs/>
          <w:sz w:val="24"/>
          <w:szCs w:val="24"/>
        </w:rPr>
        <w:t>1</w:t>
      </w:r>
      <w:r>
        <w:rPr>
          <w:rFonts w:ascii="仿宋" w:hAnsi="仿宋" w:eastAsia="仿宋"/>
          <w:bCs/>
          <w:sz w:val="24"/>
          <w:szCs w:val="24"/>
        </w:rPr>
        <w:t>）投稿系统</w:t>
      </w:r>
      <w:r>
        <w:rPr>
          <w:rFonts w:hint="eastAsia" w:ascii="仿宋" w:hAnsi="仿宋" w:eastAsia="仿宋"/>
          <w:bCs/>
          <w:sz w:val="24"/>
          <w:szCs w:val="24"/>
        </w:rPr>
        <w:t>编辑部分系统开发、审理中心（稿件审理：作者申请撤稿、已撤稿、收稿、未交费撤稿稿件、初审、初审修改、初审修回、待送外审、专家评审中、专家回审、复审修改、复审修回、终审等功能）、约稿管理、账户功能等内容页面的制作及部分内容的录入；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（</w:t>
      </w:r>
      <w:r>
        <w:rPr>
          <w:rFonts w:hint="eastAsia" w:ascii="仿宋" w:hAnsi="仿宋" w:eastAsia="仿宋"/>
          <w:bCs/>
          <w:sz w:val="24"/>
          <w:szCs w:val="24"/>
        </w:rPr>
        <w:t>2</w:t>
      </w:r>
      <w:r>
        <w:rPr>
          <w:rFonts w:ascii="仿宋" w:hAnsi="仿宋" w:eastAsia="仿宋"/>
          <w:bCs/>
          <w:sz w:val="24"/>
          <w:szCs w:val="24"/>
        </w:rPr>
        <w:t>）</w:t>
      </w:r>
      <w:r>
        <w:rPr>
          <w:rFonts w:hint="eastAsia" w:ascii="仿宋" w:hAnsi="仿宋" w:eastAsia="仿宋"/>
          <w:bCs/>
          <w:sz w:val="24"/>
          <w:szCs w:val="24"/>
        </w:rPr>
        <w:t>系统管理开发（包含：栏目管理、内容管理、权限管理、角色管理、用户管理、统计分析、系统设置、日志管理、账户功能等）；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（</w:t>
      </w:r>
      <w:r>
        <w:rPr>
          <w:rFonts w:hint="eastAsia" w:ascii="仿宋" w:hAnsi="仿宋" w:eastAsia="仿宋"/>
          <w:bCs/>
          <w:sz w:val="24"/>
          <w:szCs w:val="24"/>
        </w:rPr>
        <w:t>3</w:t>
      </w:r>
      <w:r>
        <w:rPr>
          <w:rFonts w:ascii="仿宋" w:hAnsi="仿宋" w:eastAsia="仿宋"/>
          <w:bCs/>
          <w:sz w:val="24"/>
          <w:szCs w:val="24"/>
        </w:rPr>
        <w:t>）数据库资源分配：录入自建刊以来所有刊登文章的全文信息，包括文档、图片及手术视频等，同时须保证</w:t>
      </w:r>
      <w:r>
        <w:rPr>
          <w:rFonts w:hint="eastAsia" w:ascii="仿宋" w:hAnsi="仿宋" w:eastAsia="仿宋"/>
          <w:bCs/>
          <w:sz w:val="24"/>
          <w:szCs w:val="24"/>
        </w:rPr>
        <w:t>服务器及文章数据的安全性</w:t>
      </w:r>
      <w:r>
        <w:rPr>
          <w:rFonts w:ascii="仿宋" w:hAnsi="仿宋" w:eastAsia="仿宋"/>
          <w:bCs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ascii="仿宋" w:hAnsi="仿宋" w:eastAsia="仿宋"/>
          <w:bCs/>
          <w:sz w:val="24"/>
          <w:szCs w:val="24"/>
        </w:rPr>
        <w:t>（</w:t>
      </w:r>
      <w:r>
        <w:rPr>
          <w:rFonts w:hint="eastAsia" w:ascii="仿宋" w:hAnsi="仿宋" w:eastAsia="仿宋"/>
          <w:bCs/>
          <w:sz w:val="24"/>
          <w:szCs w:val="24"/>
        </w:rPr>
        <w:t>4</w:t>
      </w:r>
      <w:r>
        <w:rPr>
          <w:rFonts w:ascii="仿宋" w:hAnsi="仿宋" w:eastAsia="仿宋"/>
          <w:bCs/>
          <w:sz w:val="24"/>
          <w:szCs w:val="24"/>
        </w:rPr>
        <w:t>）英文版投审稿系统同步更新，内容及版面设置与中文版相同。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支持</w:t>
      </w:r>
      <w:r>
        <w:rPr>
          <w:rFonts w:hint="eastAsia" w:ascii="仿宋" w:hAnsi="仿宋" w:eastAsia="仿宋"/>
          <w:sz w:val="24"/>
          <w:szCs w:val="24"/>
        </w:rPr>
        <w:t>将期刊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历史</w:t>
      </w:r>
      <w:r>
        <w:rPr>
          <w:rFonts w:hint="eastAsia" w:ascii="仿宋" w:hAnsi="仿宋" w:eastAsia="仿宋"/>
          <w:sz w:val="24"/>
          <w:szCs w:val="24"/>
        </w:rPr>
        <w:t>数据迁移至我院自主服务器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AD544"/>
    <w:multiLevelType w:val="singleLevel"/>
    <w:tmpl w:val="8BCAD544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BC9FECD7"/>
    <w:multiLevelType w:val="singleLevel"/>
    <w:tmpl w:val="BC9FECD7"/>
    <w:lvl w:ilvl="0" w:tentative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wMmYxNjNmODIxZTdhN2U1M2U1N2Q4NzZmYzE0MTUifQ=="/>
  </w:docVars>
  <w:rsids>
    <w:rsidRoot w:val="00870599"/>
    <w:rsid w:val="000004B2"/>
    <w:rsid w:val="00010214"/>
    <w:rsid w:val="00093421"/>
    <w:rsid w:val="000D5118"/>
    <w:rsid w:val="000D73FF"/>
    <w:rsid w:val="000E0B12"/>
    <w:rsid w:val="000E3E0B"/>
    <w:rsid w:val="000F0906"/>
    <w:rsid w:val="0014766C"/>
    <w:rsid w:val="001C3C51"/>
    <w:rsid w:val="001E052C"/>
    <w:rsid w:val="0020786E"/>
    <w:rsid w:val="0023537A"/>
    <w:rsid w:val="00256175"/>
    <w:rsid w:val="002678FA"/>
    <w:rsid w:val="00287CFD"/>
    <w:rsid w:val="00295A5F"/>
    <w:rsid w:val="002E47E5"/>
    <w:rsid w:val="003234CA"/>
    <w:rsid w:val="003838AF"/>
    <w:rsid w:val="003A66E3"/>
    <w:rsid w:val="003D7277"/>
    <w:rsid w:val="003E36BF"/>
    <w:rsid w:val="003F7B8C"/>
    <w:rsid w:val="00401677"/>
    <w:rsid w:val="00415C38"/>
    <w:rsid w:val="00437EED"/>
    <w:rsid w:val="004431B9"/>
    <w:rsid w:val="0044440F"/>
    <w:rsid w:val="00447628"/>
    <w:rsid w:val="00450D28"/>
    <w:rsid w:val="00470118"/>
    <w:rsid w:val="00480F07"/>
    <w:rsid w:val="00490F4C"/>
    <w:rsid w:val="004E1D10"/>
    <w:rsid w:val="00586B25"/>
    <w:rsid w:val="00604DFA"/>
    <w:rsid w:val="006147A0"/>
    <w:rsid w:val="00640B72"/>
    <w:rsid w:val="00663932"/>
    <w:rsid w:val="0067303F"/>
    <w:rsid w:val="006A51B1"/>
    <w:rsid w:val="006A5CF3"/>
    <w:rsid w:val="006C18DE"/>
    <w:rsid w:val="006E590C"/>
    <w:rsid w:val="006E59F0"/>
    <w:rsid w:val="006F42F9"/>
    <w:rsid w:val="00730692"/>
    <w:rsid w:val="00730B0C"/>
    <w:rsid w:val="0074438C"/>
    <w:rsid w:val="007458B2"/>
    <w:rsid w:val="0075182A"/>
    <w:rsid w:val="00757EAE"/>
    <w:rsid w:val="007617AC"/>
    <w:rsid w:val="00803FA8"/>
    <w:rsid w:val="0081524B"/>
    <w:rsid w:val="00842FFD"/>
    <w:rsid w:val="0086118D"/>
    <w:rsid w:val="008657C7"/>
    <w:rsid w:val="00870599"/>
    <w:rsid w:val="008712FA"/>
    <w:rsid w:val="008A3785"/>
    <w:rsid w:val="008C4D06"/>
    <w:rsid w:val="00903EE9"/>
    <w:rsid w:val="0097126B"/>
    <w:rsid w:val="009A6367"/>
    <w:rsid w:val="009A648E"/>
    <w:rsid w:val="009C31F7"/>
    <w:rsid w:val="009D3DB3"/>
    <w:rsid w:val="009E3BF6"/>
    <w:rsid w:val="00A120BB"/>
    <w:rsid w:val="00A339EF"/>
    <w:rsid w:val="00A50EFA"/>
    <w:rsid w:val="00A5361A"/>
    <w:rsid w:val="00A65037"/>
    <w:rsid w:val="00A8164F"/>
    <w:rsid w:val="00AA6EFD"/>
    <w:rsid w:val="00B330C5"/>
    <w:rsid w:val="00B66CC6"/>
    <w:rsid w:val="00B73320"/>
    <w:rsid w:val="00B74B78"/>
    <w:rsid w:val="00BB06E4"/>
    <w:rsid w:val="00BB295A"/>
    <w:rsid w:val="00BE193E"/>
    <w:rsid w:val="00C166E7"/>
    <w:rsid w:val="00C463B1"/>
    <w:rsid w:val="00C66755"/>
    <w:rsid w:val="00C74AE3"/>
    <w:rsid w:val="00C83DB9"/>
    <w:rsid w:val="00C93505"/>
    <w:rsid w:val="00CF0EC6"/>
    <w:rsid w:val="00D13706"/>
    <w:rsid w:val="00D22CF5"/>
    <w:rsid w:val="00D41A96"/>
    <w:rsid w:val="00D66E46"/>
    <w:rsid w:val="00DA3DEF"/>
    <w:rsid w:val="00DC5527"/>
    <w:rsid w:val="00E26E9A"/>
    <w:rsid w:val="00E32B5E"/>
    <w:rsid w:val="00E64DD0"/>
    <w:rsid w:val="00ED43C8"/>
    <w:rsid w:val="00F16360"/>
    <w:rsid w:val="00F239EB"/>
    <w:rsid w:val="00F80C19"/>
    <w:rsid w:val="00F90AF5"/>
    <w:rsid w:val="00FA4453"/>
    <w:rsid w:val="00FD62CD"/>
    <w:rsid w:val="57A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545</Words>
  <Characters>3110</Characters>
  <Lines>25</Lines>
  <Paragraphs>7</Paragraphs>
  <TotalTime>26</TotalTime>
  <ScaleCrop>false</ScaleCrop>
  <LinksUpToDate>false</LinksUpToDate>
  <CharactersWithSpaces>3648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2023-12-22T08:26:00Z</dcterms:created>
  <dc:creator>Microsoft 帐户</dc:creator>
  <cp:lastModifiedBy>汪永凤</cp:lastModifiedBy>
  <dcterms:modified xsi:type="dcterms:W3CDTF">2024-03-26T01:19:30Z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9ABBE5B5AB85452395FB030CF78B5663_12</vt:lpwstr>
  </property>
</Properties>
</file>