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24"/>
          <w:szCs w:val="28"/>
          <w:lang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一、主要维保设备清单</w:t>
      </w:r>
    </w:p>
    <w:tbl>
      <w:tblPr>
        <w:tblStyle w:val="7"/>
        <w:tblpPr w:leftFromText="180" w:rightFromText="180" w:vertAnchor="page" w:horzAnchor="page" w:tblpX="1899" w:tblpY="1930"/>
        <w:tblOverlap w:val="never"/>
        <w:tblW w:w="82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074"/>
        <w:gridCol w:w="2114"/>
        <w:gridCol w:w="1146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序号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10"/>
                <w:lang w:val="en-US" w:eastAsia="zh-CN" w:bidi="ar"/>
              </w:rPr>
              <w:t>主要</w:t>
            </w:r>
            <w:r>
              <w:rPr>
                <w:rStyle w:val="10"/>
                <w:rFonts w:hint="eastAsia" w:eastAsia="宋体"/>
                <w:lang w:val="en-US" w:eastAsia="zh-CN" w:bidi="ar"/>
              </w:rPr>
              <w:t>内容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数量（台）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无线控制器 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无线控制器7240XM-RW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管理软件 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LIC-AP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2147 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管理软件 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LIC-PEF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2174 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管理软件 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LIC-AW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2279 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统一认证平台 （含升级）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CP-VA-25K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MM-VA-5K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p>
      <w:pPr>
        <w:rPr>
          <w:rFonts w:hint="eastAsia"/>
          <w:b/>
          <w:bCs/>
          <w:sz w:val="24"/>
          <w:szCs w:val="28"/>
          <w:lang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二、维保服务内容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t>定期巡检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巡检目的：</w:t>
      </w:r>
      <w:r>
        <w:rPr>
          <w:rFonts w:hint="eastAsia" w:ascii="宋体" w:hAnsi="宋体" w:eastAsia="宋体" w:cs="宋体"/>
          <w:sz w:val="24"/>
          <w:szCs w:val="24"/>
        </w:rPr>
        <w:t>通过对无线网络系统的一系列检查，收集更新系统信息，评估系统健康状况，排除运行隐患，提高对各类突发故障的应对能力，降低故障影响。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巡检周期：</w:t>
      </w:r>
      <w:r>
        <w:rPr>
          <w:rFonts w:hint="eastAsia" w:ascii="宋体" w:hAnsi="宋体" w:eastAsia="宋体" w:cs="宋体"/>
          <w:sz w:val="24"/>
          <w:szCs w:val="24"/>
        </w:rPr>
        <w:t>包括日常巡检和季度巡检。季度巡检每个季度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至少</w:t>
      </w:r>
      <w:r>
        <w:rPr>
          <w:rFonts w:hint="eastAsia" w:ascii="宋体" w:hAnsi="宋体" w:eastAsia="宋体" w:cs="宋体"/>
          <w:sz w:val="24"/>
          <w:szCs w:val="24"/>
        </w:rPr>
        <w:t>执行一次现场巡检。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巡检范围</w:t>
      </w:r>
      <w:r>
        <w:rPr>
          <w:rFonts w:hint="eastAsia" w:ascii="宋体" w:hAnsi="宋体" w:eastAsia="宋体" w:cs="宋体"/>
          <w:sz w:val="24"/>
          <w:szCs w:val="24"/>
        </w:rPr>
        <w:t>：无线网络系统（包含软件系统全面检查和重点硬件设备抽检，如中心机房核心设备和汇聚层设备、室外AP等）。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巡检内容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1.4.1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软件系统：</w:t>
      </w:r>
    </w:p>
    <w:p>
      <w:pPr>
        <w:pStyle w:val="11"/>
        <w:numPr>
          <w:ilvl w:val="0"/>
          <w:numId w:val="1"/>
        </w:numPr>
        <w:spacing w:line="360" w:lineRule="auto"/>
        <w:ind w:left="90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检查软件版本信息，以及系统配置、系统的启动情况和系统启动时间；</w:t>
      </w:r>
    </w:p>
    <w:p>
      <w:pPr>
        <w:pStyle w:val="11"/>
        <w:numPr>
          <w:ilvl w:val="0"/>
          <w:numId w:val="1"/>
        </w:numPr>
        <w:spacing w:line="360" w:lineRule="auto"/>
        <w:ind w:left="90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检查设备端口，设备连通性，是否与其他设备通讯；</w:t>
      </w:r>
    </w:p>
    <w:p>
      <w:pPr>
        <w:pStyle w:val="11"/>
        <w:numPr>
          <w:ilvl w:val="0"/>
          <w:numId w:val="1"/>
        </w:numPr>
        <w:spacing w:line="360" w:lineRule="auto"/>
        <w:ind w:left="90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检查路由表是否与预期的一致；</w:t>
      </w:r>
    </w:p>
    <w:p>
      <w:pPr>
        <w:pStyle w:val="11"/>
        <w:numPr>
          <w:ilvl w:val="0"/>
          <w:numId w:val="1"/>
        </w:numPr>
        <w:spacing w:line="360" w:lineRule="auto"/>
        <w:ind w:left="90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检查设备内存使用情况，设备CPU利用率情况；</w:t>
      </w:r>
    </w:p>
    <w:p>
      <w:pPr>
        <w:pStyle w:val="11"/>
        <w:numPr>
          <w:ilvl w:val="0"/>
          <w:numId w:val="1"/>
        </w:numPr>
        <w:spacing w:line="360" w:lineRule="auto"/>
        <w:ind w:left="90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检查目前设备运行的配置是否与保存的设备启动配置一样；</w:t>
      </w:r>
    </w:p>
    <w:p>
      <w:pPr>
        <w:pStyle w:val="11"/>
        <w:numPr>
          <w:ilvl w:val="0"/>
          <w:numId w:val="1"/>
        </w:numPr>
        <w:spacing w:line="360" w:lineRule="auto"/>
        <w:ind w:left="90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检查设备警告日志；</w:t>
      </w:r>
    </w:p>
    <w:p>
      <w:pPr>
        <w:pStyle w:val="11"/>
        <w:numPr>
          <w:ilvl w:val="0"/>
          <w:numId w:val="1"/>
        </w:numPr>
        <w:spacing w:line="360" w:lineRule="auto"/>
        <w:ind w:left="90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检查终端使用情况；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1.4.2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硬件设备：</w:t>
      </w:r>
    </w:p>
    <w:p>
      <w:pPr>
        <w:pStyle w:val="11"/>
        <w:numPr>
          <w:ilvl w:val="0"/>
          <w:numId w:val="2"/>
        </w:numPr>
        <w:spacing w:line="360" w:lineRule="auto"/>
        <w:ind w:left="90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检查并记录设备安装位置，对比是否发生过变化；</w:t>
      </w:r>
    </w:p>
    <w:p>
      <w:pPr>
        <w:pStyle w:val="11"/>
        <w:numPr>
          <w:ilvl w:val="0"/>
          <w:numId w:val="2"/>
        </w:numPr>
        <w:spacing w:line="360" w:lineRule="auto"/>
        <w:ind w:left="90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检查并记录设备外观是否完好；</w:t>
      </w:r>
    </w:p>
    <w:p>
      <w:pPr>
        <w:pStyle w:val="11"/>
        <w:numPr>
          <w:ilvl w:val="0"/>
          <w:numId w:val="2"/>
        </w:numPr>
        <w:spacing w:line="360" w:lineRule="auto"/>
        <w:ind w:left="90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检查并记录设备面板显示信息是否存在异常；</w:t>
      </w:r>
    </w:p>
    <w:p>
      <w:pPr>
        <w:pStyle w:val="11"/>
        <w:numPr>
          <w:ilvl w:val="0"/>
          <w:numId w:val="2"/>
        </w:numPr>
        <w:spacing w:line="360" w:lineRule="auto"/>
        <w:ind w:left="90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检查并记录设备指示灯状态；</w:t>
      </w:r>
    </w:p>
    <w:p>
      <w:pPr>
        <w:pStyle w:val="11"/>
        <w:numPr>
          <w:ilvl w:val="0"/>
          <w:numId w:val="2"/>
        </w:numPr>
        <w:spacing w:line="360" w:lineRule="auto"/>
        <w:ind w:left="90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检查并记录设备是否存在告警蜂鸣声；</w:t>
      </w:r>
    </w:p>
    <w:p>
      <w:pPr>
        <w:pStyle w:val="11"/>
        <w:numPr>
          <w:ilvl w:val="0"/>
          <w:numId w:val="2"/>
        </w:numPr>
        <w:spacing w:line="360" w:lineRule="auto"/>
        <w:ind w:left="90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检查是否存在老旧线缆、电源线接触不稳等隐患；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巡检流程</w:t>
      </w:r>
    </w:p>
    <w:p>
      <w:pPr>
        <w:pStyle w:val="11"/>
        <w:numPr>
          <w:ilvl w:val="0"/>
          <w:numId w:val="3"/>
        </w:numPr>
        <w:spacing w:line="360" w:lineRule="auto"/>
        <w:ind w:left="90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指派工程师开始提供巡检服务；</w:t>
      </w:r>
    </w:p>
    <w:p>
      <w:pPr>
        <w:pStyle w:val="11"/>
        <w:numPr>
          <w:ilvl w:val="0"/>
          <w:numId w:val="3"/>
        </w:numPr>
        <w:spacing w:line="360" w:lineRule="auto"/>
        <w:ind w:left="90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工程师制定并输出巡检方案</w:t>
      </w:r>
    </w:p>
    <w:p>
      <w:pPr>
        <w:pStyle w:val="11"/>
        <w:numPr>
          <w:ilvl w:val="0"/>
          <w:numId w:val="3"/>
        </w:numPr>
        <w:spacing w:line="360" w:lineRule="auto"/>
        <w:ind w:left="90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约定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实施巡检，完成巡检后制作并输出巡检报告；</w:t>
      </w:r>
    </w:p>
    <w:p>
      <w:pPr>
        <w:pStyle w:val="11"/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sz w:val="24"/>
          <w:szCs w:val="24"/>
        </w:rPr>
        <w:t>系统升级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升级目的</w:t>
      </w:r>
      <w:r>
        <w:rPr>
          <w:rFonts w:hint="eastAsia" w:ascii="宋体" w:hAnsi="宋体" w:eastAsia="宋体" w:cs="宋体"/>
          <w:sz w:val="24"/>
          <w:szCs w:val="24"/>
        </w:rPr>
        <w:t>：修复旧版本存在的问题、修复漏洞或提供某些新功能等。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升级周期：</w:t>
      </w:r>
      <w:r>
        <w:rPr>
          <w:rFonts w:hint="eastAsia" w:ascii="宋体" w:hAnsi="宋体" w:eastAsia="宋体" w:cs="宋体"/>
          <w:sz w:val="24"/>
          <w:szCs w:val="24"/>
        </w:rPr>
        <w:t>没有约定时间，以官方发布版本时间为准，并且按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需要提供升级操作。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升级范围</w:t>
      </w:r>
      <w:r>
        <w:rPr>
          <w:rFonts w:hint="eastAsia" w:ascii="宋体" w:hAnsi="宋体" w:eastAsia="宋体" w:cs="宋体"/>
          <w:sz w:val="24"/>
          <w:szCs w:val="24"/>
        </w:rPr>
        <w:t>：无线网络系统、ClearPass等。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升级流程</w:t>
      </w:r>
    </w:p>
    <w:p>
      <w:pPr>
        <w:pStyle w:val="11"/>
        <w:numPr>
          <w:ilvl w:val="0"/>
          <w:numId w:val="4"/>
        </w:numPr>
        <w:spacing w:line="360" w:lineRule="auto"/>
        <w:ind w:left="90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针对官方发布的新版本，工程师联系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进行升级论证，评估是否实施升级；</w:t>
      </w:r>
    </w:p>
    <w:p>
      <w:pPr>
        <w:pStyle w:val="11"/>
        <w:numPr>
          <w:ilvl w:val="0"/>
          <w:numId w:val="4"/>
        </w:numPr>
        <w:spacing w:line="360" w:lineRule="auto"/>
        <w:ind w:left="90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如果需要实施升级，由工程师制作并输出升级方案和回退预案，首先经过内部评审；如果不通过内部评审，重新制作完善升级方案；</w:t>
      </w:r>
    </w:p>
    <w:p>
      <w:pPr>
        <w:pStyle w:val="11"/>
        <w:numPr>
          <w:ilvl w:val="0"/>
          <w:numId w:val="4"/>
        </w:numPr>
        <w:spacing w:line="360" w:lineRule="auto"/>
        <w:ind w:left="90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如果通过内部评审，则进行内部实验室验证，如果验证不通过，返回评审；</w:t>
      </w:r>
    </w:p>
    <w:p>
      <w:pPr>
        <w:pStyle w:val="11"/>
        <w:numPr>
          <w:ilvl w:val="0"/>
          <w:numId w:val="4"/>
        </w:numPr>
        <w:spacing w:line="360" w:lineRule="auto"/>
        <w:ind w:left="90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如果通过验证，和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约定升级时间后实施升级操作；观察升级是否正常；如果因各种因素导致升级不成功，执行回退操作，输出升级报告并进行汇报；</w:t>
      </w:r>
    </w:p>
    <w:p>
      <w:pPr>
        <w:pStyle w:val="11"/>
        <w:numPr>
          <w:ilvl w:val="0"/>
          <w:numId w:val="4"/>
        </w:numPr>
        <w:spacing w:line="360" w:lineRule="auto"/>
        <w:ind w:left="90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如果完成升级操作，进行后续的升级保证，输出升级报告，并向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汇报升级结果。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3系统调优和安全加固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调优周期</w:t>
      </w:r>
      <w:r>
        <w:rPr>
          <w:rFonts w:hint="eastAsia" w:ascii="宋体" w:hAnsi="宋体" w:eastAsia="宋体" w:cs="宋体"/>
          <w:sz w:val="24"/>
          <w:szCs w:val="24"/>
        </w:rPr>
        <w:t>：每半年一次。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调优范围</w:t>
      </w:r>
      <w:r>
        <w:rPr>
          <w:rFonts w:hint="eastAsia" w:ascii="宋体" w:hAnsi="宋体" w:eastAsia="宋体" w:cs="宋体"/>
          <w:sz w:val="24"/>
          <w:szCs w:val="24"/>
        </w:rPr>
        <w:t>：无线网络系统。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调优流程</w:t>
      </w:r>
    </w:p>
    <w:p>
      <w:pPr>
        <w:pStyle w:val="11"/>
        <w:numPr>
          <w:ilvl w:val="0"/>
          <w:numId w:val="5"/>
        </w:numPr>
        <w:spacing w:line="360" w:lineRule="auto"/>
        <w:ind w:left="90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根据更新的最佳实践指引和每半年两次巡检结果以及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报障等信息，工程师联系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进行调优论证，评估是否实施调优；</w:t>
      </w:r>
    </w:p>
    <w:p>
      <w:pPr>
        <w:pStyle w:val="11"/>
        <w:numPr>
          <w:ilvl w:val="0"/>
          <w:numId w:val="5"/>
        </w:numPr>
        <w:spacing w:line="360" w:lineRule="auto"/>
        <w:ind w:left="90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如果需要实施调优，由工程师制作并输出调优方案，首先经过内部评审；如果不通过内部评审，重新制作完善调优方案；</w:t>
      </w:r>
    </w:p>
    <w:p>
      <w:pPr>
        <w:pStyle w:val="11"/>
        <w:numPr>
          <w:ilvl w:val="0"/>
          <w:numId w:val="5"/>
        </w:numPr>
        <w:spacing w:line="360" w:lineRule="auto"/>
        <w:ind w:left="90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如果通过内部评审，则进行内部实验室验证，如果验证不通过，返回评审；</w:t>
      </w:r>
    </w:p>
    <w:p>
      <w:pPr>
        <w:pStyle w:val="11"/>
        <w:numPr>
          <w:ilvl w:val="0"/>
          <w:numId w:val="5"/>
        </w:numPr>
        <w:spacing w:line="360" w:lineRule="auto"/>
        <w:ind w:left="90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如果通过验证，和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约定调优时间后实施调优操作；观察调优是否正常；如果因各种因素导致调优不成功，执行回退操作，输出调优报告并进行汇报；</w:t>
      </w:r>
    </w:p>
    <w:p>
      <w:pPr>
        <w:pStyle w:val="11"/>
        <w:numPr>
          <w:ilvl w:val="0"/>
          <w:numId w:val="5"/>
        </w:numPr>
        <w:spacing w:line="360" w:lineRule="auto"/>
        <w:ind w:left="90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如果完成调优操作，进行后续的调优保证，输出调优报告，并向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汇报调优结果。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技术培训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需提供不少于每年两次的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培训，使维护工作人员能够完全熟悉并掌握软硬件管理和维护技能，具备及时排除一般故障的能力。具体培训方式、培训材料和培训内容，需提前与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确认。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bookmarkStart w:id="0" w:name="_Toc13117182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故障恢复服务</w:t>
      </w:r>
      <w:bookmarkEnd w:id="0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提供7x24的电话响应。按照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故障的紧急程度，划分3个故障级别，并规定相应的处理原则与响应时间要求：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级别一：是指灾难性的故障，将严重影响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的后端检测。立即响应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，并在2小时内提出解决计划解决或降级。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级别二：是指有比较严重影响的故障，即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的监测发生中断，但是还有能力保持一定的生产力，或保证基本的业务运行。1小时响应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，并在8小时内提出解决方案解决或降级。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级别三：是指一般的故障，对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业务没有明显影响。3小时响应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，并在10小时提出解决方案解决或回复。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维保服务故障分级表及响应时间说明。</w:t>
      </w:r>
    </w:p>
    <w:tbl>
      <w:tblPr>
        <w:tblStyle w:val="7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721"/>
        <w:gridCol w:w="2721"/>
        <w:gridCol w:w="2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2" w:type="dxa"/>
            <w:shd w:val="clear" w:color="auto" w:fill="D9D9D9"/>
            <w:vAlign w:val="center"/>
          </w:tcPr>
          <w:p>
            <w:pPr>
              <w:spacing w:before="156" w:beforeLines="50" w:after="156" w:afterLines="50"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D9D9D9"/>
            <w:vAlign w:val="center"/>
          </w:tcPr>
          <w:p>
            <w:pPr>
              <w:spacing w:before="156" w:beforeLines="50" w:after="156" w:afterLines="50"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级别一</w:t>
            </w:r>
          </w:p>
        </w:tc>
        <w:tc>
          <w:tcPr>
            <w:tcW w:w="2721" w:type="dxa"/>
            <w:shd w:val="clear" w:color="auto" w:fill="D9D9D9"/>
            <w:vAlign w:val="center"/>
          </w:tcPr>
          <w:p>
            <w:pPr>
              <w:spacing w:before="156" w:beforeLines="50" w:after="156" w:afterLines="50"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级别二</w:t>
            </w:r>
          </w:p>
        </w:tc>
        <w:tc>
          <w:tcPr>
            <w:tcW w:w="2721" w:type="dxa"/>
            <w:shd w:val="clear" w:color="auto" w:fill="D9D9D9"/>
            <w:vAlign w:val="center"/>
          </w:tcPr>
          <w:p>
            <w:pPr>
              <w:spacing w:before="156" w:beforeLines="50" w:after="156" w:afterLines="50"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级别三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before="156" w:beforeLines="50" w:after="156" w:afterLines="50"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描述</w:t>
            </w:r>
          </w:p>
        </w:tc>
        <w:tc>
          <w:tcPr>
            <w:tcW w:w="2721" w:type="dxa"/>
          </w:tcPr>
          <w:p>
            <w:pPr>
              <w:spacing w:before="156" w:beforeLines="50" w:after="156" w:afterLines="50"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single"/>
              </w:rPr>
              <w:t>灾难性的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故障，系统崩溃、系统入侵、设备宕机，掉电，不再继续工作，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完全无法使用</w:t>
            </w:r>
          </w:p>
        </w:tc>
        <w:tc>
          <w:tcPr>
            <w:tcW w:w="2721" w:type="dxa"/>
          </w:tcPr>
          <w:p>
            <w:pPr>
              <w:spacing w:before="156" w:beforeLines="50" w:after="156" w:afterLines="50"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是指有比较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single"/>
              </w:rPr>
              <w:t>严重影响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的故障，设备性能方面出现问题，但后端设备还可继续工作，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使用不稳定或者体验不佳</w:t>
            </w:r>
          </w:p>
        </w:tc>
        <w:tc>
          <w:tcPr>
            <w:tcW w:w="2721" w:type="dxa"/>
          </w:tcPr>
          <w:p>
            <w:pPr>
              <w:spacing w:before="156" w:beforeLines="50" w:after="156" w:afterLines="50"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single"/>
              </w:rPr>
              <w:t>一般的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故障或疑问，对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业务没有明显影响。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before="156" w:beforeLines="50" w:after="156" w:afterLines="50"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响应时间</w:t>
            </w:r>
          </w:p>
        </w:tc>
        <w:tc>
          <w:tcPr>
            <w:tcW w:w="2721" w:type="dxa"/>
          </w:tcPr>
          <w:p>
            <w:pPr>
              <w:spacing w:before="156" w:beforeLines="50" w:after="156" w:afterLines="50"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立即响应，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提出初步行动计划；</w:t>
            </w:r>
          </w:p>
          <w:p>
            <w:pPr>
              <w:spacing w:before="156" w:beforeLines="50" w:after="156" w:afterLines="50"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2小时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内提出解决计划，或降级。</w:t>
            </w:r>
          </w:p>
          <w:p>
            <w:pPr>
              <w:spacing w:before="156" w:beforeLines="50" w:after="156" w:afterLines="50"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</w:tcPr>
          <w:p>
            <w:pPr>
              <w:spacing w:before="156" w:beforeLines="50" w:after="156" w:afterLines="50"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1小时响应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，提出初步行动计划；</w:t>
            </w:r>
          </w:p>
          <w:p>
            <w:pPr>
              <w:spacing w:before="156" w:beforeLines="50" w:after="156" w:afterLines="50"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8小时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内提出解决方案或降级。</w:t>
            </w:r>
          </w:p>
        </w:tc>
        <w:tc>
          <w:tcPr>
            <w:tcW w:w="2721" w:type="dxa"/>
          </w:tcPr>
          <w:p>
            <w:pPr>
              <w:spacing w:before="156" w:beforeLines="50" w:after="156" w:afterLines="50"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3小时响应，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提出初步行动计划；</w:t>
            </w:r>
          </w:p>
          <w:p>
            <w:pPr>
              <w:spacing w:before="156" w:beforeLines="50" w:after="156" w:afterLines="50"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10小时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解决或回复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2" w:type="dxa"/>
          </w:tcPr>
          <w:p>
            <w:pPr>
              <w:spacing w:before="156" w:beforeLines="50" w:after="156" w:afterLines="50"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8164" w:type="dxa"/>
            <w:gridSpan w:val="3"/>
          </w:tcPr>
          <w:p>
            <w:pPr>
              <w:spacing w:before="156" w:beforeLines="50" w:after="156" w:afterLines="50"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上述响应时间不包含硬件替换时间。出现故障并不能在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要求的时间内修复的，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用备用部件更换故障件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针对故障恢复，需提供现场响应服务和远程响应服务等相关工作选项。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现场响应</w:t>
      </w:r>
      <w:bookmarkStart w:id="4" w:name="_GoBack"/>
      <w:bookmarkEnd w:id="4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故障处理服务请求后，如果不能通过远程支持服务解决故障，要求服务工程师进行故障现场响应处理，完成排除故障。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6.1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现场响应流程</w:t>
      </w:r>
    </w:p>
    <w:p>
      <w:pPr>
        <w:pStyle w:val="11"/>
        <w:numPr>
          <w:ilvl w:val="0"/>
          <w:numId w:val="6"/>
        </w:numPr>
        <w:spacing w:line="360" w:lineRule="auto"/>
        <w:ind w:left="90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接到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的故障处理服务请求后，工程师远程响应</w:t>
      </w:r>
    </w:p>
    <w:p>
      <w:pPr>
        <w:pStyle w:val="11"/>
        <w:numPr>
          <w:ilvl w:val="0"/>
          <w:numId w:val="6"/>
        </w:numPr>
        <w:spacing w:line="360" w:lineRule="auto"/>
        <w:ind w:left="900" w:leftChars="0" w:hanging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如果需要现场响应，安排现场工程师响应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远程响应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提供远程支持服务，保证通过以下方式（电话、微信、远程桌面等）及时响应和处理故障。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故障案例分析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针对典型的故障，在完成故障恢复处理后，整理制作并输出根因分析报告，并提出改进建议。对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进行汇报。报告存档于知识库内，便于学习、故障对比和同类型故障快速恢复等。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备件替换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当设备出现故障无法恢复时，在规定的时间内提供备件，并且按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要求安排第一时间替换坏件，以保障系统恢复稳定运行。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bookmarkStart w:id="1" w:name="_Toc13117182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日常咨询服务</w:t>
      </w:r>
      <w:bookmarkEnd w:id="1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在使用无线网络系统过程中产生的非故障类问题，提供电话、微信等方式的咨询服务。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bookmarkStart w:id="2" w:name="_Toc13117182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服务处理流程说明</w:t>
      </w:r>
      <w:bookmarkEnd w:id="2"/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A、建立CASE流程说明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服务专员通过电话、传真、E_Mail等方式接受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的服务请求。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在设备保修期内，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服务专员根据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的描述确定服务等级，发出《服务处理报告》，通知工程师。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注：非正常工作时间，有专门的服务热线手机。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服务专员通知值班工程师电话响应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，值班工程师于次日通知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服务专员开CASE，正常运作。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B、任务分配流程说明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服务专员在确认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的服务描述后，确定服务等级。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开《服务处理报告》单，请技术经理分配执行工程师响应，E_Mail《服务处理报告》单给执行工程师，并电话确认执行工程师已接受到报告单。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对于一级服务（重大紧急服务），直接分配给资深工程师。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当执行工程师不能在规定的时间内响应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，或在规定的时间内不能提供解决方案，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服务专员则通知技术经理改派资深工程师。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C、任务执行流程说明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执行工程师接受CASE任务后，需在CASE开始的一小时内电话响应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如果执行工程师不能在规定时间内电话响应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，则必须另指派一名执行工程师接受CASE任务。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执行工程师电话响应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，核实服务，了解相应信息，提供解决方案。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如果执行工程师不能提供解决方案，则在规定的时间内升级上报，改派升级工程师提供解决方案。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D、跟踪任务执行情况流程说明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共有四个主要跟踪点：响应时间、确诊时间、内部升级上报时间、升级到Support的跟踪。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服务专员在将《服务处理报告》单分配给执行工程师后，该执行工程师要发EMail或电话通知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服务专员已接受任务。如果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服务专员没有收到执行工程师的回复，则每隔15分钟向该工程师发出催请电话响应的跟踪电话，在CASE开始的第三个15分钟（即45分钟），通知技术经理改派工程师。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根据服务等级时限，当执行工程师不能解决问题时，催请工程师升级上报。并通知相关的上级（如技术经理）。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升级工程师采用《服务处理报告（升级）》单。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升级到Support的CASE，由原CASE升级执行工程师负责追踪进展情况，并将进展情况通知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服务专员。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执行工程师提交解决方案时，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服务专员监督相关记录文档的回收。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对于在规定的时间内没有Close的CASE，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服务专员要追踪其原因，并且任务执行人要提供合理的原因及下一步计划。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E、关闭CASE流程说明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执行工程师提供解决方案后，同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确认服务处理结果，然后向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服务部提交技术服务记录：《现场维护报告》、《CASE服务处理报告》等。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服务专员通知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关闭CASE。向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了解对工程师的评价。全部关闭CASE。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bookmarkStart w:id="3" w:name="_Toc13117182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知识库</w:t>
      </w:r>
      <w:bookmarkEnd w:id="3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在技术上严格控制知识文档的质量，在此基础上形成清晰、高效、便于使用的知识库。知识库发挥的作用主要体现在三方面：</w:t>
      </w:r>
    </w:p>
    <w:p>
      <w:pPr>
        <w:pStyle w:val="11"/>
        <w:numPr>
          <w:ilvl w:val="0"/>
          <w:numId w:val="7"/>
        </w:numPr>
        <w:spacing w:line="360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知识更新。使得知识库系统中的知识是最新的内容；</w:t>
      </w:r>
    </w:p>
    <w:p>
      <w:pPr>
        <w:pStyle w:val="11"/>
        <w:numPr>
          <w:ilvl w:val="0"/>
          <w:numId w:val="7"/>
        </w:numPr>
        <w:spacing w:line="360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知识一致。为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建立良好的沟通界面，确保解决方案的一致性；</w:t>
      </w:r>
    </w:p>
    <w:p>
      <w:pPr>
        <w:pStyle w:val="11"/>
        <w:numPr>
          <w:ilvl w:val="0"/>
          <w:numId w:val="7"/>
        </w:numPr>
        <w:spacing w:line="360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知识补遗。为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提供解决方案的帮助。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kern w:val="44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8D841A"/>
    <w:multiLevelType w:val="singleLevel"/>
    <w:tmpl w:val="E18D841A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0329A953"/>
    <w:multiLevelType w:val="singleLevel"/>
    <w:tmpl w:val="0329A95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135FAACF"/>
    <w:multiLevelType w:val="singleLevel"/>
    <w:tmpl w:val="135FAAC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2CF7BF10"/>
    <w:multiLevelType w:val="singleLevel"/>
    <w:tmpl w:val="2CF7BF1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3DA79A8C"/>
    <w:multiLevelType w:val="singleLevel"/>
    <w:tmpl w:val="3DA79A8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43A67554"/>
    <w:multiLevelType w:val="singleLevel"/>
    <w:tmpl w:val="43A6755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5D513DED"/>
    <w:multiLevelType w:val="multilevel"/>
    <w:tmpl w:val="5D513DED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YjAwMTczZWIzZWE5Yjc0NTI1OTQ5M2RiNzI0ODMifQ=="/>
  </w:docVars>
  <w:rsids>
    <w:rsidRoot w:val="00000000"/>
    <w:rsid w:val="04023501"/>
    <w:rsid w:val="690B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1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2024-04-03T09:06:00Z</dcterms:created>
  <dc:creator>Administrator</dc:creator>
  <cp:lastModifiedBy>hxl</cp:lastModifiedBy>
  <dcterms:modified xsi:type="dcterms:W3CDTF">2024-04-07T00:50:23Z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3D52AA06E4AF4DAB814E3E10010DC762_12</vt:lpwstr>
  </property>
</Properties>
</file>