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rFonts w:ascii="Times New Roman" w:hAnsi="Times New Roman" w:eastAsia="宋体" w:cs="Times New Roman"/>
          <w:b/>
          <w:bCs/>
          <w:sz w:val="28"/>
          <w:szCs w:val="32"/>
        </w:rPr>
      </w:pPr>
      <w:r>
        <w:rPr>
          <w:rFonts w:hint="eastAsia" w:ascii="Times New Roman" w:hAnsi="Times New Roman" w:eastAsia="宋体" w:cs="Times New Roman"/>
          <w:b/>
          <w:bCs/>
          <w:sz w:val="28"/>
          <w:szCs w:val="32"/>
          <w:lang w:val="en-US" w:eastAsia="zh-CN"/>
        </w:rPr>
        <w:t xml:space="preserve"> 医技系统服务器存储扩容及安全保护设备技术参数</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b/>
          <w:bCs/>
          <w:sz w:val="21"/>
          <w:szCs w:val="21"/>
          <w:lang w:eastAsia="zh-CN"/>
        </w:rPr>
      </w:pPr>
      <w:r>
        <w:rPr>
          <w:rFonts w:hint="eastAsia" w:ascii="宋体" w:hAnsi="宋体" w:eastAsia="宋体" w:cs="Times New Roman"/>
          <w:b/>
          <w:bCs/>
          <w:sz w:val="21"/>
          <w:szCs w:val="21"/>
          <w:lang w:eastAsia="zh-CN"/>
        </w:rPr>
        <w:t>技术参数（</w:t>
      </w:r>
      <w:r>
        <w:rPr>
          <w:rFonts w:hint="eastAsia" w:ascii="宋体" w:hAnsi="宋体" w:eastAsia="宋体" w:cs="Times New Roman"/>
          <w:b/>
          <w:bCs/>
          <w:sz w:val="21"/>
          <w:szCs w:val="21"/>
        </w:rPr>
        <w:t>▲</w:t>
      </w:r>
      <w:r>
        <w:rPr>
          <w:rFonts w:hint="eastAsia" w:ascii="宋体" w:hAnsi="宋体" w:eastAsia="宋体" w:cs="Times New Roman"/>
          <w:b/>
          <w:bCs/>
          <w:sz w:val="21"/>
          <w:szCs w:val="21"/>
          <w:lang w:eastAsia="zh-CN"/>
        </w:rPr>
        <w:t>代表重要功能参数）</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ascii="宋体" w:hAnsi="宋体" w:eastAsia="宋体" w:cs="Times New Roman"/>
          <w:sz w:val="21"/>
          <w:szCs w:val="21"/>
        </w:rPr>
      </w:pPr>
      <w:r>
        <w:rPr>
          <w:rFonts w:ascii="宋体" w:hAnsi="宋体" w:eastAsia="宋体" w:cs="Times New Roman"/>
          <w:sz w:val="21"/>
          <w:szCs w:val="21"/>
        </w:rPr>
        <w:t>1.</w:t>
      </w:r>
      <w:r>
        <w:rPr>
          <w:rFonts w:hint="eastAsia" w:ascii="宋体" w:hAnsi="宋体" w:eastAsia="宋体" w:cs="Times New Roman"/>
          <w:sz w:val="21"/>
          <w:szCs w:val="21"/>
        </w:rPr>
        <w:t>管理交换机</w:t>
      </w:r>
      <w:r>
        <w:rPr>
          <w:rFonts w:ascii="宋体" w:hAnsi="宋体" w:eastAsia="宋体" w:cs="Times New Roman"/>
          <w:sz w:val="21"/>
          <w:szCs w:val="21"/>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1.1</w:t>
      </w:r>
      <w:r>
        <w:rPr>
          <w:rFonts w:hint="eastAsia" w:ascii="宋体" w:hAnsi="宋体" w:eastAsia="宋体" w:cs="Times New Roman"/>
          <w:sz w:val="21"/>
          <w:szCs w:val="21"/>
        </w:rPr>
        <w:t>配置48个10/100/1000Base-T以太网端口，4个万兆SFP；</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lang w:val="en-US" w:eastAsia="zh-CN"/>
        </w:rPr>
        <w:t>1.2</w:t>
      </w:r>
      <w:r>
        <w:rPr>
          <w:rFonts w:hint="eastAsia" w:ascii="宋体" w:hAnsi="宋体" w:eastAsia="宋体" w:cs="Times New Roman"/>
          <w:sz w:val="21"/>
          <w:szCs w:val="21"/>
        </w:rPr>
        <w:t>交换容量：336Gbps， 包转发率：51Mpps</w:t>
      </w:r>
      <w:r>
        <w:rPr>
          <w:rFonts w:hint="eastAsia" w:ascii="宋体" w:hAnsi="宋体" w:eastAsia="宋体" w:cs="Times New Roman"/>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2.</w:t>
      </w:r>
      <w:r>
        <w:rPr>
          <w:rFonts w:hint="eastAsia" w:ascii="宋体" w:hAnsi="宋体" w:eastAsia="宋体" w:cs="Times New Roman"/>
          <w:sz w:val="21"/>
          <w:szCs w:val="21"/>
        </w:rPr>
        <w:t>万兆多模模块</w:t>
      </w:r>
      <w:r>
        <w:rPr>
          <w:rFonts w:hint="eastAsia" w:ascii="宋体" w:hAnsi="宋体" w:eastAsia="宋体" w:cs="Times New Roman"/>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lang w:val="en-US" w:eastAsia="zh-CN"/>
        </w:rPr>
        <w:t>2.1</w:t>
      </w:r>
      <w:r>
        <w:rPr>
          <w:rFonts w:hint="eastAsia" w:ascii="宋体" w:hAnsi="宋体" w:eastAsia="宋体" w:cs="Times New Roman"/>
          <w:sz w:val="21"/>
          <w:szCs w:val="21"/>
        </w:rPr>
        <w:t>光模块-SFP+-10G-多模模块(850nm,0.3km,LC)</w:t>
      </w:r>
      <w:r>
        <w:rPr>
          <w:rFonts w:hint="eastAsia" w:ascii="宋体" w:hAnsi="宋体" w:eastAsia="宋体" w:cs="Times New Roman"/>
          <w:sz w:val="21"/>
          <w:szCs w:val="21"/>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rPr>
        <w:t>虚拟机版CDP容灾软件</w:t>
      </w:r>
      <w:r>
        <w:rPr>
          <w:rFonts w:hint="eastAsia" w:ascii="宋体" w:hAnsi="宋体" w:eastAsia="宋体" w:cs="Times New Roman"/>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3.1</w:t>
      </w:r>
      <w:r>
        <w:rPr>
          <w:rFonts w:hint="eastAsia" w:ascii="宋体" w:hAnsi="宋体" w:eastAsia="宋体" w:cs="Times New Roman"/>
          <w:sz w:val="21"/>
          <w:szCs w:val="21"/>
        </w:rPr>
        <w:t>提供虚拟机VM的后悔药解决方案；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3.2</w:t>
      </w:r>
      <w:r>
        <w:rPr>
          <w:rFonts w:hint="eastAsia" w:ascii="宋体" w:hAnsi="宋体" w:eastAsia="宋体" w:cs="Times New Roman"/>
          <w:sz w:val="21"/>
          <w:szCs w:val="21"/>
        </w:rPr>
        <w:t>基于</w:t>
      </w:r>
      <w:r>
        <w:rPr>
          <w:rFonts w:hint="eastAsia" w:ascii="宋体" w:hAnsi="宋体" w:eastAsia="宋体" w:cs="Times New Roman"/>
          <w:sz w:val="21"/>
          <w:szCs w:val="21"/>
          <w:lang w:val="en-US" w:eastAsia="zh-CN"/>
        </w:rPr>
        <w:t>虚拟机</w:t>
      </w:r>
      <w:r>
        <w:rPr>
          <w:rFonts w:hint="eastAsia" w:ascii="宋体" w:hAnsi="宋体" w:eastAsia="宋体" w:cs="Times New Roman"/>
          <w:sz w:val="21"/>
          <w:szCs w:val="21"/>
        </w:rPr>
        <w:t>的任意虚拟机的CDP回滚功能，像录像机一样实时录制一份生产虚拟机存放在容灾服务器或者存储空间上；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3.3</w:t>
      </w:r>
      <w:r>
        <w:rPr>
          <w:rFonts w:hint="eastAsia" w:ascii="宋体" w:hAnsi="宋体" w:eastAsia="宋体" w:cs="Times New Roman"/>
          <w:sz w:val="21"/>
          <w:szCs w:val="21"/>
        </w:rPr>
        <w:t>保护对象为任意的虚拟机VM；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3.4</w:t>
      </w:r>
      <w:r>
        <w:rPr>
          <w:rFonts w:hint="eastAsia" w:ascii="宋体" w:hAnsi="宋体" w:eastAsia="宋体" w:cs="Times New Roman"/>
          <w:sz w:val="21"/>
          <w:szCs w:val="21"/>
        </w:rPr>
        <w:t>对于非结构化图片建议用数据分级的方式，一级放在虚拟机内；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3.5</w:t>
      </w:r>
      <w:r>
        <w:rPr>
          <w:rFonts w:hint="eastAsia" w:ascii="宋体" w:hAnsi="宋体" w:eastAsia="宋体" w:cs="Times New Roman"/>
          <w:sz w:val="21"/>
          <w:szCs w:val="21"/>
        </w:rPr>
        <w:t>二级放在NAS内，而不是全部放到虚拟机内；</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3.6</w:t>
      </w:r>
      <w:r>
        <w:rPr>
          <w:rFonts w:hint="eastAsia" w:ascii="宋体" w:hAnsi="宋体" w:eastAsia="宋体" w:cs="Times New Roman"/>
          <w:sz w:val="21"/>
          <w:szCs w:val="21"/>
        </w:rPr>
        <w:t>可以回滚到发生故障前的任一秒或者任一IO；</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3.7</w:t>
      </w:r>
      <w:r>
        <w:rPr>
          <w:rFonts w:hint="eastAsia" w:ascii="宋体" w:hAnsi="宋体" w:eastAsia="宋体" w:cs="Times New Roman"/>
          <w:sz w:val="21"/>
          <w:szCs w:val="21"/>
        </w:rPr>
        <w:t>主要用于解决逻辑故障比如中了勒索病毒、虚拟机崩溃、数据库崩溃等；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3.8</w:t>
      </w:r>
      <w:r>
        <w:rPr>
          <w:rFonts w:hint="eastAsia" w:ascii="宋体" w:hAnsi="宋体" w:eastAsia="宋体" w:cs="Times New Roman"/>
          <w:sz w:val="21"/>
          <w:szCs w:val="21"/>
        </w:rPr>
        <w:t>本次提供10个虚拟机保护授权；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3.9</w:t>
      </w:r>
      <w:r>
        <w:rPr>
          <w:rFonts w:hint="eastAsia" w:ascii="宋体" w:hAnsi="宋体" w:eastAsia="宋体" w:cs="Times New Roman"/>
          <w:sz w:val="21"/>
          <w:szCs w:val="21"/>
        </w:rPr>
        <w:t>灾难发生时，应用由容灾端快速拉起，3TB的虚拟机可以控制在20分钟内恢复业务；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3.10</w:t>
      </w:r>
      <w:r>
        <w:rPr>
          <w:rFonts w:hint="eastAsia" w:ascii="宋体" w:hAnsi="宋体" w:eastAsia="宋体" w:cs="Times New Roman"/>
          <w:sz w:val="21"/>
          <w:szCs w:val="21"/>
        </w:rPr>
        <w:t>提供1年技术支持服务；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3.11</w:t>
      </w:r>
      <w:r>
        <w:rPr>
          <w:rFonts w:hint="eastAsia" w:ascii="宋体" w:hAnsi="宋体" w:eastAsia="宋体" w:cs="Times New Roman"/>
          <w:sz w:val="21"/>
          <w:szCs w:val="21"/>
        </w:rPr>
        <w:t>技术服务：软件版CDP容灾实施服务，核心应用的容灾业务测试、应用验证服务，降低和减少勒索病毒对系统的破坏；</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rPr>
        <w:t>虚拟化服务器计算节点</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 xml:space="preserve">4.1 </w:t>
      </w:r>
      <w:r>
        <w:rPr>
          <w:rFonts w:hint="eastAsia" w:ascii="宋体" w:hAnsi="宋体" w:eastAsia="宋体" w:cs="Times New Roman"/>
          <w:sz w:val="21"/>
          <w:szCs w:val="21"/>
        </w:rPr>
        <w:t>2U机架式服务器</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 xml:space="preserve">4.2 </w:t>
      </w:r>
      <w:r>
        <w:rPr>
          <w:rFonts w:hint="eastAsia" w:ascii="宋体" w:hAnsi="宋体" w:eastAsia="宋体" w:cs="Times New Roman"/>
          <w:sz w:val="21"/>
          <w:szCs w:val="21"/>
        </w:rPr>
        <w:t xml:space="preserve">CPU:  英特尔® 至强® 金牌  5420 2GHz, 28C/56T, 16GT/s, 53M 缓存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4.3</w:t>
      </w:r>
      <w:r>
        <w:rPr>
          <w:rFonts w:hint="eastAsia" w:ascii="宋体" w:hAnsi="宋体" w:eastAsia="宋体" w:cs="Times New Roman"/>
          <w:sz w:val="21"/>
          <w:szCs w:val="21"/>
        </w:rPr>
        <w:t>机箱：2.5寸机箱可配8个硬盘</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4.4</w:t>
      </w:r>
      <w:r>
        <w:rPr>
          <w:rFonts w:hint="eastAsia" w:ascii="宋体" w:hAnsi="宋体" w:eastAsia="宋体" w:cs="Times New Roman"/>
          <w:sz w:val="21"/>
          <w:szCs w:val="21"/>
        </w:rPr>
        <w:t>内存：32*64GB（2TB）</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4.5</w:t>
      </w:r>
      <w:r>
        <w:rPr>
          <w:rFonts w:hint="eastAsia" w:ascii="宋体" w:hAnsi="宋体" w:eastAsia="宋体" w:cs="Times New Roman"/>
          <w:sz w:val="21"/>
          <w:szCs w:val="21"/>
        </w:rPr>
        <w:t>硬盘：3*960GB Nvme 闪存盘</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4.6</w:t>
      </w:r>
      <w:r>
        <w:rPr>
          <w:rFonts w:hint="eastAsia" w:ascii="宋体" w:hAnsi="宋体" w:eastAsia="宋体" w:cs="Times New Roman"/>
          <w:sz w:val="21"/>
          <w:szCs w:val="21"/>
        </w:rPr>
        <w:t>网卡：2*4口万兆光含光模块，1口千兆电</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 xml:space="preserve">4.7 </w:t>
      </w:r>
      <w:r>
        <w:rPr>
          <w:rFonts w:hint="eastAsia" w:ascii="宋体" w:hAnsi="宋体" w:eastAsia="宋体" w:cs="Times New Roman"/>
          <w:sz w:val="21"/>
          <w:szCs w:val="21"/>
        </w:rPr>
        <w:t xml:space="preserve">HBA : 2*2口16Gb光纤HBA卡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4.8</w:t>
      </w:r>
      <w:r>
        <w:rPr>
          <w:rFonts w:hint="eastAsia" w:ascii="宋体" w:hAnsi="宋体" w:eastAsia="宋体" w:cs="Times New Roman"/>
          <w:sz w:val="21"/>
          <w:szCs w:val="21"/>
        </w:rPr>
        <w:t>导轨：滑动导轨</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4.9</w:t>
      </w:r>
      <w:r>
        <w:rPr>
          <w:rFonts w:hint="eastAsia" w:ascii="宋体" w:hAnsi="宋体" w:eastAsia="宋体" w:cs="Times New Roman"/>
          <w:sz w:val="21"/>
          <w:szCs w:val="21"/>
        </w:rPr>
        <w:t>电源：满配电源</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4.10</w:t>
      </w:r>
      <w:r>
        <w:rPr>
          <w:rFonts w:hint="eastAsia" w:ascii="宋体" w:hAnsi="宋体" w:eastAsia="宋体" w:cs="Times New Roman"/>
          <w:sz w:val="21"/>
          <w:szCs w:val="21"/>
        </w:rPr>
        <w:t>服务：提供5年原厂7x24免费维保服务</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both"/>
        <w:textAlignment w:val="auto"/>
        <w:rPr>
          <w:rFonts w:ascii="宋体" w:hAnsi="宋体" w:eastAsia="宋体" w:cs="Times New Roman"/>
          <w:sz w:val="21"/>
          <w:szCs w:val="21"/>
        </w:rPr>
      </w:pPr>
      <w:r>
        <w:rPr>
          <w:rFonts w:hint="eastAsia" w:ascii="宋体" w:hAnsi="宋体" w:eastAsia="宋体" w:cs="Times New Roman"/>
          <w:sz w:val="21"/>
          <w:szCs w:val="21"/>
        </w:rPr>
        <w:t>集群NAS磁盘阵列</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1存储：非开源软件如（Ceph、Lustre等）+PC服务器搭建而成的存储。</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2全冗余架构，采用分布式全对称集群模式。</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3节点数量可以在线动态扩展，容量与性能随着扩展同步增加；支持节点扩展数252个。</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4配置1个节点，控制器引擎采用X86架构处理器，主频2.2GHz；单节点缓存96GB，集群存储节点全局缓存384GB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5配置2个40GbE网络接口用于集群内部互联。</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6配置万兆SFP+网络接口2个（含多模SFP模块）。</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7存储系统提供单一文件系统，单一卷，最大可扩展到75PB。</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8存储系统支持多副本及跨节点RAID技术，全局数据灵活多级别冗余设置数据保护，最大可达N+4保护级别或8倍副本镜像保护。</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9允许在线更改文件目录保护机制，不影响应用使用。</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10存储配置</w:t>
      </w:r>
      <w:r>
        <w:rPr>
          <w:rFonts w:hint="eastAsia" w:ascii="宋体" w:hAnsi="宋体" w:eastAsia="宋体" w:cs="Times New Roman"/>
          <w:sz w:val="21"/>
          <w:szCs w:val="21"/>
          <w:lang w:val="en-US" w:eastAsia="zh-CN"/>
        </w:rPr>
        <w:t>虚拟机</w:t>
      </w:r>
      <w:r>
        <w:rPr>
          <w:rFonts w:hint="eastAsia" w:ascii="宋体" w:hAnsi="宋体" w:eastAsia="宋体" w:cs="Times New Roman"/>
          <w:sz w:val="21"/>
          <w:szCs w:val="21"/>
        </w:rPr>
        <w:t>系统集成功能，支持</w:t>
      </w:r>
      <w:r>
        <w:rPr>
          <w:rFonts w:hint="eastAsia" w:ascii="宋体" w:hAnsi="宋体" w:eastAsia="宋体" w:cs="Times New Roman"/>
          <w:sz w:val="21"/>
          <w:szCs w:val="21"/>
          <w:lang w:val="en-US" w:eastAsia="zh-CN"/>
        </w:rPr>
        <w:t>虚拟机</w:t>
      </w:r>
      <w:r>
        <w:rPr>
          <w:rFonts w:hint="eastAsia" w:ascii="宋体" w:hAnsi="宋体" w:eastAsia="宋体" w:cs="Times New Roman"/>
          <w:sz w:val="21"/>
          <w:szCs w:val="21"/>
        </w:rPr>
        <w:t xml:space="preserve"> API，包括VAAI VASA等集成。</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11整个NAS范围内支持文件级别数据重删功能。</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12可扩展至公有云；支持将公有云（Azure，AWS，阿里云等）作为存储系统的一个存储层来使用。</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13支持基于角色的访问控制（RBAC），细粒度设置权限和角色。</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14支持并配置NFS、SMB、FTP、HTTP，HDFS，ICAP和SWIFT访问协议，可通过以上任意协议同时访问一份数据，无需在客户端主机增加任何软件或驱动程序。</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15支持与应用系统Hadoop模块集成，Hadoop应用需通过原生HDFS方式（非NFS方式）读写存储，实现数据存储服务，支持Apache、Cloudera、Hortonworks等Hadoop发行版；且Hadoop计算节点无需额外安装插件将HDFS请求转换为NFS请求；支持HDFS透明数据加密功能（Transparent Data Encryption）。</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16支持2路和3路NDMP备份功能。</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17支持文件扩展名过滤功能以提高存储数据安全性，如禁止exe文件写入NAS。</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18不同代产品相互兼容，可以扩容在同一个集群形成单一文件系统。</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19支持Kubernetes CSI容器存储持久化接口，可以通过CSI接口实现快照、动态PV管理、配额管理等。</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20支持磁盘数据安全擦除功能，防止磁盘数据泄密。</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21配置实现客户端连接负载均衡，以及跨存储节点的客户端连接动态 NFS 故障切换与故障恢复，以便优化群集资源的使用。</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22配置在群集、目录、子目录、用户和组级别分配和管理配额，配额可以对存储进行无缝分区和精简资源调配。</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23配置在整个 NAS范围内支持文件级别数据重删功能，通过扫描磁盘数据中的相同块并消除重复项来减少物理存储量，从而充分提高了群集的存储效率。</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24本次单节点配置：96GB缓存，15*20TB硬盘+1*7.68TB SSD硬盘，配置2个40Gb IB后端端口和2个25Gb前端主机光口；</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25配置的软件有：SmartConnect，InsightIQ 、SmartQuotas(配额)、smartpool(自动分层)、cloudpool(归档)、DataIQ  软件；</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ascii="宋体" w:hAnsi="宋体" w:eastAsia="宋体" w:cs="Times New Roman"/>
          <w:sz w:val="21"/>
          <w:szCs w:val="21"/>
        </w:rPr>
      </w:pP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26提供5年原厂7*24质保服务。</w:t>
      </w:r>
      <w:r>
        <w:rPr>
          <w:rFonts w:ascii="宋体" w:hAnsi="宋体" w:eastAsia="宋体" w:cs="Times New Roman"/>
          <w:sz w:val="21"/>
          <w:szCs w:val="21"/>
        </w:rPr>
        <w:t>9.具备图形化显示阻力、顺应性和自主呼吸等生理参数变化。</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both"/>
        <w:textAlignment w:val="auto"/>
        <w:rPr>
          <w:rFonts w:ascii="宋体" w:hAnsi="宋体" w:eastAsia="宋体" w:cs="Times New Roman"/>
          <w:sz w:val="21"/>
          <w:szCs w:val="21"/>
        </w:rPr>
      </w:pPr>
      <w:r>
        <w:rPr>
          <w:rFonts w:hint="eastAsia" w:ascii="宋体" w:hAnsi="宋体" w:eastAsia="宋体" w:cs="Times New Roman"/>
          <w:sz w:val="21"/>
          <w:szCs w:val="21"/>
        </w:rPr>
        <w:t>汇聚交换机</w:t>
      </w:r>
      <w:r>
        <w:rPr>
          <w:rFonts w:hint="eastAsia" w:ascii="宋体" w:hAnsi="宋体" w:eastAsia="宋体" w:cs="Times New Roman"/>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6.1</w:t>
      </w:r>
      <w:r>
        <w:rPr>
          <w:rFonts w:hint="eastAsia" w:ascii="宋体" w:hAnsi="宋体" w:eastAsia="宋体" w:cs="Times New Roman"/>
          <w:sz w:val="21"/>
          <w:szCs w:val="21"/>
        </w:rPr>
        <w:t>配置≥48端口SFP+万兆光口,≥2 个40G QSFP PLUS口；</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6.</w:t>
      </w:r>
      <w:r>
        <w:rPr>
          <w:rFonts w:hint="eastAsia" w:ascii="宋体" w:hAnsi="宋体" w:eastAsia="宋体" w:cs="Times New Roman"/>
          <w:sz w:val="21"/>
          <w:szCs w:val="21"/>
        </w:rPr>
        <w:t>2配置2个模块化风扇和2个模块化交流电源；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6.</w:t>
      </w:r>
      <w:r>
        <w:rPr>
          <w:rFonts w:hint="eastAsia" w:ascii="宋体" w:hAnsi="宋体" w:eastAsia="宋体" w:cs="Times New Roman"/>
          <w:sz w:val="21"/>
          <w:szCs w:val="21"/>
        </w:rPr>
        <w:t>3满足上述端口需求后，剩余业务板卡扩展插槽≥2个；</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6.</w:t>
      </w:r>
      <w:r>
        <w:rPr>
          <w:rFonts w:hint="eastAsia" w:ascii="宋体" w:hAnsi="宋体" w:eastAsia="宋体" w:cs="Times New Roman"/>
          <w:sz w:val="21"/>
          <w:szCs w:val="21"/>
        </w:rPr>
        <w:t>4配置48个万兆多模光模块，配置1根3m 40G堆叠电缆；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6.</w:t>
      </w:r>
      <w:r>
        <w:rPr>
          <w:rFonts w:hint="eastAsia" w:ascii="宋体" w:hAnsi="宋体" w:eastAsia="宋体" w:cs="Times New Roman"/>
          <w:sz w:val="21"/>
          <w:szCs w:val="21"/>
        </w:rPr>
        <w:t>5原厂5年维保；</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rPr>
        <w:t>PCAS全闪存存储</w:t>
      </w:r>
      <w:r>
        <w:rPr>
          <w:rFonts w:hint="eastAsia" w:ascii="宋体" w:hAnsi="宋体" w:eastAsia="宋体" w:cs="Times New Roman"/>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7.</w:t>
      </w:r>
      <w:r>
        <w:rPr>
          <w:rFonts w:hint="eastAsia" w:ascii="宋体" w:hAnsi="宋体" w:eastAsia="宋体" w:cs="Times New Roman"/>
          <w:sz w:val="21"/>
          <w:szCs w:val="21"/>
        </w:rPr>
        <w:t>1 架构：统一存储架构；控制器部件全冗余，6个9高可用性的双激活控制器；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7.2</w:t>
      </w:r>
      <w:r>
        <w:rPr>
          <w:rFonts w:hint="eastAsia" w:ascii="宋体" w:hAnsi="宋体" w:eastAsia="宋体" w:cs="Times New Roman"/>
          <w:sz w:val="21"/>
          <w:szCs w:val="21"/>
        </w:rPr>
        <w:t xml:space="preserve"> 控制器：2 个Active/Active 的控制器，支持控制器在线升级到更高型号；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7.</w:t>
      </w:r>
      <w:r>
        <w:rPr>
          <w:rFonts w:hint="eastAsia" w:ascii="宋体" w:hAnsi="宋体" w:eastAsia="宋体" w:cs="Times New Roman"/>
          <w:sz w:val="21"/>
          <w:szCs w:val="21"/>
        </w:rPr>
        <w:t>3 一级缓存：384GB内存和8GB NVRAM(加速);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7.4</w:t>
      </w:r>
      <w:r>
        <w:rPr>
          <w:rFonts w:hint="eastAsia" w:ascii="宋体" w:hAnsi="宋体" w:eastAsia="宋体" w:cs="Times New Roman"/>
          <w:sz w:val="21"/>
          <w:szCs w:val="21"/>
        </w:rPr>
        <w:t xml:space="preserve"> CPU：每个控制器配置2颗Intel 8核处理器，主频1.8GHz，共32核；</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7.</w:t>
      </w:r>
      <w:r>
        <w:rPr>
          <w:rFonts w:hint="eastAsia" w:ascii="宋体" w:hAnsi="宋体" w:eastAsia="宋体" w:cs="Times New Roman"/>
          <w:sz w:val="21"/>
          <w:szCs w:val="21"/>
        </w:rPr>
        <w:t>5 硬盘：10*7.68TB 企业级Nvme闪存盘，采用Raid5（8+1）保护后可用容量51TiB；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rPr>
        <w:t xml:space="preserve"> 对于结构化数据提供不小于4:1的重删比，有效空间达到204TiB；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rPr>
        <w:t xml:space="preserve"> 对于非结构化数据提供不小于2:1的重删比，有效空间达到102TiB；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7.</w:t>
      </w:r>
      <w:r>
        <w:rPr>
          <w:rFonts w:hint="eastAsia" w:ascii="宋体" w:hAnsi="宋体" w:eastAsia="宋体" w:cs="Times New Roman"/>
          <w:sz w:val="21"/>
          <w:szCs w:val="21"/>
        </w:rPr>
        <w:t>6 前端接口：本次配置4个 16/32G FC 口；</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7.</w:t>
      </w:r>
      <w:r>
        <w:rPr>
          <w:rFonts w:hint="eastAsia" w:ascii="宋体" w:hAnsi="宋体" w:eastAsia="宋体" w:cs="Times New Roman"/>
          <w:sz w:val="21"/>
          <w:szCs w:val="21"/>
        </w:rPr>
        <w:t>7 后端接口：标配有连接磁盘的端端口带宽 4*6Gb/s，最大可达96Gb/s。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7.8</w:t>
      </w:r>
      <w:r>
        <w:rPr>
          <w:rFonts w:hint="eastAsia" w:ascii="宋体" w:hAnsi="宋体" w:eastAsia="宋体" w:cs="Times New Roman"/>
          <w:sz w:val="21"/>
          <w:szCs w:val="21"/>
        </w:rPr>
        <w:t>本次配置的性能：可达90k-108k IOPS ，平均延迟小于1ms，带宽0.8-1.1GB/s；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7.9</w:t>
      </w:r>
      <w:r>
        <w:rPr>
          <w:rFonts w:hint="eastAsia" w:ascii="宋体" w:hAnsi="宋体" w:eastAsia="宋体" w:cs="Times New Roman"/>
          <w:sz w:val="21"/>
          <w:szCs w:val="21"/>
        </w:rPr>
        <w:t xml:space="preserve"> 基于虚拟机配置2台存储跨机房双活组件和授权，与现有的powerstore1000T形成双活；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7.10</w:t>
      </w:r>
      <w:r>
        <w:rPr>
          <w:rFonts w:hint="eastAsia" w:ascii="宋体" w:hAnsi="宋体" w:eastAsia="宋体" w:cs="Times New Roman"/>
          <w:sz w:val="21"/>
          <w:szCs w:val="21"/>
        </w:rPr>
        <w:t>配置在线重删和压缩功能，默认开启且性能无损；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7.11</w:t>
      </w:r>
      <w:r>
        <w:rPr>
          <w:rFonts w:hint="eastAsia" w:ascii="宋体" w:hAnsi="宋体" w:eastAsia="宋体" w:cs="Times New Roman"/>
          <w:sz w:val="21"/>
          <w:szCs w:val="21"/>
        </w:rPr>
        <w:t xml:space="preserve"> 配置本地快照及远程异步数据块复制许可；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7.12</w:t>
      </w:r>
      <w:r>
        <w:rPr>
          <w:rFonts w:hint="eastAsia" w:ascii="宋体" w:hAnsi="宋体" w:eastAsia="宋体" w:cs="Times New Roman"/>
          <w:sz w:val="21"/>
          <w:szCs w:val="21"/>
        </w:rPr>
        <w:t>配置H5图形界面，提供展现消重比、iops、延迟和带宽的管理界面；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7.13</w:t>
      </w:r>
      <w:r>
        <w:rPr>
          <w:rFonts w:hint="eastAsia" w:ascii="宋体" w:hAnsi="宋体" w:eastAsia="宋体" w:cs="Times New Roman"/>
          <w:sz w:val="21"/>
          <w:szCs w:val="21"/>
        </w:rPr>
        <w:t>配置精简资源调配的功能；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lang w:val="en-US" w:eastAsia="zh-CN"/>
        </w:rPr>
        <w:t>7.14</w:t>
      </w:r>
      <w:r>
        <w:rPr>
          <w:rFonts w:hint="eastAsia" w:ascii="宋体" w:hAnsi="宋体" w:eastAsia="宋体" w:cs="Times New Roman"/>
          <w:sz w:val="21"/>
          <w:szCs w:val="21"/>
        </w:rPr>
        <w:t>提供硬件5年7*24原厂保修服务，软件5年原厂保修服务。</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rPr>
        <w:t>高性能存储</w:t>
      </w:r>
      <w:r>
        <w:rPr>
          <w:rFonts w:hint="eastAsia" w:ascii="宋体" w:hAnsi="宋体" w:eastAsia="宋体" w:cs="Times New Roman"/>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lang w:val="en-US" w:eastAsia="zh-CN"/>
        </w:rPr>
        <w:t>8.</w:t>
      </w:r>
      <w:r>
        <w:rPr>
          <w:rFonts w:hint="eastAsia" w:ascii="宋体" w:hAnsi="宋体" w:eastAsia="宋体" w:cs="Times New Roman"/>
          <w:sz w:val="21"/>
          <w:szCs w:val="21"/>
          <w:lang w:eastAsia="zh-CN"/>
        </w:rPr>
        <w:t>1 架构：统一存储架构；控制器部件全冗余，6个9高可用性的双激活控制器；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lang w:val="en-US" w:eastAsia="zh-CN"/>
        </w:rPr>
        <w:t>8.</w:t>
      </w:r>
      <w:r>
        <w:rPr>
          <w:rFonts w:hint="eastAsia" w:ascii="宋体" w:hAnsi="宋体" w:eastAsia="宋体" w:cs="Times New Roman"/>
          <w:sz w:val="21"/>
          <w:szCs w:val="21"/>
          <w:lang w:eastAsia="zh-CN"/>
        </w:rPr>
        <w:t>2 控制器：2 个Active/Active 的控制器，支持控制器在线升级到更高型号；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lang w:val="en-US" w:eastAsia="zh-CN"/>
        </w:rPr>
        <w:t>8.</w:t>
      </w:r>
      <w:r>
        <w:rPr>
          <w:rFonts w:hint="eastAsia" w:ascii="宋体" w:hAnsi="宋体" w:eastAsia="宋体" w:cs="Times New Roman"/>
          <w:sz w:val="21"/>
          <w:szCs w:val="21"/>
          <w:lang w:eastAsia="zh-CN"/>
        </w:rPr>
        <w:t>3 一级缓存：384GB内存和8GB NVRAM(加速);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lang w:val="en-US" w:eastAsia="zh-CN"/>
        </w:rPr>
        <w:t>8.</w:t>
      </w:r>
      <w:r>
        <w:rPr>
          <w:rFonts w:hint="eastAsia" w:ascii="宋体" w:hAnsi="宋体" w:eastAsia="宋体" w:cs="Times New Roman"/>
          <w:sz w:val="21"/>
          <w:szCs w:val="21"/>
          <w:lang w:eastAsia="zh-CN"/>
        </w:rPr>
        <w:t>4 CPU：每个控制器配置2颗Intel 8核处理器，主频1.8GHz，共32核；</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lang w:val="en-US" w:eastAsia="zh-CN"/>
        </w:rPr>
        <w:t>8.</w:t>
      </w:r>
      <w:r>
        <w:rPr>
          <w:rFonts w:hint="eastAsia" w:ascii="宋体" w:hAnsi="宋体" w:eastAsia="宋体" w:cs="Times New Roman"/>
          <w:sz w:val="21"/>
          <w:szCs w:val="21"/>
          <w:lang w:eastAsia="zh-CN"/>
        </w:rPr>
        <w:t>5 硬盘：6*3.84TB 企业级Nvme闪存盘，采用Raid5保护后可用容量12TiB；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lang w:eastAsia="zh-CN"/>
        </w:rPr>
        <w:t>对于结构化数据提供不小于4:1的重删比，有效空间达到48TiB；对于非结构化数据提供不小于2:1的重删比，有效空间达到24TiB；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lang w:val="en-US" w:eastAsia="zh-CN"/>
        </w:rPr>
        <w:t>8.</w:t>
      </w:r>
      <w:r>
        <w:rPr>
          <w:rFonts w:hint="eastAsia" w:ascii="宋体" w:hAnsi="宋体" w:eastAsia="宋体" w:cs="Times New Roman"/>
          <w:sz w:val="21"/>
          <w:szCs w:val="21"/>
          <w:lang w:eastAsia="zh-CN"/>
        </w:rPr>
        <w:t>6 前端接口：本次配置4个 16/32G FC 口；4个万兆光模块；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lang w:val="en-US" w:eastAsia="zh-CN"/>
        </w:rPr>
        <w:t>8.</w:t>
      </w:r>
      <w:r>
        <w:rPr>
          <w:rFonts w:hint="eastAsia" w:ascii="宋体" w:hAnsi="宋体" w:eastAsia="宋体" w:cs="Times New Roman"/>
          <w:sz w:val="21"/>
          <w:szCs w:val="21"/>
          <w:lang w:eastAsia="zh-CN"/>
        </w:rPr>
        <w:t>7 后端接口：标配有连接磁盘的后端口带宽 4*12Gb/s，最大可达400Gb/s。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lang w:val="en-US" w:eastAsia="zh-CN"/>
        </w:rPr>
        <w:t>8.8</w:t>
      </w:r>
      <w:r>
        <w:rPr>
          <w:rFonts w:hint="eastAsia" w:ascii="宋体" w:hAnsi="宋体" w:eastAsia="宋体" w:cs="Times New Roman"/>
          <w:sz w:val="21"/>
          <w:szCs w:val="21"/>
          <w:lang w:eastAsia="zh-CN"/>
        </w:rPr>
        <w:t>本次配置的性能：可达90k-108k IOPS ，平均延迟小于1ms，带宽1GB-1.8GB/s；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lang w:val="en-US" w:eastAsia="zh-CN"/>
        </w:rPr>
        <w:t>8.9</w:t>
      </w:r>
      <w:r>
        <w:rPr>
          <w:rFonts w:hint="eastAsia" w:ascii="宋体" w:hAnsi="宋体" w:eastAsia="宋体" w:cs="Times New Roman"/>
          <w:sz w:val="21"/>
          <w:szCs w:val="21"/>
          <w:lang w:eastAsia="zh-CN"/>
        </w:rPr>
        <w:t xml:space="preserve"> 基于虚拟机配置2台存储跨机房双活组件和授权；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lang w:val="en-US" w:eastAsia="zh-CN"/>
        </w:rPr>
        <w:t>8.10</w:t>
      </w:r>
      <w:r>
        <w:rPr>
          <w:rFonts w:hint="eastAsia" w:ascii="宋体" w:hAnsi="宋体" w:eastAsia="宋体" w:cs="Times New Roman"/>
          <w:sz w:val="21"/>
          <w:szCs w:val="21"/>
          <w:lang w:eastAsia="zh-CN"/>
        </w:rPr>
        <w:t xml:space="preserve"> 配置在线重删和压缩功能，默认开启且性能无损；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lang w:val="en-US" w:eastAsia="zh-CN"/>
        </w:rPr>
        <w:t>8.11</w:t>
      </w:r>
      <w:r>
        <w:rPr>
          <w:rFonts w:hint="eastAsia" w:ascii="宋体" w:hAnsi="宋体" w:eastAsia="宋体" w:cs="Times New Roman"/>
          <w:sz w:val="21"/>
          <w:szCs w:val="21"/>
          <w:lang w:eastAsia="zh-CN"/>
        </w:rPr>
        <w:t xml:space="preserve"> 配置本地快照及远程异步数据块复制许可；</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lang w:val="en-US" w:eastAsia="zh-CN"/>
        </w:rPr>
        <w:t>8.12</w:t>
      </w:r>
      <w:r>
        <w:rPr>
          <w:rFonts w:hint="eastAsia" w:ascii="宋体" w:hAnsi="宋体" w:eastAsia="宋体" w:cs="Times New Roman"/>
          <w:sz w:val="21"/>
          <w:szCs w:val="21"/>
          <w:lang w:eastAsia="zh-CN"/>
        </w:rPr>
        <w:t xml:space="preserve"> 配置H5图形界面，提供展现消重比、iops、延迟和带宽的管理界面；</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lang w:val="en-US" w:eastAsia="zh-CN"/>
        </w:rPr>
        <w:t>8.13</w:t>
      </w:r>
      <w:r>
        <w:rPr>
          <w:rFonts w:hint="eastAsia" w:ascii="宋体" w:hAnsi="宋体" w:eastAsia="宋体" w:cs="Times New Roman"/>
          <w:sz w:val="21"/>
          <w:szCs w:val="21"/>
          <w:lang w:eastAsia="zh-CN"/>
        </w:rPr>
        <w:t>配置精简资源调配的功能；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lang w:val="en-US" w:eastAsia="zh-CN"/>
        </w:rPr>
        <w:t>8.14</w:t>
      </w:r>
      <w:r>
        <w:rPr>
          <w:rFonts w:hint="eastAsia" w:ascii="宋体" w:hAnsi="宋体" w:eastAsia="宋体" w:cs="Times New Roman"/>
          <w:sz w:val="21"/>
          <w:szCs w:val="21"/>
          <w:lang w:eastAsia="zh-CN"/>
        </w:rPr>
        <w:t>提供硬件5年7*24原厂保修服务；</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rPr>
        <w:t>扩容硬盘</w:t>
      </w:r>
      <w:r>
        <w:rPr>
          <w:rFonts w:hint="eastAsia" w:ascii="宋体" w:hAnsi="宋体" w:eastAsia="宋体" w:cs="Times New Roman"/>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lang w:val="en-US" w:eastAsia="zh-CN"/>
        </w:rPr>
        <w:t>9.1</w:t>
      </w:r>
      <w:r>
        <w:rPr>
          <w:rFonts w:hint="eastAsia" w:ascii="宋体" w:hAnsi="宋体" w:eastAsia="宋体" w:cs="Times New Roman"/>
          <w:sz w:val="21"/>
          <w:szCs w:val="21"/>
          <w:lang w:eastAsia="zh-CN"/>
        </w:rPr>
        <w:t>现有Powerstore1000T扩容1组5块3.84TB硬盘；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Times New Roman"/>
          <w:sz w:val="21"/>
          <w:szCs w:val="21"/>
        </w:rPr>
      </w:pPr>
      <w:r>
        <w:rPr>
          <w:rFonts w:hint="eastAsia" w:ascii="宋体" w:hAnsi="宋体" w:eastAsia="宋体" w:cs="Times New Roman"/>
          <w:sz w:val="21"/>
          <w:szCs w:val="21"/>
        </w:rPr>
        <w:t>扩容磁盘框</w:t>
      </w:r>
      <w:r>
        <w:rPr>
          <w:rFonts w:hint="eastAsia" w:ascii="宋体" w:hAnsi="宋体" w:eastAsia="宋体" w:cs="Times New Roman"/>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lang w:val="en-US" w:eastAsia="zh-CN"/>
        </w:rPr>
        <w:t>10.1</w:t>
      </w:r>
      <w:r>
        <w:rPr>
          <w:rFonts w:hint="eastAsia" w:ascii="宋体" w:hAnsi="宋体" w:eastAsia="宋体" w:cs="Times New Roman"/>
          <w:sz w:val="21"/>
          <w:szCs w:val="21"/>
        </w:rPr>
        <w:t>现有Powerstore1000T扩容支持Nvme SSD的磁盘框1套，以及配套线缆，跟随原存储机头维保</w:t>
      </w:r>
      <w:r>
        <w:rPr>
          <w:rFonts w:hint="eastAsia" w:ascii="宋体" w:hAnsi="宋体" w:eastAsia="宋体" w:cs="Times New Roman"/>
          <w:sz w:val="21"/>
          <w:szCs w:val="21"/>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jc w:val="both"/>
        <w:textAlignment w:val="auto"/>
        <w:rPr>
          <w:rFonts w:hint="default" w:ascii="宋体" w:hAnsi="宋体" w:eastAsia="宋体" w:cs="Times New Roman"/>
          <w:sz w:val="21"/>
          <w:szCs w:val="21"/>
          <w:lang w:val="en-US" w:eastAsia="zh-CN"/>
        </w:rPr>
      </w:pPr>
      <w:r>
        <w:rPr>
          <w:rFonts w:hint="eastAsia" w:ascii="宋体" w:hAnsi="宋体" w:eastAsia="宋体" w:cs="Times New Roman"/>
          <w:sz w:val="21"/>
          <w:szCs w:val="21"/>
          <w:lang w:val="en-US" w:eastAsia="zh-CN"/>
        </w:rPr>
        <w:t>扩容</w:t>
      </w:r>
      <w:r>
        <w:rPr>
          <w:rFonts w:hint="default" w:ascii="宋体" w:hAnsi="宋体" w:eastAsia="宋体" w:cs="Times New Roman"/>
          <w:sz w:val="21"/>
          <w:szCs w:val="21"/>
          <w:lang w:val="en-US" w:eastAsia="zh-CN"/>
        </w:rPr>
        <w:t>硬盘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11.1适用于Vxrail E560的3.84TB 专用固态硬盘 SATA 读取密集型 6Gbps 512 2.5英寸热插拔 AG 硬盘；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11.2将现有vxrail升级到全闪存，提升性能；</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jc w:val="both"/>
        <w:textAlignment w:val="auto"/>
        <w:rPr>
          <w:rFonts w:hint="default" w:ascii="宋体" w:hAnsi="宋体" w:eastAsia="宋体" w:cs="Times New Roman"/>
          <w:sz w:val="21"/>
          <w:szCs w:val="21"/>
          <w:lang w:val="en-US" w:eastAsia="zh-CN"/>
        </w:rPr>
      </w:pPr>
      <w:r>
        <w:rPr>
          <w:rFonts w:hint="eastAsia" w:ascii="宋体" w:hAnsi="宋体" w:eastAsia="宋体" w:cs="Times New Roman"/>
          <w:sz w:val="21"/>
          <w:szCs w:val="21"/>
          <w:lang w:val="en-US" w:eastAsia="zh-CN"/>
        </w:rPr>
        <w:t>11.3硬盘提供3年维保服务；</w:t>
      </w:r>
    </w:p>
    <w:p>
      <w:pPr>
        <w:numPr>
          <w:ilvl w:val="0"/>
          <w:numId w:val="0"/>
        </w:numPr>
        <w:spacing w:line="240" w:lineRule="auto"/>
        <w:ind w:leftChars="0"/>
        <w:rPr>
          <w:rFonts w:hint="eastAsia" w:ascii="宋体" w:hAnsi="宋体" w:eastAsia="宋体" w:cs="Times New Roman"/>
          <w:sz w:val="21"/>
          <w:szCs w:val="21"/>
        </w:rPr>
      </w:pPr>
    </w:p>
    <w:p>
      <w:pPr>
        <w:spacing w:line="240" w:lineRule="auto"/>
        <w:rPr>
          <w:rFonts w:hint="default" w:ascii="宋体" w:hAnsi="宋体" w:eastAsia="宋体" w:cs="Times New Roman"/>
          <w:b/>
          <w:bCs/>
          <w:sz w:val="21"/>
          <w:szCs w:val="21"/>
          <w:highlight w:val="none"/>
          <w:lang w:val="en-US" w:eastAsia="zh-CN"/>
        </w:rPr>
      </w:pPr>
      <w:r>
        <w:rPr>
          <w:rFonts w:hint="eastAsia" w:ascii="宋体" w:hAnsi="宋体" w:eastAsia="宋体" w:cs="Times New Roman"/>
          <w:b/>
          <w:bCs/>
          <w:sz w:val="21"/>
          <w:szCs w:val="21"/>
          <w:highlight w:val="none"/>
          <w:lang w:eastAsia="zh-CN"/>
        </w:rPr>
        <w:t>二、</w:t>
      </w:r>
      <w:r>
        <w:rPr>
          <w:rFonts w:hint="eastAsia" w:ascii="宋体" w:hAnsi="宋体" w:eastAsia="宋体" w:cs="Times New Roman"/>
          <w:b/>
          <w:bCs/>
          <w:sz w:val="21"/>
          <w:szCs w:val="21"/>
          <w:highlight w:val="none"/>
        </w:rPr>
        <w:t>配置</w:t>
      </w:r>
      <w:r>
        <w:rPr>
          <w:rFonts w:hint="eastAsia" w:ascii="宋体" w:hAnsi="宋体" w:eastAsia="宋体" w:cs="Times New Roman"/>
          <w:b/>
          <w:bCs/>
          <w:sz w:val="21"/>
          <w:szCs w:val="21"/>
          <w:highlight w:val="none"/>
          <w:lang w:eastAsia="zh-CN"/>
        </w:rPr>
        <w:t>清单</w:t>
      </w:r>
      <w:r>
        <w:rPr>
          <w:rFonts w:hint="eastAsia" w:ascii="宋体" w:hAnsi="宋体" w:eastAsia="宋体" w:cs="Times New Roman"/>
          <w:b/>
          <w:bCs/>
          <w:sz w:val="21"/>
          <w:szCs w:val="21"/>
          <w:highlight w:val="none"/>
          <w:lang w:val="en-US" w:eastAsia="zh-CN"/>
        </w:rPr>
        <w:t>/要求</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7"/>
        <w:gridCol w:w="2987"/>
        <w:gridCol w:w="1297"/>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137" w:type="dxa"/>
            <w:vAlign w:val="center"/>
          </w:tcPr>
          <w:p>
            <w:pPr>
              <w:spacing w:line="400" w:lineRule="exact"/>
              <w:jc w:val="center"/>
              <w:rPr>
                <w:rFonts w:ascii="宋体" w:hAnsi="宋体" w:eastAsia="宋体" w:cs="Times New Roman"/>
                <w:sz w:val="24"/>
                <w:szCs w:val="24"/>
              </w:rPr>
            </w:pPr>
            <w:r>
              <w:rPr>
                <w:rFonts w:hint="eastAsia" w:ascii="宋体" w:hAnsi="宋体" w:eastAsia="宋体" w:cs="Times New Roman"/>
                <w:sz w:val="24"/>
                <w:szCs w:val="24"/>
              </w:rPr>
              <w:t>序号</w:t>
            </w:r>
          </w:p>
        </w:tc>
        <w:tc>
          <w:tcPr>
            <w:tcW w:w="2987" w:type="dxa"/>
            <w:vAlign w:val="center"/>
          </w:tcPr>
          <w:p>
            <w:pPr>
              <w:spacing w:line="400" w:lineRule="exact"/>
              <w:jc w:val="center"/>
              <w:rPr>
                <w:rFonts w:ascii="宋体" w:hAnsi="宋体" w:eastAsia="宋体" w:cs="Times New Roman"/>
                <w:sz w:val="24"/>
                <w:szCs w:val="24"/>
              </w:rPr>
            </w:pPr>
            <w:r>
              <w:rPr>
                <w:rFonts w:hint="eastAsia" w:ascii="宋体" w:hAnsi="宋体" w:eastAsia="宋体" w:cs="Times New Roman"/>
                <w:sz w:val="24"/>
                <w:szCs w:val="24"/>
              </w:rPr>
              <w:t>内容</w:t>
            </w:r>
          </w:p>
        </w:tc>
        <w:tc>
          <w:tcPr>
            <w:tcW w:w="1297" w:type="dxa"/>
            <w:vAlign w:val="center"/>
          </w:tcPr>
          <w:p>
            <w:pPr>
              <w:spacing w:line="400" w:lineRule="exact"/>
              <w:jc w:val="center"/>
              <w:rPr>
                <w:rFonts w:ascii="宋体" w:hAnsi="宋体" w:eastAsia="宋体" w:cs="Times New Roman"/>
                <w:sz w:val="24"/>
                <w:szCs w:val="24"/>
              </w:rPr>
            </w:pPr>
            <w:r>
              <w:rPr>
                <w:rFonts w:hint="eastAsia" w:ascii="宋体" w:hAnsi="宋体" w:eastAsia="宋体" w:cs="Times New Roman"/>
                <w:sz w:val="24"/>
                <w:szCs w:val="24"/>
              </w:rPr>
              <w:t>数量</w:t>
            </w:r>
          </w:p>
        </w:tc>
        <w:tc>
          <w:tcPr>
            <w:tcW w:w="1196" w:type="dxa"/>
            <w:vAlign w:val="center"/>
          </w:tcPr>
          <w:p>
            <w:pPr>
              <w:spacing w:line="400" w:lineRule="exact"/>
              <w:jc w:val="center"/>
              <w:rPr>
                <w:rFonts w:ascii="宋体" w:hAnsi="宋体" w:eastAsia="宋体" w:cs="Times New Roman"/>
                <w:sz w:val="24"/>
                <w:szCs w:val="24"/>
              </w:rPr>
            </w:pPr>
            <w:r>
              <w:rPr>
                <w:rFonts w:hint="eastAsia" w:ascii="宋体" w:hAnsi="宋体" w:eastAsia="宋体" w:cs="Times New Roman"/>
                <w:sz w:val="24"/>
                <w:szCs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137" w:type="dxa"/>
            <w:vAlign w:val="center"/>
          </w:tcPr>
          <w:p>
            <w:pPr>
              <w:spacing w:line="400" w:lineRule="exact"/>
              <w:jc w:val="center"/>
              <w:rPr>
                <w:rFonts w:ascii="宋体" w:hAnsi="宋体" w:eastAsia="宋体" w:cs="Times New Roman"/>
                <w:sz w:val="24"/>
                <w:szCs w:val="24"/>
              </w:rPr>
            </w:pPr>
            <w:r>
              <w:rPr>
                <w:rFonts w:hint="eastAsia" w:ascii="宋体" w:hAnsi="宋体" w:eastAsia="宋体" w:cs="Times New Roman"/>
                <w:sz w:val="24"/>
                <w:szCs w:val="24"/>
              </w:rPr>
              <w:t>1</w:t>
            </w:r>
          </w:p>
        </w:tc>
        <w:tc>
          <w:tcPr>
            <w:tcW w:w="2987" w:type="dxa"/>
            <w:vAlign w:val="center"/>
          </w:tcPr>
          <w:p>
            <w:pPr>
              <w:keepNext w:val="0"/>
              <w:keepLines w:val="0"/>
              <w:widowControl/>
              <w:suppressLineNumbers w:val="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4"/>
                <w:szCs w:val="24"/>
                <w:u w:val="none"/>
                <w:lang w:val="en-US" w:eastAsia="zh-CN" w:bidi="ar"/>
              </w:rPr>
              <w:t>管理交换机</w:t>
            </w:r>
          </w:p>
        </w:tc>
        <w:tc>
          <w:tcPr>
            <w:tcW w:w="1297" w:type="dxa"/>
            <w:vAlign w:val="center"/>
          </w:tcPr>
          <w:p>
            <w:pPr>
              <w:spacing w:line="400" w:lineRule="exact"/>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val="en-US" w:eastAsia="zh-CN"/>
              </w:rPr>
              <w:t>2</w:t>
            </w:r>
          </w:p>
        </w:tc>
        <w:tc>
          <w:tcPr>
            <w:tcW w:w="1196" w:type="dxa"/>
            <w:vAlign w:val="center"/>
          </w:tcPr>
          <w:p>
            <w:pPr>
              <w:spacing w:line="400" w:lineRule="exact"/>
              <w:jc w:val="center"/>
              <w:rPr>
                <w:rFonts w:ascii="宋体" w:hAnsi="宋体" w:eastAsia="宋体" w:cs="Times New Roman"/>
                <w:sz w:val="24"/>
                <w:szCs w:val="24"/>
              </w:rPr>
            </w:pPr>
            <w:r>
              <w:rPr>
                <w:rFonts w:hint="eastAsia" w:ascii="宋体" w:hAnsi="宋体" w:eastAsia="宋体" w:cs="Times New Roman"/>
                <w:sz w:val="24"/>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137" w:type="dxa"/>
            <w:vAlign w:val="center"/>
          </w:tcPr>
          <w:p>
            <w:pPr>
              <w:spacing w:line="400" w:lineRule="exact"/>
              <w:jc w:val="center"/>
              <w:rPr>
                <w:rFonts w:ascii="宋体" w:hAnsi="宋体" w:eastAsia="宋体" w:cs="Times New Roman"/>
                <w:sz w:val="24"/>
                <w:szCs w:val="24"/>
              </w:rPr>
            </w:pPr>
            <w:r>
              <w:rPr>
                <w:rFonts w:hint="eastAsia" w:ascii="宋体" w:hAnsi="宋体" w:eastAsia="宋体" w:cs="Times New Roman"/>
                <w:sz w:val="24"/>
                <w:szCs w:val="24"/>
              </w:rPr>
              <w:t>2</w:t>
            </w:r>
          </w:p>
        </w:tc>
        <w:tc>
          <w:tcPr>
            <w:tcW w:w="2987" w:type="dxa"/>
            <w:vAlign w:val="center"/>
          </w:tcPr>
          <w:p>
            <w:pPr>
              <w:keepNext w:val="0"/>
              <w:keepLines w:val="0"/>
              <w:widowControl/>
              <w:suppressLineNumbers w:val="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4"/>
                <w:szCs w:val="24"/>
                <w:u w:val="none"/>
                <w:lang w:val="en-US" w:eastAsia="zh-CN" w:bidi="ar"/>
              </w:rPr>
              <w:t>万兆多模模块</w:t>
            </w:r>
          </w:p>
        </w:tc>
        <w:tc>
          <w:tcPr>
            <w:tcW w:w="1297" w:type="dxa"/>
            <w:vAlign w:val="center"/>
          </w:tcPr>
          <w:p>
            <w:pPr>
              <w:spacing w:line="400" w:lineRule="exact"/>
              <w:jc w:val="center"/>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26</w:t>
            </w:r>
          </w:p>
        </w:tc>
        <w:tc>
          <w:tcPr>
            <w:tcW w:w="1196" w:type="dxa"/>
            <w:vAlign w:val="center"/>
          </w:tcPr>
          <w:p>
            <w:pPr>
              <w:spacing w:line="400" w:lineRule="exact"/>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val="en-US" w:eastAsia="zh-CN"/>
              </w:rPr>
              <w:t>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137" w:type="dxa"/>
            <w:vAlign w:val="center"/>
          </w:tcPr>
          <w:p>
            <w:pPr>
              <w:spacing w:line="400" w:lineRule="exact"/>
              <w:jc w:val="center"/>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3</w:t>
            </w:r>
          </w:p>
        </w:tc>
        <w:tc>
          <w:tcPr>
            <w:tcW w:w="2987" w:type="dxa"/>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Times New Roman"/>
                <w:sz w:val="24"/>
                <w:szCs w:val="24"/>
              </w:rPr>
              <w:t>虚拟机版CDP容灾软件</w:t>
            </w:r>
          </w:p>
        </w:tc>
        <w:tc>
          <w:tcPr>
            <w:tcW w:w="1297" w:type="dxa"/>
            <w:vAlign w:val="center"/>
          </w:tcPr>
          <w:p>
            <w:pPr>
              <w:spacing w:line="400" w:lineRule="exact"/>
              <w:jc w:val="center"/>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10</w:t>
            </w:r>
          </w:p>
        </w:tc>
        <w:tc>
          <w:tcPr>
            <w:tcW w:w="1196" w:type="dxa"/>
            <w:vAlign w:val="center"/>
          </w:tcPr>
          <w:p>
            <w:pPr>
              <w:spacing w:line="400" w:lineRule="exact"/>
              <w:jc w:val="center"/>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137" w:type="dxa"/>
            <w:vAlign w:val="center"/>
          </w:tcPr>
          <w:p>
            <w:pPr>
              <w:spacing w:line="400" w:lineRule="exact"/>
              <w:jc w:val="center"/>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4</w:t>
            </w:r>
          </w:p>
        </w:tc>
        <w:tc>
          <w:tcPr>
            <w:tcW w:w="2987" w:type="dxa"/>
            <w:vAlign w:val="center"/>
          </w:tcPr>
          <w:p>
            <w:pPr>
              <w:keepNext w:val="0"/>
              <w:keepLines w:val="0"/>
              <w:widowControl/>
              <w:suppressLineNumbers w:val="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4"/>
                <w:szCs w:val="24"/>
                <w:u w:val="none"/>
                <w:lang w:val="en-US" w:eastAsia="zh-CN" w:bidi="ar"/>
              </w:rPr>
              <w:t>虚拟化服务器计算节点</w:t>
            </w:r>
          </w:p>
        </w:tc>
        <w:tc>
          <w:tcPr>
            <w:tcW w:w="1297" w:type="dxa"/>
            <w:vAlign w:val="center"/>
          </w:tcPr>
          <w:p>
            <w:pPr>
              <w:spacing w:line="400" w:lineRule="exact"/>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val="en-US" w:eastAsia="zh-CN"/>
              </w:rPr>
              <w:t>4</w:t>
            </w:r>
          </w:p>
        </w:tc>
        <w:tc>
          <w:tcPr>
            <w:tcW w:w="1196" w:type="dxa"/>
            <w:vAlign w:val="center"/>
          </w:tcPr>
          <w:p>
            <w:pPr>
              <w:spacing w:line="400" w:lineRule="exact"/>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val="en-US"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137" w:type="dxa"/>
            <w:vAlign w:val="center"/>
          </w:tcPr>
          <w:p>
            <w:pPr>
              <w:spacing w:line="400" w:lineRule="exact"/>
              <w:jc w:val="center"/>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5</w:t>
            </w:r>
          </w:p>
        </w:tc>
        <w:tc>
          <w:tcPr>
            <w:tcW w:w="2987" w:type="dxa"/>
            <w:vAlign w:val="center"/>
          </w:tcPr>
          <w:p>
            <w:pPr>
              <w:keepNext w:val="0"/>
              <w:keepLines w:val="0"/>
              <w:widowControl/>
              <w:suppressLineNumbers w:val="0"/>
              <w:jc w:val="center"/>
              <w:textAlignment w:val="center"/>
              <w:rPr>
                <w:rFonts w:hint="eastAsia" w:ascii="宋体" w:hAnsi="宋体" w:eastAsia="宋体" w:cs="宋体"/>
                <w:color w:val="auto"/>
                <w:sz w:val="24"/>
                <w:szCs w:val="24"/>
              </w:rPr>
            </w:pPr>
            <w:r>
              <w:rPr>
                <w:rFonts w:hint="eastAsia" w:ascii="宋体" w:hAnsi="宋体" w:eastAsia="宋体" w:cs="宋体"/>
                <w:i w:val="0"/>
                <w:iCs w:val="0"/>
                <w:color w:val="auto"/>
                <w:kern w:val="0"/>
                <w:sz w:val="24"/>
                <w:szCs w:val="24"/>
                <w:u w:val="none"/>
                <w:lang w:val="en-US" w:eastAsia="zh-CN" w:bidi="ar"/>
              </w:rPr>
              <w:t>集群NAS磁盘阵列</w:t>
            </w:r>
          </w:p>
        </w:tc>
        <w:tc>
          <w:tcPr>
            <w:tcW w:w="1297" w:type="dxa"/>
            <w:vAlign w:val="center"/>
          </w:tcPr>
          <w:p>
            <w:pPr>
              <w:spacing w:line="400" w:lineRule="exact"/>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val="en-US" w:eastAsia="zh-CN"/>
              </w:rPr>
              <w:t>4</w:t>
            </w:r>
          </w:p>
        </w:tc>
        <w:tc>
          <w:tcPr>
            <w:tcW w:w="1196" w:type="dxa"/>
            <w:vAlign w:val="center"/>
          </w:tcPr>
          <w:p>
            <w:pPr>
              <w:spacing w:line="400" w:lineRule="exact"/>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val="en-US"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137" w:type="dxa"/>
            <w:vAlign w:val="center"/>
          </w:tcPr>
          <w:p>
            <w:pPr>
              <w:spacing w:line="400" w:lineRule="exact"/>
              <w:jc w:val="center"/>
              <w:rPr>
                <w:rFonts w:ascii="宋体" w:hAnsi="宋体" w:eastAsia="宋体" w:cs="Times New Roman"/>
                <w:sz w:val="24"/>
                <w:szCs w:val="24"/>
              </w:rPr>
            </w:pPr>
            <w:r>
              <w:rPr>
                <w:rFonts w:hint="eastAsia" w:ascii="宋体" w:hAnsi="宋体" w:eastAsia="宋体" w:cs="Times New Roman"/>
                <w:sz w:val="24"/>
                <w:szCs w:val="24"/>
              </w:rPr>
              <w:t>6</w:t>
            </w:r>
          </w:p>
        </w:tc>
        <w:tc>
          <w:tcPr>
            <w:tcW w:w="2987" w:type="dxa"/>
            <w:vAlign w:val="center"/>
          </w:tcPr>
          <w:p>
            <w:pPr>
              <w:keepNext w:val="0"/>
              <w:keepLines w:val="0"/>
              <w:widowControl/>
              <w:suppressLineNumbers w:val="0"/>
              <w:jc w:val="center"/>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汇聚交换机</w:t>
            </w:r>
          </w:p>
        </w:tc>
        <w:tc>
          <w:tcPr>
            <w:tcW w:w="1297" w:type="dxa"/>
            <w:vAlign w:val="center"/>
          </w:tcPr>
          <w:p>
            <w:pPr>
              <w:spacing w:line="400" w:lineRule="exact"/>
              <w:jc w:val="center"/>
              <w:rPr>
                <w:rFonts w:hint="eastAsia" w:ascii="宋体" w:hAnsi="宋体" w:eastAsia="宋体" w:cs="Times New Roman"/>
                <w:sz w:val="24"/>
                <w:szCs w:val="24"/>
                <w:lang w:eastAsia="zh-CN"/>
              </w:rPr>
            </w:pPr>
            <w:r>
              <w:rPr>
                <w:rFonts w:hint="eastAsia" w:ascii="宋体" w:hAnsi="宋体" w:eastAsia="宋体" w:cs="Times New Roman"/>
                <w:sz w:val="24"/>
                <w:szCs w:val="24"/>
                <w:lang w:val="en-US" w:eastAsia="zh-CN"/>
              </w:rPr>
              <w:t>2</w:t>
            </w:r>
          </w:p>
        </w:tc>
        <w:tc>
          <w:tcPr>
            <w:tcW w:w="1196" w:type="dxa"/>
            <w:vAlign w:val="center"/>
          </w:tcPr>
          <w:p>
            <w:pPr>
              <w:spacing w:line="400" w:lineRule="exact"/>
              <w:jc w:val="center"/>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137" w:type="dxa"/>
            <w:vAlign w:val="center"/>
          </w:tcPr>
          <w:p>
            <w:pPr>
              <w:spacing w:line="400" w:lineRule="exact"/>
              <w:jc w:val="center"/>
              <w:rPr>
                <w:rFonts w:ascii="宋体" w:hAnsi="宋体" w:eastAsia="宋体" w:cs="Times New Roman"/>
                <w:sz w:val="24"/>
                <w:szCs w:val="24"/>
              </w:rPr>
            </w:pPr>
            <w:r>
              <w:rPr>
                <w:rFonts w:hint="eastAsia" w:ascii="宋体" w:hAnsi="宋体" w:eastAsia="宋体" w:cs="Times New Roman"/>
                <w:sz w:val="24"/>
                <w:szCs w:val="24"/>
              </w:rPr>
              <w:t>7</w:t>
            </w:r>
          </w:p>
        </w:tc>
        <w:tc>
          <w:tcPr>
            <w:tcW w:w="2987" w:type="dxa"/>
            <w:vAlign w:val="center"/>
          </w:tcPr>
          <w:p>
            <w:pPr>
              <w:keepNext w:val="0"/>
              <w:keepLines w:val="0"/>
              <w:widowControl/>
              <w:suppressLineNumbers w:val="0"/>
              <w:jc w:val="center"/>
              <w:textAlignment w:val="center"/>
              <w:rPr>
                <w:rFonts w:hint="eastAsia" w:ascii="宋体" w:hAnsi="宋体" w:eastAsia="宋体" w:cs="宋体"/>
                <w:sz w:val="24"/>
                <w:szCs w:val="24"/>
              </w:rPr>
            </w:pPr>
            <w:r>
              <w:rPr>
                <w:rFonts w:hint="eastAsia" w:ascii="宋体" w:hAnsi="宋体" w:eastAsia="宋体" w:cs="宋体"/>
                <w:i w:val="0"/>
                <w:iCs w:val="0"/>
                <w:color w:val="000000"/>
                <w:kern w:val="0"/>
                <w:sz w:val="24"/>
                <w:szCs w:val="24"/>
                <w:u w:val="none"/>
                <w:lang w:val="en-US" w:eastAsia="zh-CN" w:bidi="ar"/>
              </w:rPr>
              <w:t>PCAS全闪存存储</w:t>
            </w:r>
          </w:p>
        </w:tc>
        <w:tc>
          <w:tcPr>
            <w:tcW w:w="1297" w:type="dxa"/>
            <w:vAlign w:val="center"/>
          </w:tcPr>
          <w:p>
            <w:pPr>
              <w:spacing w:line="400" w:lineRule="exact"/>
              <w:jc w:val="center"/>
              <w:rPr>
                <w:rFonts w:ascii="宋体" w:hAnsi="宋体" w:eastAsia="宋体" w:cs="Times New Roman"/>
                <w:sz w:val="24"/>
                <w:szCs w:val="24"/>
              </w:rPr>
            </w:pPr>
            <w:r>
              <w:rPr>
                <w:rFonts w:ascii="宋体" w:hAnsi="宋体" w:eastAsia="宋体" w:cs="Times New Roman"/>
                <w:sz w:val="24"/>
                <w:szCs w:val="24"/>
              </w:rPr>
              <w:t>1</w:t>
            </w:r>
          </w:p>
        </w:tc>
        <w:tc>
          <w:tcPr>
            <w:tcW w:w="1196" w:type="dxa"/>
            <w:vAlign w:val="center"/>
          </w:tcPr>
          <w:p>
            <w:pPr>
              <w:spacing w:line="400" w:lineRule="exact"/>
              <w:jc w:val="center"/>
              <w:rPr>
                <w:rFonts w:ascii="宋体" w:hAnsi="宋体" w:eastAsia="宋体" w:cs="Times New Roman"/>
                <w:sz w:val="24"/>
                <w:szCs w:val="24"/>
              </w:rPr>
            </w:pPr>
            <w:r>
              <w:rPr>
                <w:rFonts w:hint="eastAsia" w:ascii="宋体" w:hAnsi="宋体" w:eastAsia="宋体" w:cs="Times New Roman"/>
                <w:sz w:val="24"/>
                <w:szCs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137" w:type="dxa"/>
            <w:vAlign w:val="center"/>
          </w:tcPr>
          <w:p>
            <w:pPr>
              <w:spacing w:line="400" w:lineRule="exact"/>
              <w:jc w:val="center"/>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8</w:t>
            </w:r>
          </w:p>
        </w:tc>
        <w:tc>
          <w:tcPr>
            <w:tcW w:w="298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Times New Roman"/>
                <w:sz w:val="24"/>
                <w:szCs w:val="24"/>
              </w:rPr>
              <w:t>高性能存储</w:t>
            </w:r>
          </w:p>
        </w:tc>
        <w:tc>
          <w:tcPr>
            <w:tcW w:w="1297" w:type="dxa"/>
            <w:vAlign w:val="center"/>
          </w:tcPr>
          <w:p>
            <w:pPr>
              <w:spacing w:line="400" w:lineRule="exact"/>
              <w:jc w:val="center"/>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w:t>
            </w:r>
          </w:p>
        </w:tc>
        <w:tc>
          <w:tcPr>
            <w:tcW w:w="1196" w:type="dxa"/>
            <w:vAlign w:val="center"/>
          </w:tcPr>
          <w:p>
            <w:pPr>
              <w:spacing w:line="400" w:lineRule="exact"/>
              <w:jc w:val="center"/>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137" w:type="dxa"/>
            <w:vAlign w:val="center"/>
          </w:tcPr>
          <w:p>
            <w:pPr>
              <w:spacing w:line="400" w:lineRule="exact"/>
              <w:jc w:val="center"/>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9</w:t>
            </w:r>
          </w:p>
        </w:tc>
        <w:tc>
          <w:tcPr>
            <w:tcW w:w="298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Times New Roman"/>
                <w:sz w:val="24"/>
                <w:szCs w:val="24"/>
              </w:rPr>
              <w:t>扩容硬盘</w:t>
            </w:r>
          </w:p>
        </w:tc>
        <w:tc>
          <w:tcPr>
            <w:tcW w:w="1297" w:type="dxa"/>
            <w:vAlign w:val="center"/>
          </w:tcPr>
          <w:p>
            <w:pPr>
              <w:spacing w:line="400" w:lineRule="exact"/>
              <w:jc w:val="center"/>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5</w:t>
            </w:r>
          </w:p>
        </w:tc>
        <w:tc>
          <w:tcPr>
            <w:tcW w:w="1196" w:type="dxa"/>
            <w:vAlign w:val="center"/>
          </w:tcPr>
          <w:p>
            <w:pPr>
              <w:spacing w:line="400" w:lineRule="exact"/>
              <w:jc w:val="center"/>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137" w:type="dxa"/>
            <w:vAlign w:val="center"/>
          </w:tcPr>
          <w:p>
            <w:pPr>
              <w:spacing w:line="400" w:lineRule="exact"/>
              <w:jc w:val="center"/>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10</w:t>
            </w:r>
          </w:p>
        </w:tc>
        <w:tc>
          <w:tcPr>
            <w:tcW w:w="298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Times New Roman"/>
                <w:sz w:val="24"/>
                <w:szCs w:val="24"/>
              </w:rPr>
              <w:t>扩容磁盘框</w:t>
            </w:r>
          </w:p>
        </w:tc>
        <w:tc>
          <w:tcPr>
            <w:tcW w:w="1297" w:type="dxa"/>
            <w:vAlign w:val="center"/>
          </w:tcPr>
          <w:p>
            <w:pPr>
              <w:spacing w:line="400" w:lineRule="exact"/>
              <w:jc w:val="center"/>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1</w:t>
            </w:r>
          </w:p>
        </w:tc>
        <w:tc>
          <w:tcPr>
            <w:tcW w:w="1196" w:type="dxa"/>
            <w:vAlign w:val="center"/>
          </w:tcPr>
          <w:p>
            <w:pPr>
              <w:spacing w:line="400" w:lineRule="exact"/>
              <w:jc w:val="center"/>
              <w:rPr>
                <w:rFonts w:hint="eastAsia" w:ascii="宋体" w:hAnsi="宋体" w:eastAsia="宋体" w:cs="Times New Roman"/>
                <w:sz w:val="24"/>
                <w:szCs w:val="24"/>
                <w:lang w:val="en-US" w:eastAsia="zh-CN"/>
              </w:rPr>
            </w:pPr>
            <w:r>
              <w:rPr>
                <w:rFonts w:hint="eastAsia" w:ascii="宋体" w:hAnsi="宋体" w:eastAsia="宋体" w:cs="Times New Roman"/>
                <w:sz w:val="24"/>
                <w:szCs w:val="24"/>
                <w:lang w:val="en-US" w:eastAsia="zh-CN"/>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1137" w:type="dxa"/>
            <w:vAlign w:val="center"/>
          </w:tcPr>
          <w:p>
            <w:pPr>
              <w:tabs>
                <w:tab w:val="left" w:pos="458"/>
              </w:tabs>
              <w:spacing w:line="400" w:lineRule="exact"/>
              <w:jc w:val="center"/>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11</w:t>
            </w:r>
          </w:p>
        </w:tc>
        <w:tc>
          <w:tcPr>
            <w:tcW w:w="2987" w:type="dxa"/>
            <w:vAlign w:val="center"/>
          </w:tcPr>
          <w:p>
            <w:pPr>
              <w:keepNext w:val="0"/>
              <w:keepLines w:val="0"/>
              <w:widowControl/>
              <w:suppressLineNumbers w:val="0"/>
              <w:jc w:val="center"/>
              <w:textAlignment w:val="center"/>
              <w:rPr>
                <w:rFonts w:hint="eastAsia" w:ascii="宋体" w:hAnsi="宋体" w:eastAsia="宋体" w:cs="Times New Roman"/>
                <w:sz w:val="24"/>
                <w:szCs w:val="24"/>
              </w:rPr>
            </w:pPr>
            <w:r>
              <w:rPr>
                <w:rFonts w:hint="eastAsia" w:ascii="宋体" w:hAnsi="宋体" w:eastAsia="宋体" w:cs="Times New Roman"/>
                <w:sz w:val="24"/>
                <w:szCs w:val="24"/>
              </w:rPr>
              <w:t>扩容硬盘</w:t>
            </w:r>
          </w:p>
        </w:tc>
        <w:tc>
          <w:tcPr>
            <w:tcW w:w="1297" w:type="dxa"/>
            <w:vAlign w:val="center"/>
          </w:tcPr>
          <w:p>
            <w:pPr>
              <w:spacing w:line="400" w:lineRule="exact"/>
              <w:jc w:val="center"/>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32</w:t>
            </w:r>
          </w:p>
        </w:tc>
        <w:tc>
          <w:tcPr>
            <w:tcW w:w="1196" w:type="dxa"/>
            <w:vAlign w:val="center"/>
          </w:tcPr>
          <w:p>
            <w:pPr>
              <w:spacing w:line="400" w:lineRule="exact"/>
              <w:jc w:val="center"/>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块</w:t>
            </w:r>
          </w:p>
        </w:tc>
      </w:tr>
    </w:tbl>
    <w:p>
      <w:pPr>
        <w:spacing w:line="400" w:lineRule="exact"/>
        <w:jc w:val="both"/>
        <w:rPr>
          <w:rFonts w:hint="eastAsia" w:ascii="宋体" w:hAnsi="宋体" w:eastAsia="宋体" w:cs="Times New Roman"/>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C890B"/>
    <w:multiLevelType w:val="singleLevel"/>
    <w:tmpl w:val="A1BC890B"/>
    <w:lvl w:ilvl="0" w:tentative="0">
      <w:start w:val="1"/>
      <w:numFmt w:val="chineseCounting"/>
      <w:suff w:val="nothing"/>
      <w:lvlText w:val="%1、"/>
      <w:lvlJc w:val="left"/>
      <w:rPr>
        <w:rFonts w:hint="eastAsia"/>
      </w:rPr>
    </w:lvl>
  </w:abstractNum>
  <w:abstractNum w:abstractNumId="1">
    <w:nsid w:val="E110463F"/>
    <w:multiLevelType w:val="singleLevel"/>
    <w:tmpl w:val="E110463F"/>
    <w:lvl w:ilvl="0" w:tentative="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mYTc1Yzk2MDVhNThiN2Q3NDAxMDU2ZGU1MmE2YjkifQ=="/>
  </w:docVars>
  <w:rsids>
    <w:rsidRoot w:val="00D87022"/>
    <w:rsid w:val="0003703C"/>
    <w:rsid w:val="00074D68"/>
    <w:rsid w:val="000F3FB8"/>
    <w:rsid w:val="00104F33"/>
    <w:rsid w:val="001A382D"/>
    <w:rsid w:val="003A221B"/>
    <w:rsid w:val="004160EA"/>
    <w:rsid w:val="00434566"/>
    <w:rsid w:val="00490931"/>
    <w:rsid w:val="004F72C1"/>
    <w:rsid w:val="0056018E"/>
    <w:rsid w:val="006A7126"/>
    <w:rsid w:val="006C49B2"/>
    <w:rsid w:val="00724294"/>
    <w:rsid w:val="00755BF4"/>
    <w:rsid w:val="007B71F4"/>
    <w:rsid w:val="0083756A"/>
    <w:rsid w:val="00842397"/>
    <w:rsid w:val="00887328"/>
    <w:rsid w:val="008E6A5E"/>
    <w:rsid w:val="00937634"/>
    <w:rsid w:val="00953BE2"/>
    <w:rsid w:val="00965596"/>
    <w:rsid w:val="009C145B"/>
    <w:rsid w:val="00A95A30"/>
    <w:rsid w:val="00B3610A"/>
    <w:rsid w:val="00BB7670"/>
    <w:rsid w:val="00BE5923"/>
    <w:rsid w:val="00C47D62"/>
    <w:rsid w:val="00D30FFB"/>
    <w:rsid w:val="00D87022"/>
    <w:rsid w:val="00DC322E"/>
    <w:rsid w:val="00E112A8"/>
    <w:rsid w:val="00E35C11"/>
    <w:rsid w:val="00E47643"/>
    <w:rsid w:val="00F872D5"/>
    <w:rsid w:val="00FE1796"/>
    <w:rsid w:val="00FE233F"/>
    <w:rsid w:val="03B629A7"/>
    <w:rsid w:val="05D73965"/>
    <w:rsid w:val="0B6829DC"/>
    <w:rsid w:val="0F707EAE"/>
    <w:rsid w:val="124B69B1"/>
    <w:rsid w:val="208732AA"/>
    <w:rsid w:val="24457704"/>
    <w:rsid w:val="344E4DC0"/>
    <w:rsid w:val="38A00F55"/>
    <w:rsid w:val="3C2E0626"/>
    <w:rsid w:val="43CD4BC8"/>
    <w:rsid w:val="4C7E1155"/>
    <w:rsid w:val="5A2C21F1"/>
    <w:rsid w:val="609064F3"/>
    <w:rsid w:val="6166423A"/>
    <w:rsid w:val="62002A34"/>
    <w:rsid w:val="64037ECA"/>
    <w:rsid w:val="684D1B9A"/>
    <w:rsid w:val="684E5A28"/>
    <w:rsid w:val="72890C85"/>
    <w:rsid w:val="73AA1205"/>
    <w:rsid w:val="741B7106"/>
    <w:rsid w:val="77D00208"/>
    <w:rsid w:val="78400054"/>
    <w:rsid w:val="7D006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3"/>
    <w:autoRedefine/>
    <w:semiHidden/>
    <w:unhideWhenUsed/>
    <w:qFormat/>
    <w:uiPriority w:val="99"/>
    <w:pPr>
      <w:jc w:val="left"/>
    </w:pPr>
  </w:style>
  <w:style w:type="paragraph" w:styleId="3">
    <w:name w:val="Balloon Text"/>
    <w:basedOn w:val="1"/>
    <w:link w:val="15"/>
    <w:autoRedefine/>
    <w:semiHidden/>
    <w:unhideWhenUsed/>
    <w:qFormat/>
    <w:uiPriority w:val="99"/>
    <w:rPr>
      <w:sz w:val="18"/>
      <w:szCs w:val="18"/>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autoRedefine/>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autoRedefine/>
    <w:semiHidden/>
    <w:unhideWhenUsed/>
    <w:qFormat/>
    <w:uiPriority w:val="99"/>
    <w:rPr>
      <w:sz w:val="21"/>
      <w:szCs w:val="21"/>
    </w:rPr>
  </w:style>
  <w:style w:type="character" w:customStyle="1" w:styleId="11">
    <w:name w:val="页眉 字符"/>
    <w:basedOn w:val="9"/>
    <w:link w:val="5"/>
    <w:autoRedefine/>
    <w:qFormat/>
    <w:uiPriority w:val="99"/>
    <w:rPr>
      <w:sz w:val="18"/>
      <w:szCs w:val="18"/>
    </w:rPr>
  </w:style>
  <w:style w:type="character" w:customStyle="1" w:styleId="12">
    <w:name w:val="页脚 字符"/>
    <w:basedOn w:val="9"/>
    <w:link w:val="4"/>
    <w:autoRedefine/>
    <w:qFormat/>
    <w:uiPriority w:val="99"/>
    <w:rPr>
      <w:sz w:val="18"/>
      <w:szCs w:val="18"/>
    </w:rPr>
  </w:style>
  <w:style w:type="character" w:customStyle="1" w:styleId="13">
    <w:name w:val="批注文字 字符"/>
    <w:basedOn w:val="9"/>
    <w:link w:val="2"/>
    <w:autoRedefine/>
    <w:semiHidden/>
    <w:qFormat/>
    <w:uiPriority w:val="99"/>
  </w:style>
  <w:style w:type="character" w:customStyle="1" w:styleId="14">
    <w:name w:val="批注主题 字符"/>
    <w:basedOn w:val="13"/>
    <w:link w:val="6"/>
    <w:autoRedefine/>
    <w:semiHidden/>
    <w:qFormat/>
    <w:uiPriority w:val="99"/>
    <w:rPr>
      <w:b/>
      <w:bCs/>
    </w:rPr>
  </w:style>
  <w:style w:type="character" w:customStyle="1" w:styleId="15">
    <w:name w:val="批注框文本 字符"/>
    <w:basedOn w:val="9"/>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205</Words>
  <Characters>1170</Characters>
  <Lines>9</Lines>
  <Paragraphs>2</Paragraphs>
  <TotalTime>3</TotalTime>
  <ScaleCrop>false</ScaleCrop>
  <LinksUpToDate>false</LinksUpToDate>
  <CharactersWithSpaces>1373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2024-01-25T02:22:00Z</dcterms:created>
  <dc:creator>Yan hh</dc:creator>
  <cp:lastModifiedBy>hxl</cp:lastModifiedBy>
  <dcterms:modified xsi:type="dcterms:W3CDTF">2024-03-12T00:33:14Z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55150BAC8C024FE9835E642BAED0212B_13</vt:lpwstr>
  </property>
</Properties>
</file>