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▲1、提供1条1000M光纤宽带，要求光纤接入方式，</w:t>
      </w:r>
      <w:r>
        <w:rPr>
          <w:rFonts w:hint="eastAsia" w:ascii="宋体" w:hAnsi="宋体" w:eastAsia="宋体" w:cs="宋体"/>
          <w:color w:val="auto"/>
          <w:sz w:val="24"/>
          <w:szCs w:val="24"/>
          <w:highlight w:val="none"/>
        </w:rPr>
        <w:t>提供接入设备（设备费用包含在响应报价中）；</w:t>
      </w: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2、裸机测试，下行速率达到1000Mbit/s为合格；</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3、提供公网IPv4地址、IPV6地</w:t>
      </w:r>
      <w:bookmarkStart w:id="0" w:name="_GoBack"/>
      <w:bookmarkEnd w:id="0"/>
      <w:r>
        <w:rPr>
          <w:rFonts w:hint="eastAsia" w:ascii="宋体" w:hAnsi="宋体" w:eastAsia="宋体" w:cs="宋体"/>
          <w:color w:val="auto"/>
          <w:sz w:val="24"/>
          <w:szCs w:val="24"/>
          <w:highlight w:val="none"/>
        </w:rPr>
        <w:t>址（64段）；</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4、汇聚层、核心层全网采用双路由的备份保护，保证整个城域网的安全、可靠、快速；</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5、专线具有双方向路由保护，出口带宽</w:t>
      </w:r>
      <w:r>
        <w:rPr>
          <w:rFonts w:hint="eastAsia" w:ascii="宋体" w:hAnsi="宋体" w:eastAsia="宋体" w:cs="宋体"/>
          <w:color w:val="auto"/>
          <w:sz w:val="24"/>
          <w:szCs w:val="24"/>
          <w:highlight w:val="none"/>
        </w:rPr>
        <w:t>具有优势性</w:t>
      </w:r>
      <w:r>
        <w:rPr>
          <w:rFonts w:hint="eastAsia" w:ascii="宋体" w:hAnsi="宋体" w:eastAsia="宋体" w:cs="宋体"/>
          <w:color w:val="auto"/>
          <w:sz w:val="24"/>
          <w:szCs w:val="24"/>
          <w:highlight w:val="none"/>
        </w:rPr>
        <w:t>、可靠性及保障性，具有全程可网管能力，具有自愈环，具有故障自动倒换功能，能保证传输线路不因光缆的意外阻断和部分设备故障而中断；</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6、供应商或其所提供的互联网光纤服务机构拥有的互联网骨干网络国际出口带宽不少于4000000Mbps，提供可查询链接和证明材料并加盖投标人公章。</w:t>
      </w:r>
    </w:p>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pacing w:val="-12"/>
          <w:sz w:val="24"/>
          <w:szCs w:val="24"/>
          <w:highlight w:val="none"/>
        </w:rPr>
      </w:pPr>
      <w:r>
        <w:rPr>
          <w:rFonts w:hint="eastAsia" w:ascii="宋体" w:hAnsi="宋体" w:eastAsia="宋体" w:cs="宋体"/>
          <w:color w:val="auto"/>
          <w:sz w:val="24"/>
          <w:szCs w:val="24"/>
          <w:highlight w:val="none"/>
        </w:rPr>
        <w:t>7、提供抗DDOS服务，在服务期限内为单位互联网出口提供近源的流量清洗服务，提供清洗能力1Gbps（流量峰值），在DDoS攻击发生时，可利用国内清洗节点资源在近攻击源处完成流量清洗，支持使用 BGP 进行全网牵引清洗或长牵引清洗，无需修改 DNS 配置和 IP 地址。 服务要求：</w:t>
      </w:r>
    </w:p>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（1）服务支持对攻击状态进行实时监控，一旦发生</w:t>
      </w:r>
      <w:r>
        <w:rPr>
          <w:rFonts w:hint="eastAsia" w:ascii="宋体" w:hAnsi="宋体" w:eastAsia="宋体" w:cs="宋体"/>
          <w:color w:val="auto"/>
          <w:sz w:val="24"/>
          <w:szCs w:val="24"/>
        </w:rPr>
        <w:t>攻击，即刻发出攻击告警通知，攻击结束后发出结束通知。告警通知包含攻击目标，攻击类型及攻击大小信息；</w:t>
      </w:r>
    </w:p>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（2）服务采用基于管道侧的清洗中心，使用BGP对单个目标IP进行全网牵引，并支持基于需防护目的IP地址的可实现国际流量、国内运营商分方向的流量压制功能，无需修改 DNS 配置和 IP 地址，仅需提供防护目标对象即可进行防护（需提供具有 CNAS 认可的三方测试证明文件加盖投标人公章）</w:t>
      </w:r>
    </w:p>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（3）服务采用近源式清洗、分布式清洗，具有全国调动防护能力,具有城域网近目的清洗、城域网、骨干网二级协同联动能力.</w:t>
      </w:r>
    </w:p>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（4）服务方在全球部署有清洗中心，全球清洗中心数量≥50个（需提供清洗中心能力需提供节点测试截图，具有CNAS 认可的三方测试证明文件加盖投标人公章）</w:t>
      </w:r>
      <w:r>
        <w:rPr>
          <w:rFonts w:hint="eastAsia" w:ascii="宋体" w:hAnsi="宋体" w:eastAsia="宋体" w:cs="宋体"/>
          <w:color w:val="auto"/>
          <w:sz w:val="24"/>
          <w:szCs w:val="24"/>
        </w:rPr>
        <w:tab/>
      </w:r>
    </w:p>
    <w:p>
      <w:pPr>
        <w:keepNext w:val="0"/>
        <w:keepLines w:val="0"/>
        <w:pageBreakBefore w:val="0"/>
        <w:widowControl w:val="0"/>
        <w:shd w:val="clear" w:color="auto" w:fill="FFFFFF" w:themeFill="background1"/>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（5）可防御DDDoS攻击类型要求：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(a)可</w:t>
      </w:r>
      <w:r>
        <w:rPr>
          <w:rFonts w:hint="eastAsia" w:ascii="宋体" w:hAnsi="宋体" w:eastAsia="宋体" w:cs="宋体"/>
          <w:color w:val="auto"/>
          <w:sz w:val="24"/>
          <w:szCs w:val="24"/>
          <w:lang w:val="zh-CN"/>
        </w:rPr>
        <w:t>抵御OSI三层网络层攻击，同时可以有效抵御各种反射攻击和僵尸网络攻击。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(b)可抵御</w:t>
      </w:r>
      <w:r>
        <w:rPr>
          <w:rFonts w:hint="eastAsia" w:ascii="宋体" w:hAnsi="宋体" w:eastAsia="宋体" w:cs="宋体"/>
          <w:color w:val="auto"/>
          <w:sz w:val="24"/>
          <w:szCs w:val="24"/>
          <w:lang w:val="zh-CN"/>
        </w:rPr>
        <w:t>TCP类流量攻击，例如TCP SYN+ACK、TCP FIN、TCP RESET、TCP ACK、TCP ACK+PSH、TCP Fragment等；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(c)可抵御</w:t>
      </w:r>
      <w:r>
        <w:rPr>
          <w:rFonts w:hint="eastAsia" w:ascii="宋体" w:hAnsi="宋体" w:eastAsia="宋体" w:cs="宋体"/>
          <w:color w:val="auto"/>
          <w:sz w:val="24"/>
          <w:szCs w:val="24"/>
          <w:lang w:val="zh-CN"/>
        </w:rPr>
        <w:t>其他Flood类攻击，例如UDP、ICMP、IGMP等 Flood攻击，DNS flood、混合SYN+UDP or ICMP+UDP flood等；</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32"/>
        </w:rPr>
      </w:pPr>
      <w:r>
        <w:rPr>
          <w:rFonts w:hint="eastAsia" w:ascii="宋体" w:hAnsi="宋体" w:eastAsia="宋体" w:cs="宋体"/>
          <w:color w:val="auto"/>
          <w:sz w:val="24"/>
          <w:szCs w:val="24"/>
          <w:lang w:val="zh-CN"/>
        </w:rPr>
        <w:t>(d)可抵御反射类攻击，例如Smurf、UDP反射、NTP反射、DNS反射攻击等。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4NjM2YjFiY2QwNzc3ODBhMmY3NDEwNDdkODRkYWEifQ=="/>
  </w:docVars>
  <w:rsids>
    <w:rsidRoot w:val="00000000"/>
    <w:rsid w:val="501B5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表格文字"/>
    <w:basedOn w:val="1"/>
    <w:autoRedefine/>
    <w:qFormat/>
    <w:uiPriority w:val="0"/>
    <w:pPr>
      <w:adjustRightInd w:val="0"/>
      <w:spacing w:line="420" w:lineRule="atLeast"/>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2024-03-06T09:57:51Z</dcterms:created>
  <dc:creator>Administrator</dc:creator>
  <cp:lastModifiedBy>hxl</cp:lastModifiedBy>
  <dcterms:modified xsi:type="dcterms:W3CDTF">2024-03-06T09:58:59Z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B950ECA96F0840989B527F3F9C3FEDCA_12</vt:lpwstr>
  </property>
</Properties>
</file>