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8"/>
        <w:spacing w:line="360" w:lineRule="auto"/>
        <w:jc w:val="center"/>
        <w:rPr>
          <w:rFonts w:asciiTheme="minorEastAsia" w:hAnsiTheme="minorEastAsia" w:eastAsiaTheme="minorEastAsia"/>
          <w:b/>
          <w:bCs/>
          <w:sz w:val="30"/>
          <w:szCs w:val="30"/>
        </w:rPr>
      </w:pPr>
      <w:bookmarkStart w:id="0" w:name="_GoBack"/>
      <w:bookmarkEnd w:id="0"/>
      <w:r>
        <w:rPr>
          <w:rFonts w:hint="eastAsia" w:asciiTheme="minorEastAsia" w:hAnsiTheme="minorEastAsia" w:eastAsiaTheme="minorEastAsia"/>
          <w:b/>
          <w:bCs/>
          <w:sz w:val="30"/>
          <w:szCs w:val="30"/>
          <w:lang w:eastAsia="zh-CN"/>
        </w:rPr>
        <w:t>广西心脑血管疾病防治精准医学重点实验室家具</w:t>
      </w:r>
      <w:r>
        <w:rPr>
          <w:rFonts w:hint="eastAsia" w:asciiTheme="minorEastAsia" w:hAnsiTheme="minorEastAsia" w:eastAsiaTheme="minorEastAsia"/>
          <w:b/>
          <w:bCs/>
          <w:sz w:val="30"/>
          <w:szCs w:val="30"/>
        </w:rPr>
        <w:t>项目</w:t>
      </w:r>
    </w:p>
    <w:p w14:paraId="0DD46D2F">
      <w:pPr>
        <w:pStyle w:val="28"/>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8"/>
        <w:spacing w:line="360" w:lineRule="auto"/>
        <w:rPr>
          <w:rFonts w:asciiTheme="minorEastAsia" w:hAnsiTheme="minorEastAsia" w:eastAsiaTheme="minorEastAsia"/>
          <w:szCs w:val="21"/>
          <w:lang w:val="zh-CN"/>
        </w:rPr>
      </w:pPr>
    </w:p>
    <w:p w14:paraId="62C919FA">
      <w:pPr>
        <w:pStyle w:val="28"/>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23AE48D6">
      <w:pPr>
        <w:pStyle w:val="28"/>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预算价:250065.00元</w:t>
      </w:r>
    </w:p>
    <w:p w14:paraId="2320EED5">
      <w:pPr>
        <w:pStyle w:val="28"/>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cs="宋体"/>
          <w:sz w:val="21"/>
          <w:szCs w:val="21"/>
          <w:highlight w:val="none"/>
          <w:lang w:val="zh-CN"/>
        </w:rPr>
        <w:t>交货</w:t>
      </w:r>
      <w:r>
        <w:rPr>
          <w:rFonts w:hint="eastAsia" w:ascii="宋体" w:hAnsi="宋体" w:eastAsia="宋体" w:cs="宋体"/>
          <w:sz w:val="21"/>
          <w:szCs w:val="21"/>
          <w:highlight w:val="none"/>
          <w:lang w:val="zh-CN"/>
        </w:rPr>
        <w:t xml:space="preserve">期:自采购人通知供货之日起30天内送货安装调试完毕，验收合格并交付使用。 </w:t>
      </w:r>
    </w:p>
    <w:p w14:paraId="71B40A7B">
      <w:pPr>
        <w:pStyle w:val="28"/>
        <w:keepNext w:val="0"/>
        <w:keepLines w:val="0"/>
        <w:pageBreakBefore w:val="0"/>
        <w:numPr>
          <w:ilvl w:val="0"/>
          <w:numId w:val="2"/>
        </w:numPr>
        <w:kinsoku/>
        <w:wordWrap/>
        <w:overflowPunct/>
        <w:topLinePunct w:val="0"/>
        <w:autoSpaceDE/>
        <w:autoSpaceDN/>
        <w:bidi w:val="0"/>
        <w:spacing w:line="500" w:lineRule="exact"/>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 xml:space="preserve">供应商资格要求 </w:t>
      </w:r>
    </w:p>
    <w:p w14:paraId="3E693A7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1、满足《中华人民共和国政府采购法》第二十二条规定；</w:t>
      </w:r>
    </w:p>
    <w:p w14:paraId="751FE1B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本项目的特定资格要求：</w:t>
      </w:r>
    </w:p>
    <w:p w14:paraId="1A2A730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.1、供应商</w:t>
      </w:r>
      <w:r>
        <w:rPr>
          <w:rFonts w:hint="eastAsia" w:ascii="宋体" w:hAnsi="宋体" w:cs="宋体"/>
          <w:color w:val="000000"/>
          <w:kern w:val="0"/>
          <w:szCs w:val="21"/>
          <w:highlight w:val="none"/>
          <w:lang w:eastAsia="zh-CN"/>
        </w:rPr>
        <w:t>中标后必须在“</w:t>
      </w:r>
      <w:r>
        <w:rPr>
          <w:rFonts w:hint="eastAsia" w:ascii="宋体" w:hAnsi="宋体" w:cs="宋体"/>
          <w:color w:val="000000"/>
          <w:kern w:val="0"/>
          <w:szCs w:val="21"/>
          <w:highlight w:val="none"/>
        </w:rPr>
        <w:t>广西政府采购云平台www.gcy.zfcg.gxzf.gov.cn</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注册</w:t>
      </w:r>
      <w:r>
        <w:rPr>
          <w:rFonts w:hint="eastAsia" w:ascii="宋体" w:hAnsi="宋体" w:cs="宋体"/>
          <w:color w:val="000000"/>
          <w:kern w:val="0"/>
          <w:szCs w:val="21"/>
          <w:highlight w:val="none"/>
          <w:lang w:eastAsia="zh-CN"/>
        </w:rPr>
        <w:t>，入驻“电子卖场</w:t>
      </w:r>
      <w:r>
        <w:rPr>
          <w:rFonts w:hint="eastAsia" w:ascii="宋体" w:hAnsi="宋体" w:cs="宋体"/>
          <w:color w:val="000000"/>
          <w:kern w:val="0"/>
          <w:szCs w:val="21"/>
          <w:highlight w:val="none"/>
          <w:lang w:val="en-US" w:eastAsia="zh-CN"/>
        </w:rPr>
        <w:t>-网上超市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板块</w:t>
      </w:r>
      <w:r>
        <w:rPr>
          <w:rFonts w:hint="eastAsia" w:ascii="宋体" w:hAnsi="宋体" w:cs="宋体"/>
          <w:color w:val="000000"/>
          <w:kern w:val="0"/>
          <w:szCs w:val="21"/>
          <w:highlight w:val="none"/>
        </w:rPr>
        <w:t>。</w:t>
      </w:r>
    </w:p>
    <w:p w14:paraId="2D63FB2E">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A1488E2">
      <w:pPr>
        <w:widowControl/>
        <w:shd w:val="clear" w:color="auto" w:fill="FFFFFF"/>
        <w:spacing w:line="560" w:lineRule="exact"/>
        <w:rPr>
          <w:rFonts w:hint="eastAsia" w:ascii="宋体" w:hAnsi="宋体" w:eastAsia="宋体" w:cs="宋体"/>
          <w:b/>
          <w:bCs/>
          <w:sz w:val="21"/>
          <w:szCs w:val="21"/>
          <w:highlight w:val="none"/>
          <w:lang w:val="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cs="宋体"/>
          <w:b/>
          <w:bCs/>
          <w:sz w:val="21"/>
          <w:szCs w:val="21"/>
          <w:lang w:eastAsia="zh-CN"/>
        </w:rPr>
        <w:t>参数要求</w:t>
      </w:r>
      <w:r>
        <w:rPr>
          <w:rFonts w:hint="eastAsia" w:ascii="宋体" w:hAnsi="宋体" w:eastAsia="宋体" w:cs="宋体"/>
          <w:b/>
          <w:bCs/>
          <w:sz w:val="21"/>
          <w:szCs w:val="21"/>
        </w:rPr>
        <w:t>：货物清单详见</w:t>
      </w:r>
      <w:r>
        <w:rPr>
          <w:rFonts w:hint="eastAsia" w:ascii="宋体" w:hAnsi="宋体" w:cs="宋体"/>
          <w:b/>
          <w:bCs/>
          <w:sz w:val="21"/>
          <w:szCs w:val="21"/>
          <w:lang w:eastAsia="zh-CN"/>
        </w:rPr>
        <w:t>附件</w:t>
      </w:r>
      <w:r>
        <w:rPr>
          <w:rFonts w:hint="eastAsia" w:ascii="宋体" w:hAnsi="宋体" w:cs="宋体"/>
          <w:b/>
          <w:bCs/>
          <w:sz w:val="21"/>
          <w:szCs w:val="21"/>
          <w:lang w:val="en-US" w:eastAsia="zh-CN"/>
        </w:rPr>
        <w:t>2</w:t>
      </w:r>
    </w:p>
    <w:tbl>
      <w:tblPr>
        <w:tblStyle w:val="22"/>
        <w:tblpPr w:leftFromText="180" w:rightFromText="180" w:vertAnchor="text" w:tblpY="1"/>
        <w:tblOverlap w:val="never"/>
        <w:tblW w:w="56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560"/>
        <w:gridCol w:w="508"/>
        <w:gridCol w:w="1349"/>
        <w:gridCol w:w="404"/>
        <w:gridCol w:w="1621"/>
        <w:gridCol w:w="1683"/>
        <w:gridCol w:w="1683"/>
        <w:gridCol w:w="637"/>
      </w:tblGrid>
      <w:tr w14:paraId="66F05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066EFBBA">
            <w:pPr>
              <w:rPr>
                <w:rStyle w:val="44"/>
                <w:rFonts w:hint="eastAsia" w:ascii="宋体" w:hAnsi="宋体" w:cs="宋体"/>
                <w:szCs w:val="21"/>
              </w:rPr>
            </w:pPr>
            <w:r>
              <w:rPr>
                <w:rStyle w:val="44"/>
                <w:rFonts w:hint="eastAsia" w:ascii="宋体" w:hAnsi="宋体" w:cs="宋体"/>
                <w:szCs w:val="21"/>
              </w:rPr>
              <w:t>注：</w:t>
            </w:r>
          </w:p>
          <w:p w14:paraId="4156F1F1">
            <w:pPr>
              <w:numPr>
                <w:ilvl w:val="0"/>
                <w:numId w:val="3"/>
              </w:numPr>
              <w:rPr>
                <w:rStyle w:val="44"/>
                <w:rFonts w:hint="eastAsia" w:ascii="宋体" w:hAnsi="宋体" w:cs="宋体"/>
                <w:szCs w:val="21"/>
              </w:rPr>
            </w:pPr>
            <w:r>
              <w:rPr>
                <w:rStyle w:val="44"/>
                <w:rFonts w:hint="eastAsia" w:ascii="宋体" w:hAnsi="宋体" w:cs="宋体"/>
                <w:szCs w:val="21"/>
              </w:rPr>
              <w:t>本表所有要求均为实质性要求，供应商的任何负偏离响应均视为无效竞标。</w:t>
            </w:r>
          </w:p>
          <w:p w14:paraId="6E5B88B2">
            <w:pPr>
              <w:numPr>
                <w:ilvl w:val="0"/>
                <w:numId w:val="3"/>
              </w:numPr>
              <w:rPr>
                <w:rStyle w:val="44"/>
                <w:rFonts w:hint="eastAsia" w:ascii="宋体" w:hAnsi="宋体" w:cs="宋体"/>
                <w:szCs w:val="21"/>
              </w:rPr>
            </w:pPr>
            <w:r>
              <w:rPr>
                <w:rStyle w:val="44"/>
                <w:rFonts w:hint="eastAsia" w:ascii="宋体" w:hAnsi="宋体" w:cs="宋体"/>
                <w:szCs w:val="21"/>
              </w:rPr>
              <w:t>本表价格单位为人民币元。</w:t>
            </w:r>
          </w:p>
        </w:tc>
      </w:tr>
      <w:tr w14:paraId="5D01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150789F">
            <w:pPr>
              <w:rPr>
                <w:rStyle w:val="44"/>
                <w:rFonts w:hint="eastAsia" w:ascii="宋体" w:hAnsi="宋体" w:cs="宋体"/>
                <w:szCs w:val="21"/>
              </w:rPr>
            </w:pPr>
            <w:r>
              <w:rPr>
                <w:rStyle w:val="44"/>
                <w:rFonts w:hint="eastAsia" w:ascii="宋体" w:hAnsi="宋体" w:cs="宋体"/>
                <w:b/>
                <w:bCs/>
                <w:szCs w:val="21"/>
              </w:rPr>
              <w:t>一、项目要求及技术需求</w:t>
            </w:r>
          </w:p>
        </w:tc>
      </w:tr>
      <w:tr w14:paraId="2DEB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70C57395">
            <w:pPr>
              <w:jc w:val="center"/>
              <w:rPr>
                <w:rStyle w:val="44"/>
                <w:rFonts w:hint="eastAsia" w:ascii="宋体" w:hAnsi="宋体" w:cs="宋体"/>
                <w:szCs w:val="21"/>
                <w:highlight w:val="none"/>
              </w:rPr>
            </w:pPr>
            <w:r>
              <w:rPr>
                <w:rStyle w:val="44"/>
                <w:rFonts w:hint="eastAsia" w:ascii="宋体" w:hAnsi="宋体" w:cs="宋体"/>
                <w:szCs w:val="21"/>
                <w:highlight w:val="none"/>
              </w:rPr>
              <w:t>主材要求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56B57F29">
            <w:pPr>
              <w:rPr>
                <w:rStyle w:val="44"/>
                <w:rFonts w:hint="eastAsia" w:ascii="宋体" w:hAnsi="宋体" w:cs="宋体"/>
                <w:b/>
                <w:bCs/>
                <w:i w:val="0"/>
                <w:iCs w:val="0"/>
                <w:szCs w:val="21"/>
                <w:highlight w:val="none"/>
              </w:rPr>
            </w:pPr>
            <w:r>
              <w:rPr>
                <w:rStyle w:val="44"/>
                <w:rFonts w:hint="eastAsia" w:ascii="宋体" w:hAnsi="宋体" w:cs="宋体"/>
                <w:b/>
                <w:bCs/>
                <w:szCs w:val="21"/>
                <w:highlight w:val="none"/>
              </w:rPr>
              <w:t>1</w:t>
            </w:r>
            <w:r>
              <w:rPr>
                <w:rStyle w:val="44"/>
                <w:rFonts w:hint="eastAsia" w:ascii="宋体" w:hAnsi="宋体" w:cs="宋体"/>
                <w:b/>
                <w:bCs/>
                <w:i w:val="0"/>
                <w:iCs w:val="0"/>
                <w:szCs w:val="21"/>
                <w:highlight w:val="none"/>
              </w:rPr>
              <w:t xml:space="preserve">、中央台、边台、吊柜、承重试剂架的钢材参考品牌：宝钢、鞍钢、首钢、武钢 </w:t>
            </w:r>
          </w:p>
          <w:p w14:paraId="08880066">
            <w:pPr>
              <w:rPr>
                <w:rStyle w:val="44"/>
                <w:rFonts w:hint="eastAsia" w:ascii="宋体" w:hAnsi="宋体" w:cs="宋体"/>
                <w:szCs w:val="21"/>
                <w:highlight w:val="none"/>
              </w:rPr>
            </w:pPr>
            <w:r>
              <w:rPr>
                <w:rStyle w:val="44"/>
                <w:rFonts w:hint="eastAsia" w:ascii="宋体" w:hAnsi="宋体" w:cs="宋体"/>
                <w:b/>
                <w:bCs/>
                <w:i w:val="0"/>
                <w:iCs w:val="0"/>
                <w:szCs w:val="21"/>
                <w:highlight w:val="none"/>
              </w:rPr>
              <w:t>2、中央台、边台的理化板参考品牌：富美家、威盛亚、千思、优盛美、正东威、优臻</w:t>
            </w:r>
          </w:p>
        </w:tc>
      </w:tr>
      <w:tr w14:paraId="3408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16E0DDF0">
            <w:pPr>
              <w:jc w:val="center"/>
              <w:rPr>
                <w:rFonts w:hint="eastAsia" w:ascii="宋体" w:hAnsi="宋体" w:cs="宋体"/>
                <w:szCs w:val="21"/>
              </w:rPr>
            </w:pPr>
            <w:r>
              <w:rPr>
                <w:rStyle w:val="44"/>
                <w:rFonts w:hint="eastAsia" w:ascii="宋体" w:hAnsi="宋体" w:cs="宋体"/>
                <w:szCs w:val="21"/>
              </w:rPr>
              <w:t>项号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597C95B">
            <w:pPr>
              <w:jc w:val="center"/>
              <w:rPr>
                <w:rFonts w:hint="eastAsia" w:ascii="宋体" w:hAnsi="宋体" w:cs="宋体"/>
                <w:szCs w:val="21"/>
              </w:rPr>
            </w:pPr>
            <w:r>
              <w:rPr>
                <w:rStyle w:val="44"/>
                <w:rFonts w:hint="eastAsia" w:ascii="宋体" w:hAnsi="宋体" w:cs="宋体"/>
                <w:szCs w:val="21"/>
              </w:rPr>
              <w:t>货物名称</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86229AC">
            <w:pPr>
              <w:jc w:val="center"/>
              <w:rPr>
                <w:rFonts w:hint="eastAsia" w:ascii="宋体" w:hAnsi="宋体" w:cs="宋体"/>
                <w:szCs w:val="21"/>
              </w:rPr>
            </w:pPr>
            <w:r>
              <w:rPr>
                <w:rStyle w:val="44"/>
                <w:rFonts w:hint="eastAsia" w:ascii="宋体" w:hAnsi="宋体" w:cs="宋体"/>
                <w:szCs w:val="21"/>
              </w:rPr>
              <w:t>品牌</w:t>
            </w:r>
          </w:p>
        </w:tc>
        <w:tc>
          <w:tcPr>
            <w:tcW w:w="925" w:type="pct"/>
            <w:gridSpan w:val="2"/>
            <w:tcBorders>
              <w:top w:val="single" w:color="000000" w:sz="4" w:space="0"/>
              <w:left w:val="single" w:color="000000" w:sz="4" w:space="0"/>
              <w:bottom w:val="single" w:color="000000" w:sz="4" w:space="0"/>
              <w:right w:val="single" w:color="000000" w:sz="4" w:space="0"/>
            </w:tcBorders>
            <w:noWrap w:val="0"/>
            <w:vAlign w:val="center"/>
          </w:tcPr>
          <w:p w14:paraId="24C31D0C">
            <w:pPr>
              <w:jc w:val="center"/>
              <w:rPr>
                <w:rFonts w:hint="eastAsia" w:ascii="宋体" w:hAnsi="宋体" w:cs="宋体"/>
                <w:szCs w:val="21"/>
              </w:rPr>
            </w:pPr>
            <w:r>
              <w:rPr>
                <w:rStyle w:val="44"/>
                <w:rFonts w:hint="eastAsia" w:ascii="宋体" w:hAnsi="宋体" w:cs="宋体"/>
                <w:szCs w:val="21"/>
              </w:rPr>
              <w:t>数量</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1CBD54C2">
            <w:pPr>
              <w:jc w:val="center"/>
              <w:rPr>
                <w:rFonts w:hint="eastAsia" w:ascii="宋体" w:hAnsi="宋体" w:cs="宋体"/>
                <w:szCs w:val="21"/>
              </w:rPr>
            </w:pPr>
            <w:r>
              <w:rPr>
                <w:rStyle w:val="44"/>
                <w:rFonts w:hint="eastAsia" w:ascii="宋体" w:hAnsi="宋体" w:cs="宋体"/>
                <w:szCs w:val="21"/>
              </w:rPr>
              <w:t>单位</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403545A">
            <w:pPr>
              <w:jc w:val="center"/>
              <w:rPr>
                <w:rFonts w:hint="eastAsia" w:ascii="宋体" w:hAnsi="宋体" w:cs="宋体"/>
                <w:szCs w:val="21"/>
              </w:rPr>
            </w:pPr>
            <w:r>
              <w:rPr>
                <w:rStyle w:val="44"/>
                <w:rFonts w:hint="eastAsia" w:ascii="宋体" w:hAnsi="宋体" w:cs="宋体"/>
                <w:szCs w:val="21"/>
              </w:rPr>
              <w:t>单价（元）</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7CE3A2A">
            <w:pPr>
              <w:jc w:val="center"/>
              <w:rPr>
                <w:rFonts w:hint="eastAsia" w:ascii="宋体" w:hAnsi="宋体" w:cs="宋体"/>
                <w:szCs w:val="21"/>
              </w:rPr>
            </w:pPr>
            <w:r>
              <w:rPr>
                <w:rStyle w:val="44"/>
                <w:rFonts w:hint="eastAsia" w:ascii="宋体" w:hAnsi="宋体" w:cs="宋体"/>
                <w:szCs w:val="21"/>
              </w:rPr>
              <w:t>合价（元）</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294C7D">
            <w:pPr>
              <w:jc w:val="center"/>
              <w:rPr>
                <w:rFonts w:hint="eastAsia" w:ascii="宋体" w:hAnsi="宋体" w:cs="宋体"/>
                <w:szCs w:val="21"/>
              </w:rPr>
            </w:pPr>
            <w:r>
              <w:rPr>
                <w:rStyle w:val="44"/>
                <w:rFonts w:hint="eastAsia" w:ascii="宋体" w:hAnsi="宋体" w:cs="宋体"/>
                <w:szCs w:val="21"/>
              </w:rPr>
              <w:t>技术参数及性能（配置）要求</w:t>
            </w:r>
          </w:p>
        </w:tc>
      </w:tr>
      <w:tr w14:paraId="0FB8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976ADA9">
            <w:pPr>
              <w:jc w:val="center"/>
              <w:rPr>
                <w:rStyle w:val="44"/>
                <w:rFonts w:hint="eastAsia" w:ascii="宋体" w:hAnsi="宋体" w:cs="宋体"/>
                <w:szCs w:val="21"/>
              </w:rPr>
            </w:pPr>
            <w:r>
              <w:rPr>
                <w:rStyle w:val="44"/>
                <w:rFonts w:hint="eastAsia" w:ascii="宋体" w:hAnsi="宋体" w:cs="宋体"/>
                <w:szCs w:val="21"/>
              </w:rPr>
              <w:t>详见货物清单</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BAA8AE5">
            <w:pPr>
              <w:jc w:val="center"/>
            </w:pPr>
            <w:r>
              <w:rPr>
                <w:rStyle w:val="44"/>
                <w:rFonts w:hint="eastAsia" w:ascii="宋体" w:hAnsi="宋体" w:cs="宋体"/>
                <w:szCs w:val="21"/>
              </w:rPr>
              <w:t>详见货物清单</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40B3B25">
            <w:pPr>
              <w:jc w:val="center"/>
            </w:pPr>
            <w:r>
              <w:rPr>
                <w:rStyle w:val="44"/>
                <w:rFonts w:hint="eastAsia" w:ascii="宋体" w:hAnsi="宋体" w:cs="宋体"/>
                <w:szCs w:val="21"/>
              </w:rPr>
              <w:t>详见货物清单</w:t>
            </w:r>
          </w:p>
        </w:tc>
        <w:tc>
          <w:tcPr>
            <w:tcW w:w="925" w:type="pct"/>
            <w:gridSpan w:val="2"/>
            <w:tcBorders>
              <w:top w:val="single" w:color="000000" w:sz="4" w:space="0"/>
              <w:left w:val="single" w:color="000000" w:sz="4" w:space="0"/>
              <w:bottom w:val="single" w:color="000000" w:sz="4" w:space="0"/>
              <w:right w:val="single" w:color="000000" w:sz="4" w:space="0"/>
            </w:tcBorders>
            <w:noWrap w:val="0"/>
            <w:vAlign w:val="center"/>
          </w:tcPr>
          <w:p w14:paraId="72F189A0">
            <w:pPr>
              <w:jc w:val="center"/>
            </w:pPr>
            <w:r>
              <w:rPr>
                <w:rStyle w:val="44"/>
                <w:rFonts w:hint="eastAsia" w:ascii="宋体" w:hAnsi="宋体" w:cs="宋体"/>
                <w:szCs w:val="21"/>
              </w:rPr>
              <w:t>详见货物清单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4AE57CD0">
            <w:pPr>
              <w:jc w:val="center"/>
            </w:pPr>
            <w:r>
              <w:rPr>
                <w:rStyle w:val="44"/>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603A0393">
            <w:pPr>
              <w:jc w:val="center"/>
            </w:pPr>
            <w:r>
              <w:rPr>
                <w:rStyle w:val="44"/>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5C910FFC">
            <w:pPr>
              <w:jc w:val="center"/>
            </w:pPr>
            <w:r>
              <w:rPr>
                <w:rStyle w:val="44"/>
                <w:rFonts w:hint="eastAsia" w:ascii="宋体" w:hAnsi="宋体" w:cs="宋体"/>
                <w:szCs w:val="21"/>
              </w:rPr>
              <w:t>详见货物清单</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FB35E1">
            <w:pPr>
              <w:jc w:val="center"/>
            </w:pPr>
            <w:r>
              <w:rPr>
                <w:rStyle w:val="44"/>
                <w:rFonts w:hint="eastAsia" w:ascii="宋体" w:hAnsi="宋体" w:cs="宋体"/>
                <w:szCs w:val="21"/>
              </w:rPr>
              <w:t>详见货物清单</w:t>
            </w:r>
          </w:p>
        </w:tc>
      </w:tr>
      <w:tr w14:paraId="26041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18" w:type="pct"/>
            <w:gridSpan w:val="4"/>
            <w:tcBorders>
              <w:top w:val="single" w:color="000000" w:sz="4" w:space="0"/>
              <w:left w:val="single" w:color="000000" w:sz="4" w:space="0"/>
              <w:bottom w:val="single" w:color="000000" w:sz="4" w:space="0"/>
              <w:right w:val="single" w:color="000000" w:sz="4" w:space="0"/>
            </w:tcBorders>
            <w:noWrap w:val="0"/>
            <w:vAlign w:val="center"/>
          </w:tcPr>
          <w:p w14:paraId="40C6A199">
            <w:pPr>
              <w:jc w:val="center"/>
              <w:textAlignment w:val="center"/>
              <w:rPr>
                <w:rFonts w:hint="eastAsia"/>
                <w:b/>
              </w:rPr>
            </w:pPr>
            <w:r>
              <w:rPr>
                <w:rFonts w:hint="eastAsia"/>
                <w:b/>
              </w:rPr>
              <w:t>总价</w:t>
            </w:r>
          </w:p>
        </w:tc>
        <w:tc>
          <w:tcPr>
            <w:tcW w:w="3181" w:type="pct"/>
            <w:gridSpan w:val="5"/>
            <w:tcBorders>
              <w:top w:val="single" w:color="000000" w:sz="4" w:space="0"/>
              <w:left w:val="single" w:color="000000" w:sz="4" w:space="0"/>
              <w:bottom w:val="single" w:color="000000" w:sz="4" w:space="0"/>
              <w:right w:val="single" w:color="000000" w:sz="4" w:space="0"/>
            </w:tcBorders>
            <w:noWrap w:val="0"/>
            <w:vAlign w:val="center"/>
          </w:tcPr>
          <w:p w14:paraId="1F8295B9">
            <w:pPr>
              <w:jc w:val="center"/>
              <w:textAlignment w:val="center"/>
              <w:rPr>
                <w:b/>
              </w:rPr>
            </w:pPr>
            <w:r>
              <w:rPr>
                <w:rFonts w:hint="eastAsia"/>
                <w:b/>
              </w:rPr>
              <w:t>250065元</w:t>
            </w:r>
          </w:p>
        </w:tc>
      </w:tr>
      <w:tr w14:paraId="6E99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EFB7589">
            <w:pPr>
              <w:rPr>
                <w:rStyle w:val="44"/>
                <w:rFonts w:hint="eastAsia" w:ascii="宋体" w:hAnsi="宋体" w:cs="宋体"/>
                <w:szCs w:val="21"/>
              </w:rPr>
            </w:pPr>
            <w:r>
              <w:rPr>
                <w:rStyle w:val="44"/>
                <w:rFonts w:hint="eastAsia" w:ascii="宋体" w:hAnsi="宋体" w:cs="宋体"/>
                <w:b/>
                <w:bCs/>
                <w:szCs w:val="21"/>
              </w:rPr>
              <w:t>二、商务要求</w:t>
            </w:r>
          </w:p>
        </w:tc>
      </w:tr>
      <w:tr w14:paraId="2573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053189F4">
            <w:pPr>
              <w:rPr>
                <w:rStyle w:val="44"/>
                <w:rFonts w:hint="eastAsia" w:ascii="宋体" w:hAnsi="宋体" w:cs="宋体"/>
                <w:szCs w:val="21"/>
              </w:rPr>
            </w:pPr>
            <w:r>
              <w:rPr>
                <w:rStyle w:val="44"/>
                <w:rFonts w:hint="eastAsia" w:ascii="宋体" w:hAnsi="宋体" w:cs="宋体"/>
                <w:szCs w:val="21"/>
              </w:rPr>
              <w:t>竞标报价要求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9922DFF">
            <w:pPr>
              <w:rPr>
                <w:rFonts w:hint="eastAsia"/>
              </w:rPr>
            </w:pPr>
            <w:r>
              <w:rPr>
                <w:rFonts w:hint="eastAsia"/>
              </w:rPr>
              <w:t>本项目为交钥匙工程，实行总承包报价；包括货物及配套的安装工程、服务采购、标准附件、备品备件、专用工具、软件提供、辅材、耗材、运输、保管、设计、开发、施工、安装、调试、验收、培训等各种费用和售后服务、税金及其它所有成本费用的总和。</w:t>
            </w:r>
          </w:p>
          <w:p w14:paraId="0BAF9C36">
            <w:pPr>
              <w:rPr>
                <w:rFonts w:hint="eastAsia"/>
                <w:highlight w:val="none"/>
              </w:rPr>
            </w:pPr>
            <w:r>
              <w:rPr>
                <w:rFonts w:hint="eastAsia"/>
              </w:rPr>
              <w:t>注：</w:t>
            </w:r>
          </w:p>
          <w:p w14:paraId="2EC487A4">
            <w:pPr>
              <w:rPr>
                <w:rFonts w:hint="eastAsia"/>
                <w:highlight w:val="none"/>
              </w:rPr>
            </w:pPr>
            <w:r>
              <w:rPr>
                <w:rFonts w:hint="eastAsia"/>
                <w:highlight w:val="none"/>
              </w:rPr>
              <w:t>（1）</w:t>
            </w:r>
            <w:r>
              <w:rPr>
                <w:rFonts w:hint="eastAsia"/>
                <w:highlight w:val="none"/>
                <w:lang w:eastAsia="zh-CN"/>
              </w:rPr>
              <w:t>供应商</w:t>
            </w:r>
            <w:r>
              <w:rPr>
                <w:rFonts w:hint="eastAsia"/>
                <w:highlight w:val="none"/>
              </w:rPr>
              <w:t>自行考虑完成项目所需的辅材、杂配件等数量，投标报价中应包含全部内容，成交后采购人不再另行支付额外费用。</w:t>
            </w:r>
          </w:p>
          <w:p w14:paraId="4BFCAF4E">
            <w:pPr>
              <w:rPr>
                <w:rFonts w:hint="eastAsia"/>
              </w:rPr>
            </w:pPr>
            <w:r>
              <w:rPr>
                <w:rFonts w:hint="eastAsia"/>
                <w:highlight w:val="none"/>
              </w:rPr>
              <w:t>（2）</w:t>
            </w:r>
            <w:r>
              <w:rPr>
                <w:rFonts w:hint="eastAsia"/>
                <w:highlight w:val="none"/>
                <w:lang w:eastAsia="zh-CN"/>
              </w:rPr>
              <w:t>供应商</w:t>
            </w:r>
            <w:r>
              <w:rPr>
                <w:rFonts w:hint="eastAsia"/>
                <w:highlight w:val="none"/>
              </w:rPr>
              <w:t>的投标总报价≤采购预算。</w:t>
            </w:r>
          </w:p>
        </w:tc>
      </w:tr>
      <w:tr w14:paraId="7EC2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1710F8AA">
            <w:pPr>
              <w:rPr>
                <w:rStyle w:val="44"/>
                <w:rFonts w:hint="eastAsia" w:ascii="宋体" w:hAnsi="宋体" w:cs="宋体"/>
                <w:szCs w:val="21"/>
              </w:rPr>
            </w:pPr>
            <w:r>
              <w:rPr>
                <w:rStyle w:val="44"/>
                <w:rFonts w:hint="eastAsia" w:ascii="宋体" w:hAnsi="宋体" w:cs="宋体"/>
                <w:szCs w:val="21"/>
              </w:rPr>
              <w:t>交付使用期及交货地点</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42C55BB">
            <w:pPr>
              <w:rPr>
                <w:rStyle w:val="44"/>
                <w:rFonts w:hint="eastAsia" w:ascii="宋体" w:hAnsi="宋体" w:cs="宋体"/>
                <w:szCs w:val="21"/>
                <w:highlight w:val="none"/>
              </w:rPr>
            </w:pPr>
            <w:r>
              <w:rPr>
                <w:rStyle w:val="44"/>
                <w:rFonts w:hint="eastAsia" w:ascii="宋体" w:hAnsi="宋体" w:cs="宋体"/>
                <w:szCs w:val="21"/>
              </w:rPr>
              <w:t>1）交付使用期：</w:t>
            </w:r>
            <w:r>
              <w:rPr>
                <w:rFonts w:hint="eastAsia" w:ascii="宋体" w:hAnsi="宋体" w:cs="宋体"/>
                <w:szCs w:val="21"/>
              </w:rPr>
              <w:t>自采购人通知</w:t>
            </w:r>
            <w:r>
              <w:rPr>
                <w:rFonts w:hint="eastAsia" w:ascii="宋体" w:hAnsi="宋体" w:cs="宋体"/>
                <w:szCs w:val="21"/>
                <w:highlight w:val="none"/>
              </w:rPr>
              <w:t>供货之日起</w:t>
            </w:r>
            <w:r>
              <w:rPr>
                <w:rStyle w:val="44"/>
                <w:rFonts w:hint="eastAsia" w:ascii="宋体" w:hAnsi="宋体" w:cs="宋体"/>
                <w:szCs w:val="21"/>
                <w:highlight w:val="none"/>
              </w:rPr>
              <w:t>30天内送货安装调试完毕，验收合格并交付使用。</w:t>
            </w:r>
          </w:p>
          <w:p w14:paraId="047FA11E">
            <w:pPr>
              <w:rPr>
                <w:rStyle w:val="44"/>
                <w:rFonts w:hint="eastAsia" w:ascii="宋体" w:hAnsi="宋体" w:cs="宋体"/>
                <w:szCs w:val="21"/>
                <w:highlight w:val="none"/>
              </w:rPr>
            </w:pPr>
            <w:r>
              <w:rPr>
                <w:rStyle w:val="44"/>
                <w:rFonts w:hint="eastAsia" w:ascii="宋体" w:hAnsi="宋体" w:cs="宋体"/>
                <w:szCs w:val="21"/>
                <w:highlight w:val="none"/>
              </w:rPr>
              <w:t>2）交货地点：采购人指定地点。</w:t>
            </w:r>
          </w:p>
          <w:p w14:paraId="65EEA66D">
            <w:pPr>
              <w:pStyle w:val="3"/>
              <w:jc w:val="left"/>
              <w:rPr>
                <w:rFonts w:hint="eastAsia"/>
              </w:rPr>
            </w:pPr>
            <w:r>
              <w:rPr>
                <w:rStyle w:val="44"/>
                <w:rFonts w:hint="eastAsia" w:ascii="宋体" w:hAnsi="宋体" w:eastAsia="宋体" w:cs="宋体"/>
                <w:kern w:val="2"/>
                <w:sz w:val="21"/>
                <w:szCs w:val="21"/>
                <w:lang w:val="en-US" w:eastAsia="zh-CN" w:bidi="ar-SA"/>
              </w:rPr>
              <w:t>3）</w:t>
            </w:r>
            <w:r>
              <w:rPr>
                <w:rStyle w:val="44"/>
                <w:rFonts w:hint="eastAsia" w:ascii="宋体" w:hAnsi="宋体" w:cs="宋体"/>
                <w:kern w:val="2"/>
                <w:sz w:val="21"/>
                <w:szCs w:val="21"/>
                <w:lang w:val="en-US" w:eastAsia="zh-CN" w:bidi="ar-SA"/>
              </w:rPr>
              <w:t>供应商</w:t>
            </w:r>
            <w:r>
              <w:rPr>
                <w:rStyle w:val="44"/>
                <w:rFonts w:hint="eastAsia" w:ascii="宋体" w:hAnsi="宋体" w:eastAsia="宋体" w:cs="宋体"/>
                <w:kern w:val="2"/>
                <w:sz w:val="21"/>
                <w:szCs w:val="21"/>
                <w:lang w:val="en-US" w:eastAsia="zh-CN" w:bidi="ar-SA"/>
              </w:rPr>
              <w:t>逾期交付货物的，每逾期一日，应按合同金额总额的1%，向采购人支付违约金。逾期超过约定日期 10 天不能交货的，甲方有权解除本合同，并要求</w:t>
            </w:r>
            <w:r>
              <w:rPr>
                <w:rStyle w:val="44"/>
                <w:rFonts w:hint="eastAsia" w:ascii="宋体" w:hAnsi="宋体" w:cs="宋体"/>
                <w:kern w:val="2"/>
                <w:sz w:val="21"/>
                <w:szCs w:val="21"/>
                <w:lang w:val="en-US" w:eastAsia="zh-CN" w:bidi="ar-SA"/>
              </w:rPr>
              <w:t>供应商</w:t>
            </w:r>
            <w:r>
              <w:rPr>
                <w:rStyle w:val="44"/>
                <w:rFonts w:hint="eastAsia" w:ascii="宋体" w:hAnsi="宋体" w:eastAsia="宋体" w:cs="宋体"/>
                <w:kern w:val="2"/>
                <w:sz w:val="21"/>
                <w:szCs w:val="21"/>
                <w:lang w:val="en-US" w:eastAsia="zh-CN" w:bidi="ar-SA"/>
              </w:rPr>
              <w:t>支付合同金额20 %的违约金。</w:t>
            </w:r>
          </w:p>
        </w:tc>
      </w:tr>
      <w:tr w14:paraId="3F5A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D6659E">
            <w:pPr>
              <w:rPr>
                <w:rStyle w:val="44"/>
                <w:rFonts w:hint="eastAsia" w:ascii="宋体" w:hAnsi="宋体" w:cs="宋体"/>
                <w:szCs w:val="21"/>
              </w:rPr>
            </w:pPr>
            <w:r>
              <w:rPr>
                <w:rStyle w:val="44"/>
                <w:rFonts w:hint="eastAsia" w:ascii="宋体" w:hAnsi="宋体" w:cs="宋体"/>
                <w:szCs w:val="21"/>
              </w:rPr>
              <w:t>质保期</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B74220F">
            <w:pPr>
              <w:rPr>
                <w:rStyle w:val="44"/>
                <w:rFonts w:hint="eastAsia" w:ascii="宋体" w:hAnsi="宋体" w:cs="宋体"/>
                <w:szCs w:val="21"/>
              </w:rPr>
            </w:pPr>
            <w:r>
              <w:rPr>
                <w:rStyle w:val="44"/>
                <w:rFonts w:hint="eastAsia" w:ascii="宋体" w:hAnsi="宋体" w:cs="宋体"/>
                <w:szCs w:val="21"/>
              </w:rPr>
              <w:t>1）自交货并验收合格之日起3年，若厂家免费质保期超过此年限的，按厂家规定执行，并提供终身维护支持。</w:t>
            </w:r>
          </w:p>
          <w:p w14:paraId="04EDCBF4">
            <w:pPr>
              <w:rPr>
                <w:rStyle w:val="44"/>
                <w:rFonts w:hint="eastAsia" w:ascii="宋体" w:hAnsi="宋体" w:cs="宋体"/>
                <w:szCs w:val="21"/>
              </w:rPr>
            </w:pPr>
            <w:r>
              <w:rPr>
                <w:rStyle w:val="44"/>
                <w:rFonts w:hint="eastAsia" w:ascii="宋体" w:hAnsi="宋体" w:cs="宋体"/>
                <w:szCs w:val="21"/>
              </w:rPr>
              <w:t>2）如“技术参数及性能（配置）要求”中有特殊要求的，按特殊要求。</w:t>
            </w:r>
          </w:p>
          <w:p w14:paraId="1D98EC22">
            <w:pPr>
              <w:rPr>
                <w:rStyle w:val="44"/>
                <w:rFonts w:hint="eastAsia" w:ascii="宋体" w:hAnsi="宋体" w:cs="宋体"/>
              </w:rPr>
            </w:pPr>
            <w:r>
              <w:rPr>
                <w:rStyle w:val="44"/>
                <w:rFonts w:hint="eastAsia" w:ascii="宋体" w:hAnsi="宋体" w:cs="宋体"/>
                <w:szCs w:val="21"/>
              </w:rPr>
              <w:t>3）按照国家有关规定实行“三包”，在规定的保修期内，凡货物质量事故和质量缺陷由成交供应商无偿保修。</w:t>
            </w:r>
          </w:p>
        </w:tc>
      </w:tr>
      <w:tr w14:paraId="0528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AFA9F">
            <w:pPr>
              <w:rPr>
                <w:rStyle w:val="44"/>
                <w:rFonts w:hint="eastAsia" w:ascii="宋体" w:hAnsi="宋体" w:cs="宋体"/>
                <w:szCs w:val="21"/>
              </w:rPr>
            </w:pPr>
            <w:r>
              <w:rPr>
                <w:rStyle w:val="44"/>
                <w:rFonts w:hint="eastAsia" w:ascii="宋体" w:hAnsi="宋体" w:cs="宋体"/>
                <w:szCs w:val="21"/>
              </w:rPr>
              <w:t>样品要求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02D41DB1">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w:t>
            </w:r>
            <w:r>
              <w:rPr>
                <w:rFonts w:hint="eastAsia"/>
                <w:highlight w:val="none"/>
                <w:lang w:eastAsia="zh-CN"/>
              </w:rPr>
              <w:t>中标人样品不退，</w:t>
            </w:r>
            <w:r>
              <w:rPr>
                <w:rFonts w:hint="eastAsia" w:ascii="宋体" w:hAnsi="宋体"/>
                <w:szCs w:val="21"/>
                <w:highlight w:val="none"/>
              </w:rPr>
              <w:t>作为验收依据之一。</w:t>
            </w:r>
          </w:p>
          <w:tbl>
            <w:tblPr>
              <w:tblStyle w:val="22"/>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140"/>
              <w:gridCol w:w="851"/>
              <w:gridCol w:w="2835"/>
              <w:gridCol w:w="2092"/>
            </w:tblGrid>
            <w:tr w14:paraId="3BA7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29" w:type="dxa"/>
                  <w:noWrap w:val="0"/>
                  <w:vAlign w:val="center"/>
                </w:tcPr>
                <w:p w14:paraId="020BBFDA">
                  <w:pPr>
                    <w:spacing w:line="320" w:lineRule="exact"/>
                    <w:jc w:val="center"/>
                    <w:rPr>
                      <w:rFonts w:ascii="宋体" w:hAnsi="宋体"/>
                      <w:szCs w:val="21"/>
                      <w:highlight w:val="none"/>
                    </w:rPr>
                  </w:pPr>
                  <w:r>
                    <w:rPr>
                      <w:rFonts w:hint="eastAsia" w:ascii="宋体" w:hAnsi="宋体"/>
                      <w:szCs w:val="21"/>
                      <w:highlight w:val="none"/>
                    </w:rPr>
                    <w:t>项号</w:t>
                  </w:r>
                </w:p>
              </w:tc>
              <w:tc>
                <w:tcPr>
                  <w:tcW w:w="1140" w:type="dxa"/>
                  <w:noWrap w:val="0"/>
                  <w:vAlign w:val="center"/>
                </w:tcPr>
                <w:p w14:paraId="0267DB30">
                  <w:pPr>
                    <w:jc w:val="center"/>
                    <w:rPr>
                      <w:szCs w:val="21"/>
                      <w:highlight w:val="none"/>
                    </w:rPr>
                  </w:pPr>
                  <w:r>
                    <w:rPr>
                      <w:rFonts w:hint="eastAsia"/>
                      <w:szCs w:val="21"/>
                      <w:highlight w:val="none"/>
                    </w:rPr>
                    <w:t>小样名称</w:t>
                  </w:r>
                </w:p>
              </w:tc>
              <w:tc>
                <w:tcPr>
                  <w:tcW w:w="851" w:type="dxa"/>
                  <w:noWrap w:val="0"/>
                  <w:vAlign w:val="center"/>
                </w:tcPr>
                <w:p w14:paraId="69778D98">
                  <w:pPr>
                    <w:jc w:val="center"/>
                    <w:rPr>
                      <w:szCs w:val="21"/>
                      <w:highlight w:val="none"/>
                    </w:rPr>
                  </w:pPr>
                  <w:r>
                    <w:rPr>
                      <w:rFonts w:hint="eastAsia"/>
                      <w:szCs w:val="21"/>
                      <w:highlight w:val="none"/>
                    </w:rPr>
                    <w:t>数量</w:t>
                  </w:r>
                </w:p>
              </w:tc>
              <w:tc>
                <w:tcPr>
                  <w:tcW w:w="2835" w:type="dxa"/>
                  <w:noWrap w:val="0"/>
                  <w:vAlign w:val="center"/>
                </w:tcPr>
                <w:p w14:paraId="03218FAA">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2092" w:type="dxa"/>
                  <w:noWrap w:val="0"/>
                  <w:vAlign w:val="center"/>
                </w:tcPr>
                <w:p w14:paraId="7E2A51FC">
                  <w:pPr>
                    <w:jc w:val="center"/>
                    <w:rPr>
                      <w:szCs w:val="21"/>
                      <w:highlight w:val="none"/>
                    </w:rPr>
                  </w:pPr>
                  <w:r>
                    <w:rPr>
                      <w:rFonts w:hint="eastAsia"/>
                      <w:szCs w:val="21"/>
                      <w:highlight w:val="none"/>
                    </w:rPr>
                    <w:t>备注</w:t>
                  </w:r>
                </w:p>
              </w:tc>
            </w:tr>
            <w:tr w14:paraId="483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BBC36E2">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3F1E9E73">
                  <w:pPr>
                    <w:jc w:val="center"/>
                    <w:rPr>
                      <w:rFonts w:hint="eastAsia" w:ascii="宋体" w:hAnsi="宋体"/>
                      <w:szCs w:val="21"/>
                      <w:highlight w:val="none"/>
                    </w:rPr>
                  </w:pPr>
                  <w:r>
                    <w:rPr>
                      <w:rFonts w:hint="eastAsia" w:ascii="宋体" w:hAnsi="宋体"/>
                      <w:szCs w:val="21"/>
                      <w:highlight w:val="none"/>
                    </w:rPr>
                    <w:t>理化板</w:t>
                  </w:r>
                </w:p>
              </w:tc>
              <w:tc>
                <w:tcPr>
                  <w:tcW w:w="851" w:type="dxa"/>
                  <w:noWrap w:val="0"/>
                  <w:vAlign w:val="center"/>
                </w:tcPr>
                <w:p w14:paraId="77C03575">
                  <w:pPr>
                    <w:jc w:val="center"/>
                    <w:rPr>
                      <w:rFonts w:hint="eastAsia" w:ascii="宋体" w:hAnsi="宋体"/>
                      <w:szCs w:val="21"/>
                      <w:highlight w:val="none"/>
                    </w:rPr>
                  </w:pPr>
                  <w:r>
                    <w:rPr>
                      <w:rFonts w:hint="eastAsia" w:ascii="宋体" w:hAnsi="宋体"/>
                      <w:szCs w:val="21"/>
                      <w:highlight w:val="none"/>
                    </w:rPr>
                    <w:t>1</w:t>
                  </w:r>
                </w:p>
              </w:tc>
              <w:tc>
                <w:tcPr>
                  <w:tcW w:w="2835" w:type="dxa"/>
                  <w:noWrap w:val="0"/>
                  <w:vAlign w:val="center"/>
                </w:tcPr>
                <w:p w14:paraId="2453CAC9">
                  <w:pPr>
                    <w:jc w:val="center"/>
                    <w:rPr>
                      <w:rFonts w:hint="eastAsia" w:ascii="宋体" w:hAnsi="宋体"/>
                      <w:szCs w:val="21"/>
                      <w:highlight w:val="none"/>
                    </w:rPr>
                  </w:pPr>
                  <w:r>
                    <w:rPr>
                      <w:rFonts w:hint="eastAsia" w:ascii="宋体" w:hAnsi="宋体"/>
                      <w:szCs w:val="21"/>
                      <w:highlight w:val="none"/>
                    </w:rPr>
                    <w:t>约200mm*200mm，厚度≥12.7mm</w:t>
                  </w:r>
                </w:p>
              </w:tc>
              <w:tc>
                <w:tcPr>
                  <w:tcW w:w="2092" w:type="dxa"/>
                  <w:noWrap w:val="0"/>
                  <w:vAlign w:val="center"/>
                </w:tcPr>
                <w:p w14:paraId="0C7C981E">
                  <w:pPr>
                    <w:jc w:val="center"/>
                    <w:rPr>
                      <w:rFonts w:hint="eastAsia"/>
                      <w:szCs w:val="21"/>
                      <w:highlight w:val="none"/>
                    </w:rPr>
                  </w:pPr>
                </w:p>
              </w:tc>
            </w:tr>
            <w:tr w14:paraId="4E0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6BBB424D">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72A12C33">
                  <w:pPr>
                    <w:jc w:val="center"/>
                    <w:rPr>
                      <w:rFonts w:hint="eastAsia" w:ascii="宋体" w:hAnsi="宋体"/>
                      <w:szCs w:val="21"/>
                      <w:highlight w:val="none"/>
                    </w:rPr>
                  </w:pPr>
                  <w:r>
                    <w:rPr>
                      <w:rFonts w:hint="eastAsia" w:ascii="宋体" w:hAnsi="宋体"/>
                      <w:szCs w:val="21"/>
                      <w:highlight w:val="none"/>
                    </w:rPr>
                    <w:t>柜体钢材面板（侧板、底板、背板等）</w:t>
                  </w:r>
                </w:p>
              </w:tc>
              <w:tc>
                <w:tcPr>
                  <w:tcW w:w="851" w:type="dxa"/>
                  <w:noWrap w:val="0"/>
                  <w:vAlign w:val="center"/>
                </w:tcPr>
                <w:p w14:paraId="082CDB4E">
                  <w:pPr>
                    <w:jc w:val="center"/>
                    <w:rPr>
                      <w:highlight w:val="none"/>
                    </w:rPr>
                  </w:pPr>
                  <w:r>
                    <w:rPr>
                      <w:rFonts w:hint="eastAsia" w:ascii="宋体" w:hAnsi="宋体"/>
                      <w:szCs w:val="21"/>
                      <w:highlight w:val="none"/>
                    </w:rPr>
                    <w:t>1</w:t>
                  </w:r>
                </w:p>
              </w:tc>
              <w:tc>
                <w:tcPr>
                  <w:tcW w:w="2835" w:type="dxa"/>
                  <w:noWrap w:val="0"/>
                  <w:vAlign w:val="center"/>
                </w:tcPr>
                <w:p w14:paraId="03FD0D3B">
                  <w:pPr>
                    <w:jc w:val="center"/>
                    <w:rPr>
                      <w:rFonts w:hint="eastAsia" w:ascii="宋体" w:hAnsi="宋体"/>
                      <w:szCs w:val="21"/>
                      <w:highlight w:val="none"/>
                    </w:rPr>
                  </w:pPr>
                  <w:r>
                    <w:rPr>
                      <w:rFonts w:hint="eastAsia" w:ascii="宋体" w:hAnsi="宋体"/>
                      <w:szCs w:val="21"/>
                      <w:highlight w:val="none"/>
                    </w:rPr>
                    <w:t>约200mm*200mm，厚度≥1.0mm</w:t>
                  </w:r>
                </w:p>
              </w:tc>
              <w:tc>
                <w:tcPr>
                  <w:tcW w:w="2092" w:type="dxa"/>
                  <w:noWrap w:val="0"/>
                  <w:vAlign w:val="center"/>
                </w:tcPr>
                <w:p w14:paraId="58ADF1BD">
                  <w:pPr>
                    <w:jc w:val="center"/>
                    <w:rPr>
                      <w:rFonts w:hint="eastAsia"/>
                      <w:szCs w:val="21"/>
                      <w:highlight w:val="none"/>
                    </w:rPr>
                  </w:pPr>
                </w:p>
              </w:tc>
            </w:tr>
            <w:tr w14:paraId="3D8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547BA726">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51269EE3">
                  <w:pPr>
                    <w:jc w:val="center"/>
                    <w:rPr>
                      <w:rFonts w:hint="eastAsia" w:ascii="宋体" w:hAnsi="宋体" w:cs="宋体"/>
                      <w:kern w:val="0"/>
                      <w:szCs w:val="21"/>
                      <w:highlight w:val="none"/>
                    </w:rPr>
                  </w:pPr>
                  <w:r>
                    <w:rPr>
                      <w:rFonts w:hint="eastAsia" w:ascii="宋体" w:hAnsi="宋体" w:cs="宋体"/>
                      <w:kern w:val="0"/>
                      <w:szCs w:val="21"/>
                      <w:highlight w:val="none"/>
                    </w:rPr>
                    <w:t>柜体框架结构管材</w:t>
                  </w:r>
                </w:p>
              </w:tc>
              <w:tc>
                <w:tcPr>
                  <w:tcW w:w="851" w:type="dxa"/>
                  <w:noWrap w:val="0"/>
                  <w:vAlign w:val="center"/>
                </w:tcPr>
                <w:p w14:paraId="221189C2">
                  <w:pPr>
                    <w:jc w:val="center"/>
                    <w:rPr>
                      <w:highlight w:val="none"/>
                    </w:rPr>
                  </w:pPr>
                  <w:r>
                    <w:rPr>
                      <w:rFonts w:hint="eastAsia" w:ascii="宋体" w:hAnsi="宋体"/>
                      <w:szCs w:val="21"/>
                      <w:highlight w:val="none"/>
                    </w:rPr>
                    <w:t>1</w:t>
                  </w:r>
                </w:p>
              </w:tc>
              <w:tc>
                <w:tcPr>
                  <w:tcW w:w="2835" w:type="dxa"/>
                  <w:noWrap w:val="0"/>
                  <w:vAlign w:val="center"/>
                </w:tcPr>
                <w:p w14:paraId="36F4B0FC">
                  <w:pPr>
                    <w:jc w:val="center"/>
                    <w:rPr>
                      <w:rFonts w:hint="eastAsia" w:ascii="宋体" w:hAnsi="宋体"/>
                      <w:szCs w:val="21"/>
                      <w:highlight w:val="none"/>
                    </w:rPr>
                  </w:pPr>
                  <w:r>
                    <w:rPr>
                      <w:rFonts w:hint="eastAsia" w:ascii="宋体" w:hAnsi="宋体"/>
                      <w:szCs w:val="21"/>
                      <w:highlight w:val="none"/>
                    </w:rPr>
                    <w:t xml:space="preserve">约200mm长，截面≥40mm*60mm方钢管（柱），钢管厚度≥1.5mm；                                     </w:t>
                  </w:r>
                </w:p>
              </w:tc>
              <w:tc>
                <w:tcPr>
                  <w:tcW w:w="2092" w:type="dxa"/>
                  <w:noWrap w:val="0"/>
                  <w:vAlign w:val="center"/>
                </w:tcPr>
                <w:p w14:paraId="49C3D05B">
                  <w:pPr>
                    <w:jc w:val="center"/>
                    <w:rPr>
                      <w:rFonts w:hint="eastAsia"/>
                      <w:szCs w:val="21"/>
                      <w:highlight w:val="none"/>
                    </w:rPr>
                  </w:pPr>
                </w:p>
              </w:tc>
            </w:tr>
            <w:tr w14:paraId="39FA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1785E5">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1C91CA60">
                  <w:pPr>
                    <w:jc w:val="center"/>
                    <w:rPr>
                      <w:rFonts w:ascii="宋体" w:hAnsi="宋体" w:cs="宋体"/>
                      <w:kern w:val="0"/>
                      <w:szCs w:val="21"/>
                      <w:highlight w:val="none"/>
                    </w:rPr>
                  </w:pPr>
                  <w:r>
                    <w:rPr>
                      <w:rFonts w:hint="eastAsia" w:ascii="宋体" w:hAnsi="宋体" w:cs="宋体"/>
                      <w:kern w:val="0"/>
                      <w:szCs w:val="21"/>
                      <w:highlight w:val="none"/>
                    </w:rPr>
                    <w:t>试剂架铝型材</w:t>
                  </w:r>
                </w:p>
              </w:tc>
              <w:tc>
                <w:tcPr>
                  <w:tcW w:w="851" w:type="dxa"/>
                  <w:noWrap w:val="0"/>
                  <w:vAlign w:val="center"/>
                </w:tcPr>
                <w:p w14:paraId="4436FE54">
                  <w:pPr>
                    <w:jc w:val="center"/>
                    <w:rPr>
                      <w:highlight w:val="none"/>
                    </w:rPr>
                  </w:pPr>
                  <w:r>
                    <w:rPr>
                      <w:rFonts w:hint="eastAsia" w:ascii="宋体" w:hAnsi="宋体"/>
                      <w:szCs w:val="21"/>
                      <w:highlight w:val="none"/>
                    </w:rPr>
                    <w:t>1</w:t>
                  </w:r>
                </w:p>
              </w:tc>
              <w:tc>
                <w:tcPr>
                  <w:tcW w:w="2835" w:type="dxa"/>
                  <w:noWrap w:val="0"/>
                  <w:vAlign w:val="center"/>
                </w:tcPr>
                <w:p w14:paraId="23793F1D">
                  <w:pPr>
                    <w:jc w:val="center"/>
                    <w:rPr>
                      <w:rFonts w:hint="eastAsia" w:ascii="宋体" w:hAnsi="宋体"/>
                      <w:szCs w:val="21"/>
                      <w:highlight w:val="none"/>
                    </w:rPr>
                  </w:pPr>
                  <w:r>
                    <w:rPr>
                      <w:rFonts w:hint="eastAsia" w:ascii="宋体" w:hAnsi="宋体"/>
                      <w:szCs w:val="21"/>
                      <w:highlight w:val="none"/>
                    </w:rPr>
                    <w:t>约200mm长，立柱截面≥750*92*42mm，厚度≥1.25mm</w:t>
                  </w:r>
                </w:p>
              </w:tc>
              <w:tc>
                <w:tcPr>
                  <w:tcW w:w="2092" w:type="dxa"/>
                  <w:noWrap w:val="0"/>
                  <w:vAlign w:val="center"/>
                </w:tcPr>
                <w:p w14:paraId="5FA44167">
                  <w:pPr>
                    <w:jc w:val="center"/>
                    <w:rPr>
                      <w:rFonts w:hint="eastAsia"/>
                      <w:szCs w:val="21"/>
                      <w:highlight w:val="none"/>
                    </w:rPr>
                  </w:pPr>
                </w:p>
              </w:tc>
            </w:tr>
            <w:tr w14:paraId="6DB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30F885">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019428DF">
                  <w:pPr>
                    <w:jc w:val="center"/>
                    <w:rPr>
                      <w:rFonts w:hint="eastAsia" w:ascii="宋体" w:hAnsi="宋体" w:cs="宋体"/>
                      <w:kern w:val="0"/>
                      <w:szCs w:val="21"/>
                      <w:highlight w:val="none"/>
                    </w:rPr>
                  </w:pPr>
                  <w:r>
                    <w:rPr>
                      <w:rFonts w:hint="eastAsia"/>
                      <w:highlight w:val="none"/>
                    </w:rPr>
                    <w:t>抽屉面板</w:t>
                  </w:r>
                </w:p>
              </w:tc>
              <w:tc>
                <w:tcPr>
                  <w:tcW w:w="851" w:type="dxa"/>
                  <w:noWrap w:val="0"/>
                  <w:vAlign w:val="center"/>
                </w:tcPr>
                <w:p w14:paraId="3A14B758">
                  <w:pPr>
                    <w:jc w:val="center"/>
                    <w:rPr>
                      <w:rFonts w:hint="eastAsia" w:ascii="宋体" w:hAnsi="宋体"/>
                      <w:szCs w:val="21"/>
                      <w:highlight w:val="none"/>
                    </w:rPr>
                  </w:pPr>
                  <w:r>
                    <w:rPr>
                      <w:rFonts w:hint="eastAsia" w:ascii="宋体" w:hAnsi="宋体"/>
                      <w:szCs w:val="21"/>
                      <w:highlight w:val="none"/>
                    </w:rPr>
                    <w:t>1</w:t>
                  </w:r>
                </w:p>
              </w:tc>
              <w:tc>
                <w:tcPr>
                  <w:tcW w:w="2835" w:type="dxa"/>
                  <w:noWrap w:val="0"/>
                  <w:vAlign w:val="center"/>
                </w:tcPr>
                <w:p w14:paraId="737ADA89">
                  <w:pPr>
                    <w:jc w:val="center"/>
                    <w:rPr>
                      <w:rFonts w:hint="eastAsia" w:ascii="宋体" w:hAnsi="宋体"/>
                      <w:szCs w:val="21"/>
                      <w:highlight w:val="none"/>
                    </w:rPr>
                  </w:pPr>
                  <w:r>
                    <w:rPr>
                      <w:rFonts w:hint="eastAsia" w:ascii="宋体" w:hAnsi="宋体"/>
                      <w:szCs w:val="21"/>
                      <w:highlight w:val="none"/>
                    </w:rPr>
                    <w:t>约200mm*200mm，厚度 20mm（±2），双层钢板（厚度≥1.0mm）构造</w:t>
                  </w:r>
                </w:p>
              </w:tc>
              <w:tc>
                <w:tcPr>
                  <w:tcW w:w="2092" w:type="dxa"/>
                  <w:noWrap w:val="0"/>
                  <w:vAlign w:val="center"/>
                </w:tcPr>
                <w:p w14:paraId="240CB4F8">
                  <w:pPr>
                    <w:jc w:val="center"/>
                    <w:rPr>
                      <w:rFonts w:hint="eastAsia"/>
                      <w:szCs w:val="21"/>
                      <w:highlight w:val="none"/>
                    </w:rPr>
                  </w:pPr>
                </w:p>
              </w:tc>
            </w:tr>
          </w:tbl>
          <w:p w14:paraId="140CA63B">
            <w:pPr>
              <w:rPr>
                <w:rStyle w:val="44"/>
                <w:rFonts w:hint="eastAsia" w:ascii="宋体" w:hAnsi="宋体" w:cs="宋体"/>
                <w:szCs w:val="21"/>
                <w:highlight w:val="none"/>
              </w:rPr>
            </w:pPr>
          </w:p>
        </w:tc>
      </w:tr>
      <w:tr w14:paraId="480B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0BA49B99">
            <w:pPr>
              <w:rPr>
                <w:rStyle w:val="44"/>
                <w:rFonts w:hint="eastAsia" w:ascii="宋体" w:hAnsi="宋体" w:cs="宋体"/>
                <w:szCs w:val="21"/>
              </w:rPr>
            </w:pPr>
            <w:r>
              <w:rPr>
                <w:rStyle w:val="44"/>
                <w:rFonts w:hint="eastAsia" w:ascii="宋体" w:hAnsi="宋体" w:cs="宋体"/>
                <w:szCs w:val="21"/>
              </w:rPr>
              <w:t>验收标准</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FC4D6C3">
            <w:pPr>
              <w:adjustRightInd w:val="0"/>
              <w:snapToGrid w:val="0"/>
              <w:spacing w:before="152" w:after="160"/>
              <w:jc w:val="left"/>
              <w:rPr>
                <w:rFonts w:hint="eastAsia" w:ascii="宋体" w:hAnsi="宋体"/>
                <w:szCs w:val="21"/>
                <w:highlight w:val="none"/>
              </w:rPr>
            </w:pPr>
            <w:r>
              <w:rPr>
                <w:rFonts w:hint="eastAsia" w:hAnsi="宋体"/>
                <w:szCs w:val="21"/>
                <w:highlight w:val="none"/>
              </w:rPr>
              <w:t>（1）</w:t>
            </w:r>
            <w:r>
              <w:rPr>
                <w:rFonts w:hint="eastAsia" w:hAnsi="宋体"/>
                <w:szCs w:val="21"/>
                <w:highlight w:val="none"/>
                <w:lang w:eastAsia="zh-CN"/>
              </w:rPr>
              <w:t>供应商</w:t>
            </w:r>
            <w:r>
              <w:rPr>
                <w:rFonts w:hint="eastAsia" w:hAnsi="宋体"/>
                <w:szCs w:val="21"/>
                <w:highlight w:val="none"/>
              </w:rPr>
              <w:t>须按规定时间交货安装完毕，采购单位可聘请具有验收能力的检测部门进行验收，验收不合格按照政府采购法及相关规定执行</w:t>
            </w:r>
            <w:r>
              <w:rPr>
                <w:rFonts w:hint="eastAsia" w:hAnsi="宋体" w:cs="Segoe UI Symbol"/>
                <w:szCs w:val="21"/>
                <w:highlight w:val="none"/>
              </w:rPr>
              <w:t>。</w:t>
            </w:r>
            <w:r>
              <w:rPr>
                <w:rFonts w:hint="eastAsia" w:hAnsi="宋体"/>
                <w:szCs w:val="21"/>
                <w:highlight w:val="none"/>
                <w:lang w:eastAsia="zh-CN"/>
              </w:rPr>
              <w:t>供应商</w:t>
            </w:r>
            <w:r>
              <w:rPr>
                <w:rFonts w:hint="eastAsia" w:hAnsi="宋体"/>
                <w:szCs w:val="21"/>
                <w:highlight w:val="none"/>
              </w:rPr>
              <w:t>提供的</w:t>
            </w:r>
            <w:r>
              <w:rPr>
                <w:rFonts w:hint="eastAsia" w:ascii="宋体" w:hAnsi="宋体"/>
                <w:szCs w:val="21"/>
                <w:highlight w:val="none"/>
              </w:rPr>
              <w:t>所有小样，作为验收依据之一。</w:t>
            </w:r>
          </w:p>
          <w:p w14:paraId="0750BC45">
            <w:pPr>
              <w:adjustRightInd w:val="0"/>
              <w:snapToGrid w:val="0"/>
              <w:spacing w:before="152" w:after="160"/>
              <w:jc w:val="left"/>
              <w:rPr>
                <w:rFonts w:ascii="宋体" w:hAnsi="宋体"/>
                <w:szCs w:val="21"/>
                <w:highlight w:val="none"/>
              </w:rPr>
            </w:pPr>
            <w:r>
              <w:rPr>
                <w:rFonts w:hint="eastAsia" w:ascii="宋体" w:hAnsi="宋体"/>
                <w:szCs w:val="21"/>
                <w:highlight w:val="none"/>
              </w:rPr>
              <w:t>（2）</w:t>
            </w:r>
            <w:r>
              <w:rPr>
                <w:rFonts w:hint="eastAsia" w:hAnsi="宋体"/>
                <w:szCs w:val="21"/>
                <w:highlight w:val="none"/>
                <w:lang w:eastAsia="zh-CN"/>
              </w:rPr>
              <w:t>供应商</w:t>
            </w:r>
            <w:r>
              <w:rPr>
                <w:rFonts w:hint="eastAsia" w:ascii="宋体" w:hAnsi="宋体"/>
                <w:szCs w:val="21"/>
                <w:highlight w:val="none"/>
              </w:rPr>
              <w:t>在签订合同后需到现场实地勘察，按采购人要求进行深化设计，签订合同后3天内提供详细的设计方案（含家具平面布置方案、产品样式、颜色、规格尺寸等）及项目组织实施方案，经采购人认可同意后方可实施。</w:t>
            </w:r>
          </w:p>
          <w:p w14:paraId="78C84B1A">
            <w:pPr>
              <w:shd w:val="clear" w:color="auto" w:fill="FFFFFF"/>
              <w:jc w:val="left"/>
              <w:rPr>
                <w:rFonts w:hint="eastAsia"/>
                <w:highlight w:val="none"/>
              </w:rPr>
            </w:pPr>
            <w:r>
              <w:rPr>
                <w:rFonts w:hint="eastAsia" w:ascii="宋体" w:hAnsi="宋体"/>
                <w:szCs w:val="21"/>
                <w:highlight w:val="none"/>
              </w:rPr>
              <w:t>（3）在</w:t>
            </w:r>
            <w:r>
              <w:rPr>
                <w:rFonts w:hint="eastAsia" w:hAnsi="宋体"/>
                <w:szCs w:val="21"/>
                <w:highlight w:val="none"/>
                <w:lang w:eastAsia="zh-CN"/>
              </w:rPr>
              <w:t>供应商</w:t>
            </w:r>
            <w:r>
              <w:rPr>
                <w:rFonts w:hint="eastAsia" w:ascii="宋体" w:hAnsi="宋体"/>
                <w:szCs w:val="21"/>
                <w:highlight w:val="none"/>
              </w:rPr>
              <w:t>履行合同期间及在生产制造、外购过程中，采购人可随时到</w:t>
            </w:r>
            <w:r>
              <w:rPr>
                <w:rFonts w:hint="eastAsia" w:hAnsi="宋体"/>
                <w:szCs w:val="21"/>
                <w:highlight w:val="none"/>
                <w:lang w:eastAsia="zh-CN"/>
              </w:rPr>
              <w:t>供应商</w:t>
            </w:r>
            <w:r>
              <w:rPr>
                <w:rFonts w:hint="eastAsia" w:ascii="宋体" w:hAnsi="宋体"/>
                <w:szCs w:val="21"/>
                <w:highlight w:val="none"/>
              </w:rPr>
              <w:t>的厂区及备货现场，对加工、制造、外购等情况进行监管，监管情况将作为交货验收及合同履约的依据。</w:t>
            </w:r>
          </w:p>
        </w:tc>
      </w:tr>
      <w:tr w14:paraId="76F8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EB90D1B">
            <w:pPr>
              <w:rPr>
                <w:rStyle w:val="44"/>
                <w:rFonts w:hint="eastAsia" w:ascii="宋体" w:hAnsi="宋体" w:cs="宋体"/>
                <w:szCs w:val="21"/>
              </w:rPr>
            </w:pPr>
            <w:r>
              <w:rPr>
                <w:rStyle w:val="44"/>
                <w:rFonts w:hint="eastAsia" w:ascii="宋体" w:hAnsi="宋体" w:cs="宋体"/>
                <w:szCs w:val="21"/>
              </w:rPr>
              <w:t>付款方式</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01404828">
            <w:pPr>
              <w:rPr>
                <w:rStyle w:val="44"/>
                <w:rFonts w:hint="eastAsia" w:ascii="宋体" w:hAnsi="宋体" w:cs="宋体"/>
                <w:color w:val="000000"/>
                <w:szCs w:val="21"/>
              </w:rPr>
            </w:pPr>
            <w:r>
              <w:rPr>
                <w:rStyle w:val="44"/>
                <w:rFonts w:hint="eastAsia" w:ascii="宋体" w:hAnsi="宋体" w:cs="宋体"/>
                <w:szCs w:val="21"/>
                <w:lang w:eastAsia="zh-CN"/>
              </w:rPr>
              <w:t>数量为暂定，据实结算，</w:t>
            </w:r>
            <w:r>
              <w:rPr>
                <w:rStyle w:val="44"/>
                <w:rFonts w:hint="eastAsia" w:ascii="宋体" w:hAnsi="宋体" w:cs="宋体"/>
                <w:szCs w:val="21"/>
              </w:rPr>
              <w:t>在成交供应</w:t>
            </w:r>
            <w:r>
              <w:rPr>
                <w:rStyle w:val="44"/>
                <w:rFonts w:hint="eastAsia" w:ascii="宋体" w:hAnsi="宋体" w:cs="宋体"/>
                <w:color w:val="000000"/>
                <w:szCs w:val="21"/>
              </w:rPr>
              <w:t>商完成安装后，通过采购人验收合格，并稳定运行1个月后，</w:t>
            </w:r>
            <w:r>
              <w:rPr>
                <w:rStyle w:val="44"/>
                <w:rFonts w:hint="eastAsia" w:ascii="宋体" w:hAnsi="宋体" w:cs="宋体"/>
                <w:szCs w:val="21"/>
              </w:rPr>
              <w:t>成交供应</w:t>
            </w:r>
            <w:r>
              <w:rPr>
                <w:rStyle w:val="44"/>
                <w:rFonts w:hint="eastAsia" w:ascii="宋体" w:hAnsi="宋体" w:cs="宋体"/>
                <w:color w:val="000000"/>
                <w:szCs w:val="21"/>
              </w:rPr>
              <w:t>商提供付款材料，采购人完成付款审批手续后15个工作日内</w:t>
            </w:r>
            <w:r>
              <w:rPr>
                <w:rStyle w:val="44"/>
                <w:rFonts w:hint="eastAsia" w:ascii="宋体" w:hAnsi="宋体" w:cs="宋体"/>
                <w:color w:val="000000"/>
                <w:szCs w:val="21"/>
                <w:lang w:eastAsia="zh-CN"/>
              </w:rPr>
              <w:t>支付货款</w:t>
            </w:r>
            <w:r>
              <w:rPr>
                <w:rStyle w:val="44"/>
                <w:rFonts w:hint="eastAsia" w:ascii="宋体" w:hAnsi="宋体" w:cs="宋体"/>
                <w:color w:val="000000"/>
                <w:szCs w:val="21"/>
              </w:rPr>
              <w:t>。</w:t>
            </w:r>
          </w:p>
        </w:tc>
      </w:tr>
      <w:tr w14:paraId="77E6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71BC9CE3">
            <w:pPr>
              <w:rPr>
                <w:rStyle w:val="44"/>
                <w:rFonts w:hint="eastAsia" w:ascii="宋体" w:hAnsi="宋体" w:cs="宋体"/>
                <w:szCs w:val="21"/>
              </w:rPr>
            </w:pPr>
            <w:r>
              <w:rPr>
                <w:rFonts w:hint="eastAsia" w:ascii="宋体" w:hAnsi="宋体"/>
                <w:bCs/>
                <w:color w:val="000000"/>
                <w:szCs w:val="21"/>
              </w:rPr>
              <w:t>履约保证金收取与退付</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8DAD462">
            <w:pPr>
              <w:autoSpaceDE w:val="0"/>
              <w:autoSpaceDN w:val="0"/>
              <w:snapToGrid w:val="0"/>
              <w:spacing w:line="400" w:lineRule="exact"/>
              <w:textAlignment w:val="bottom"/>
              <w:rPr>
                <w:rFonts w:hint="eastAsia"/>
              </w:rPr>
            </w:pPr>
            <w:r>
              <w:rPr>
                <w:rFonts w:hint="eastAsia"/>
              </w:rPr>
              <w:t>签订合同前，成交供应商按合同金额的2%向采购人支付履约保证金或银行、担保机构出具的同等额度的履约保函。成交供应商供货并完成安装调试，通过采购人验收合格后，如无质量纠纷，经供应商申请，采购人于三十个工作日内免息退回履约保证金（按合同约定被扣除的除外）。供应商若不能完全履行合同，履约保证金不返还。</w:t>
            </w:r>
          </w:p>
          <w:p w14:paraId="52999A3C">
            <w:pPr>
              <w:autoSpaceDE w:val="0"/>
              <w:autoSpaceDN w:val="0"/>
              <w:snapToGrid w:val="0"/>
              <w:textAlignment w:val="bottom"/>
              <w:rPr>
                <w:rStyle w:val="26"/>
                <w:color w:val="000000"/>
              </w:rPr>
            </w:pPr>
            <w:r>
              <w:rPr>
                <w:rFonts w:hint="eastAsia" w:hAnsi="宋体"/>
                <w:color w:val="000000"/>
              </w:rPr>
              <w:t>履约保证金指定账户：</w:t>
            </w:r>
            <w:r>
              <w:rPr>
                <w:rStyle w:val="26"/>
                <w:color w:val="000000"/>
              </w:rPr>
              <w:t xml:space="preserve"> </w:t>
            </w:r>
          </w:p>
          <w:p w14:paraId="6A2ACB40">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开户名：广西医科大学第一附属医院</w:t>
            </w:r>
          </w:p>
          <w:p w14:paraId="4D6DDE14">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账号：45001604560050501061</w:t>
            </w:r>
          </w:p>
          <w:p w14:paraId="4C42D072">
            <w:pPr>
              <w:pStyle w:val="3"/>
              <w:jc w:val="left"/>
              <w:rPr>
                <w:rFonts w:hint="eastAsia"/>
              </w:rPr>
            </w:pPr>
            <w:r>
              <w:rPr>
                <w:rFonts w:hint="eastAsia" w:ascii="Calibri" w:hAnsi="Calibri" w:eastAsia="宋体" w:cs="Times New Roman"/>
                <w:kern w:val="2"/>
                <w:sz w:val="21"/>
                <w:szCs w:val="22"/>
                <w:lang w:val="en-US" w:eastAsia="zh-CN" w:bidi="ar-SA"/>
              </w:rPr>
              <w:t>开户行：中国建设银行股份有限公司南宁医科大支行</w:t>
            </w:r>
          </w:p>
        </w:tc>
      </w:tr>
      <w:tr w14:paraId="729F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2571CA73">
            <w:pPr>
              <w:rPr>
                <w:rStyle w:val="44"/>
                <w:rFonts w:hint="eastAsia" w:ascii="宋体" w:hAnsi="宋体" w:cs="宋体"/>
                <w:szCs w:val="21"/>
              </w:rPr>
            </w:pPr>
            <w:r>
              <w:rPr>
                <w:rStyle w:val="44"/>
                <w:rFonts w:hint="eastAsia" w:ascii="宋体" w:hAnsi="宋体" w:cs="宋体"/>
                <w:szCs w:val="21"/>
              </w:rPr>
              <w:t>售后服务要求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1C43CA30">
            <w:pPr>
              <w:rPr>
                <w:rStyle w:val="44"/>
                <w:rFonts w:hint="eastAsia" w:ascii="宋体" w:hAnsi="宋体" w:cs="宋体"/>
                <w:szCs w:val="21"/>
              </w:rPr>
            </w:pPr>
            <w:r>
              <w:rPr>
                <w:rStyle w:val="44"/>
                <w:rFonts w:hint="eastAsia" w:ascii="宋体" w:hAnsi="宋体" w:cs="宋体"/>
                <w:szCs w:val="21"/>
              </w:rPr>
              <w:t>1）免费送货上门、安装、调试至正常使用。</w:t>
            </w:r>
          </w:p>
          <w:p w14:paraId="45BD0778">
            <w:pPr>
              <w:rPr>
                <w:rStyle w:val="44"/>
                <w:rFonts w:hint="eastAsia" w:ascii="宋体" w:hAnsi="宋体" w:cs="宋体"/>
                <w:szCs w:val="21"/>
              </w:rPr>
            </w:pPr>
            <w:r>
              <w:rPr>
                <w:rStyle w:val="44"/>
                <w:rFonts w:hint="eastAsia" w:ascii="宋体" w:hAnsi="宋体" w:cs="宋体"/>
                <w:szCs w:val="21"/>
              </w:rPr>
              <w:t>2）成交供应商在质量保证期内应当为采购人提供以下技术支持和服务：</w:t>
            </w:r>
          </w:p>
          <w:p w14:paraId="4EA719AB">
            <w:pPr>
              <w:rPr>
                <w:rStyle w:val="44"/>
                <w:rFonts w:hint="eastAsia" w:ascii="宋体" w:hAnsi="宋体" w:cs="宋体"/>
                <w:szCs w:val="21"/>
              </w:rPr>
            </w:pPr>
            <w:r>
              <w:rPr>
                <w:rStyle w:val="44"/>
                <w:rFonts w:hint="eastAsia" w:ascii="宋体" w:hAnsi="宋体" w:cs="宋体"/>
                <w:szCs w:val="21"/>
              </w:rPr>
              <w:t>2.1 电话咨询</w:t>
            </w:r>
          </w:p>
          <w:p w14:paraId="72745CA1">
            <w:pPr>
              <w:rPr>
                <w:rStyle w:val="44"/>
                <w:rFonts w:hint="eastAsia" w:ascii="宋体" w:hAnsi="宋体" w:cs="宋体"/>
                <w:szCs w:val="21"/>
                <w:highlight w:val="none"/>
              </w:rPr>
            </w:pPr>
            <w:r>
              <w:rPr>
                <w:rStyle w:val="44"/>
                <w:rFonts w:hint="eastAsia" w:ascii="宋体" w:hAnsi="宋体" w:cs="宋体"/>
                <w:szCs w:val="21"/>
              </w:rPr>
              <w:t>成交供应商应当为采购人提供技术援助电话，解答采购人在使用中遇到的问题，及时为采购人提出解决问题</w:t>
            </w:r>
            <w:r>
              <w:rPr>
                <w:rStyle w:val="44"/>
                <w:rFonts w:hint="eastAsia" w:ascii="宋体" w:hAnsi="宋体" w:cs="宋体"/>
                <w:szCs w:val="21"/>
                <w:highlight w:val="none"/>
              </w:rPr>
              <w:t>的建议。</w:t>
            </w:r>
          </w:p>
          <w:p w14:paraId="6843E625">
            <w:pPr>
              <w:rPr>
                <w:rStyle w:val="44"/>
                <w:rFonts w:hint="eastAsia" w:ascii="宋体" w:hAnsi="宋体" w:cs="宋体"/>
                <w:szCs w:val="21"/>
                <w:highlight w:val="none"/>
              </w:rPr>
            </w:pPr>
            <w:r>
              <w:rPr>
                <w:rStyle w:val="44"/>
                <w:rFonts w:hint="eastAsia" w:ascii="宋体" w:hAnsi="宋体" w:cs="宋体"/>
                <w:szCs w:val="21"/>
                <w:highlight w:val="none"/>
              </w:rPr>
              <w:t>2.2 现场响应</w:t>
            </w:r>
          </w:p>
          <w:p w14:paraId="1A395436">
            <w:pPr>
              <w:rPr>
                <w:rStyle w:val="44"/>
                <w:rFonts w:hint="eastAsia" w:ascii="宋体" w:hAnsi="宋体" w:cs="宋体"/>
                <w:szCs w:val="21"/>
                <w:highlight w:val="none"/>
              </w:rPr>
            </w:pPr>
            <w:r>
              <w:rPr>
                <w:rStyle w:val="44"/>
                <w:rFonts w:hint="eastAsia" w:ascii="宋体" w:hAnsi="宋体" w:cs="宋体"/>
                <w:szCs w:val="21"/>
                <w:highlight w:val="none"/>
              </w:rPr>
              <w:t xml:space="preserve">采购人遇到使用或技术问题，电话咨询不能解决的，成交供应商应在接到通知后成交供应商的维修技术人员必须在 </w:t>
            </w:r>
            <w:r>
              <w:rPr>
                <w:rStyle w:val="44"/>
                <w:rFonts w:hint="eastAsia" w:ascii="宋体" w:hAnsi="宋体" w:cs="宋体"/>
                <w:szCs w:val="21"/>
                <w:highlight w:val="none"/>
                <w:lang w:val="en-US" w:eastAsia="zh-CN"/>
              </w:rPr>
              <w:t>1小时</w:t>
            </w:r>
            <w:r>
              <w:rPr>
                <w:rStyle w:val="44"/>
                <w:rFonts w:hint="eastAsia" w:ascii="宋体" w:hAnsi="宋体" w:cs="宋体"/>
                <w:szCs w:val="21"/>
                <w:highlight w:val="none"/>
              </w:rPr>
              <w:t>内响应，2小时内到达现场处理，一般故障处理时限不超过</w:t>
            </w:r>
            <w:r>
              <w:rPr>
                <w:rStyle w:val="44"/>
                <w:rFonts w:hint="eastAsia" w:ascii="宋体" w:hAnsi="宋体" w:cs="宋体"/>
                <w:szCs w:val="21"/>
                <w:highlight w:val="none"/>
                <w:lang w:val="en-US" w:eastAsia="zh-CN"/>
              </w:rPr>
              <w:t>12</w:t>
            </w:r>
            <w:r>
              <w:rPr>
                <w:rStyle w:val="44"/>
                <w:rFonts w:hint="eastAsia" w:ascii="宋体" w:hAnsi="宋体" w:cs="宋体"/>
                <w:szCs w:val="21"/>
                <w:highlight w:val="none"/>
              </w:rPr>
              <w:t>小时，重大故障处理时限不超过24小时修复。未能修复的直接更换，保证采购人正常使用。按国家及行业标准对故障进行及时处理。</w:t>
            </w:r>
          </w:p>
          <w:p w14:paraId="5BC4E265">
            <w:pPr>
              <w:rPr>
                <w:rStyle w:val="44"/>
                <w:rFonts w:hint="eastAsia" w:ascii="宋体" w:hAnsi="宋体" w:cs="宋体"/>
                <w:szCs w:val="21"/>
                <w:highlight w:val="none"/>
              </w:rPr>
            </w:pPr>
            <w:r>
              <w:rPr>
                <w:rStyle w:val="44"/>
                <w:rFonts w:hint="eastAsia" w:ascii="宋体" w:hAnsi="宋体" w:cs="宋体"/>
                <w:szCs w:val="21"/>
                <w:highlight w:val="none"/>
              </w:rPr>
              <w:t>2.3 技术升级</w:t>
            </w:r>
          </w:p>
          <w:p w14:paraId="3A26DCDA">
            <w:pPr>
              <w:rPr>
                <w:rStyle w:val="44"/>
                <w:rFonts w:hint="eastAsia" w:ascii="宋体" w:hAnsi="宋体" w:cs="宋体"/>
                <w:szCs w:val="21"/>
              </w:rPr>
            </w:pPr>
            <w:r>
              <w:rPr>
                <w:rStyle w:val="44"/>
                <w:rFonts w:hint="eastAsia" w:ascii="宋体" w:hAnsi="宋体" w:cs="宋体"/>
                <w:szCs w:val="21"/>
              </w:rPr>
              <w:t>在质保期内，如果成交供应商的产品或服务升级，成交供应商应及时通知采购人，如采购人有相应要求，成交供应商应对采购人购买的产品或服务进行升级。</w:t>
            </w:r>
          </w:p>
          <w:p w14:paraId="380DEA81">
            <w:pPr>
              <w:rPr>
                <w:rStyle w:val="44"/>
                <w:rFonts w:hint="eastAsia" w:ascii="宋体" w:hAnsi="宋体" w:cs="宋体"/>
                <w:szCs w:val="21"/>
              </w:rPr>
            </w:pPr>
            <w:r>
              <w:rPr>
                <w:rStyle w:val="44"/>
                <w:rFonts w:hint="eastAsia" w:ascii="宋体" w:hAnsi="宋体" w:cs="宋体"/>
                <w:szCs w:val="21"/>
              </w:rPr>
              <w:t>3）质保期外服务要求</w:t>
            </w:r>
          </w:p>
          <w:p w14:paraId="3BD397C4">
            <w:pPr>
              <w:rPr>
                <w:rStyle w:val="44"/>
                <w:rFonts w:hint="eastAsia" w:ascii="宋体" w:hAnsi="宋体" w:cs="宋体"/>
                <w:szCs w:val="21"/>
              </w:rPr>
            </w:pPr>
            <w:r>
              <w:rPr>
                <w:rStyle w:val="44"/>
                <w:rFonts w:hint="eastAsia" w:ascii="宋体" w:hAnsi="宋体" w:cs="宋体"/>
                <w:szCs w:val="21"/>
              </w:rPr>
              <w:t>3.1 质量保证期过后，成交供应商应同样提供免费电话咨询服务，并应承诺提供产品或服务上门维护。</w:t>
            </w:r>
          </w:p>
          <w:p w14:paraId="7136C7BC">
            <w:pPr>
              <w:rPr>
                <w:rStyle w:val="44"/>
                <w:rFonts w:hint="eastAsia" w:ascii="宋体" w:hAnsi="宋体" w:cs="宋体"/>
                <w:szCs w:val="21"/>
              </w:rPr>
            </w:pPr>
            <w:r>
              <w:rPr>
                <w:rStyle w:val="44"/>
                <w:rFonts w:hint="eastAsia" w:ascii="宋体" w:hAnsi="宋体" w:cs="宋体"/>
                <w:szCs w:val="21"/>
              </w:rPr>
              <w:t>3.2 质量保证期过后，采购人需要继续由原成交供应商提供售后服务的，该成交供应商和制造商应以优惠价格提供售后服务。</w:t>
            </w:r>
          </w:p>
          <w:p w14:paraId="04B92160">
            <w:pPr>
              <w:rPr>
                <w:rStyle w:val="44"/>
                <w:rFonts w:hint="eastAsia" w:ascii="宋体" w:hAnsi="宋体" w:cs="宋体"/>
                <w:szCs w:val="21"/>
              </w:rPr>
            </w:pPr>
            <w:r>
              <w:rPr>
                <w:rStyle w:val="44"/>
                <w:rFonts w:hint="eastAsia" w:ascii="宋体" w:hAnsi="宋体" w:cs="宋体"/>
                <w:szCs w:val="21"/>
              </w:rPr>
              <w:t>4）备品备件及易损件</w:t>
            </w:r>
          </w:p>
          <w:p w14:paraId="40774904">
            <w:pPr>
              <w:rPr>
                <w:rStyle w:val="44"/>
                <w:rFonts w:hint="eastAsia" w:ascii="宋体" w:hAnsi="宋体" w:cs="宋体"/>
                <w:szCs w:val="21"/>
              </w:rPr>
            </w:pPr>
            <w:r>
              <w:rPr>
                <w:rStyle w:val="44"/>
                <w:rFonts w:hint="eastAsia" w:ascii="宋体" w:hAnsi="宋体" w:cs="宋体"/>
                <w:szCs w:val="21"/>
              </w:rPr>
              <w:t>成交供应商售后服务中，维修使用的备品备件及易损件应为原厂配件，未经采购人同意不得使用非原厂配件。</w:t>
            </w:r>
          </w:p>
          <w:p w14:paraId="00422724">
            <w:pPr>
              <w:numPr>
                <w:ilvl w:val="0"/>
                <w:numId w:val="5"/>
              </w:numPr>
              <w:rPr>
                <w:rStyle w:val="44"/>
                <w:rFonts w:hint="eastAsia" w:ascii="宋体" w:hAnsi="宋体" w:cs="宋体"/>
                <w:szCs w:val="21"/>
              </w:rPr>
            </w:pPr>
            <w:r>
              <w:rPr>
                <w:rStyle w:val="44"/>
                <w:rFonts w:hint="eastAsia" w:ascii="宋体" w:hAnsi="宋体" w:cs="宋体"/>
                <w:szCs w:val="21"/>
              </w:rPr>
              <w:t>成交供应商有完善的安装施工队伍，实现销售、安装、售后服务一条龙。</w:t>
            </w:r>
          </w:p>
          <w:p w14:paraId="094A2AA7">
            <w:pPr>
              <w:numPr>
                <w:ilvl w:val="0"/>
                <w:numId w:val="5"/>
              </w:numPr>
              <w:rPr>
                <w:rStyle w:val="44"/>
                <w:rFonts w:hint="eastAsia" w:ascii="宋体" w:hAnsi="宋体" w:cs="宋体"/>
                <w:szCs w:val="21"/>
              </w:rPr>
            </w:pPr>
            <w:r>
              <w:rPr>
                <w:rStyle w:val="44"/>
                <w:rFonts w:hint="eastAsia" w:ascii="宋体" w:hAnsi="宋体" w:cs="宋体"/>
                <w:szCs w:val="21"/>
              </w:rPr>
              <w:t>培训</w:t>
            </w:r>
          </w:p>
          <w:p w14:paraId="151817DA">
            <w:pPr>
              <w:rPr>
                <w:rStyle w:val="44"/>
                <w:rFonts w:hint="eastAsia" w:ascii="宋体" w:hAnsi="宋体" w:cs="宋体"/>
                <w:szCs w:val="21"/>
              </w:rPr>
            </w:pPr>
            <w:r>
              <w:rPr>
                <w:rStyle w:val="44"/>
                <w:rFonts w:hint="eastAsia" w:ascii="宋体" w:hAnsi="宋体" w:cs="宋体"/>
                <w:szCs w:val="21"/>
              </w:rPr>
              <w:t>成交供应商对其提供产品或服务的使用和操作应尽培训义务。成交供应商应提供对采购人的多次免费培训，使采购人使用人员熟练掌握所培训内容，熟练掌握全部功能。</w:t>
            </w:r>
          </w:p>
          <w:p w14:paraId="08F5B7FF">
            <w:pPr>
              <w:rPr>
                <w:rFonts w:hint="eastAsia"/>
                <w:szCs w:val="24"/>
              </w:rPr>
            </w:pPr>
            <w:r>
              <w:rPr>
                <w:rFonts w:hint="eastAsia"/>
                <w:szCs w:val="24"/>
              </w:rPr>
              <w:t>7）提供售后服务方案，内容包括担不限于项目回访计划、培训计划、安装调试的技术保障方案、产品保养与维护计划、备品及备件计划等。</w:t>
            </w:r>
          </w:p>
        </w:tc>
      </w:tr>
      <w:tr w14:paraId="67C6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02B50">
            <w:pPr>
              <w:rPr>
                <w:rStyle w:val="44"/>
                <w:rFonts w:hint="eastAsia" w:ascii="宋体" w:hAnsi="宋体" w:cs="宋体"/>
                <w:szCs w:val="21"/>
              </w:rPr>
            </w:pPr>
            <w:r>
              <w:rPr>
                <w:rStyle w:val="44"/>
                <w:rFonts w:hint="eastAsia" w:ascii="宋体" w:hAnsi="宋体" w:cs="宋体"/>
                <w:szCs w:val="21"/>
              </w:rPr>
              <w:t>其他要求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D3CD3D8">
            <w:pPr>
              <w:rPr>
                <w:rStyle w:val="44"/>
                <w:rFonts w:hint="eastAsia" w:ascii="宋体" w:hAnsi="宋体" w:cs="宋体"/>
                <w:szCs w:val="21"/>
                <w:highlight w:val="none"/>
              </w:rPr>
            </w:pPr>
            <w:r>
              <w:rPr>
                <w:rStyle w:val="44"/>
                <w:rFonts w:hint="eastAsia" w:ascii="宋体" w:hAnsi="宋体" w:cs="宋体"/>
                <w:szCs w:val="21"/>
                <w:highlight w:val="none"/>
              </w:rPr>
              <w:t>1）本项目不接受进口产品（即通过中国海关报关验放进入中国境内且产自关境外的产品）竞标。</w:t>
            </w:r>
          </w:p>
          <w:p w14:paraId="54839240">
            <w:pPr>
              <w:jc w:val="left"/>
              <w:rPr>
                <w:rStyle w:val="44"/>
                <w:rFonts w:hint="eastAsia" w:ascii="宋体" w:hAnsi="宋体" w:cs="宋体"/>
                <w:szCs w:val="21"/>
                <w:highlight w:val="none"/>
              </w:rPr>
            </w:pPr>
            <w:r>
              <w:rPr>
                <w:rStyle w:val="44"/>
                <w:rFonts w:hint="eastAsia" w:ascii="宋体" w:hAnsi="宋体" w:cs="宋体"/>
                <w:szCs w:val="21"/>
                <w:highlight w:val="none"/>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乙方赔偿经济损失。</w:t>
            </w:r>
          </w:p>
          <w:p w14:paraId="714403A0">
            <w:pPr>
              <w:pStyle w:val="3"/>
              <w:jc w:val="left"/>
              <w:rPr>
                <w:rFonts w:hint="eastAsia"/>
                <w:b/>
                <w:highlight w:val="none"/>
              </w:rPr>
            </w:pPr>
            <w:r>
              <w:rPr>
                <w:rStyle w:val="44"/>
                <w:rFonts w:hint="eastAsia" w:ascii="宋体" w:hAnsi="宋体" w:cs="宋体"/>
                <w:b/>
                <w:szCs w:val="21"/>
                <w:highlight w:val="none"/>
              </w:rPr>
              <w:t>3）</w:t>
            </w:r>
            <w:r>
              <w:rPr>
                <w:rFonts w:hint="eastAsia"/>
                <w:b/>
                <w:highlight w:val="none"/>
              </w:rPr>
              <w:t>家具的最终外形尺寸须根据实际布置进行调整，对有特殊的定制家具及修改的尺寸均包含在报价中，成交供应商在报价时应自行考虑，承诺不因定制或修改家具尺寸的因素而改变报价。</w:t>
            </w:r>
          </w:p>
          <w:p w14:paraId="16744FAA">
            <w:pPr>
              <w:pStyle w:val="3"/>
              <w:jc w:val="left"/>
              <w:rPr>
                <w:rStyle w:val="44"/>
                <w:rFonts w:hint="eastAsia" w:ascii="宋体" w:hAnsi="宋体" w:cs="宋体"/>
                <w:szCs w:val="21"/>
                <w:highlight w:val="none"/>
              </w:rPr>
            </w:pPr>
            <w:r>
              <w:rPr>
                <w:rStyle w:val="44"/>
                <w:rFonts w:hint="eastAsia" w:ascii="宋体" w:hAnsi="宋体" w:cs="宋体"/>
                <w:szCs w:val="21"/>
                <w:highlight w:val="none"/>
              </w:rPr>
              <w:t>4）成交供应商提供的货物及服务不满足采购要求而导致验收不合格的，采购人有权解除合同并追究成交供应商的法律责任。</w:t>
            </w:r>
          </w:p>
          <w:p w14:paraId="08F368F9">
            <w:pPr>
              <w:jc w:val="left"/>
              <w:rPr>
                <w:rStyle w:val="44"/>
                <w:rFonts w:hint="eastAsia" w:ascii="宋体" w:hAnsi="宋体" w:cs="宋体"/>
                <w:szCs w:val="21"/>
                <w:highlight w:val="none"/>
              </w:rPr>
            </w:pPr>
            <w:r>
              <w:rPr>
                <w:rStyle w:val="44"/>
                <w:rFonts w:hint="eastAsia" w:ascii="宋体" w:hAnsi="宋体" w:cs="宋体"/>
                <w:szCs w:val="21"/>
                <w:highlight w:val="none"/>
              </w:rPr>
              <w:t>5）成交供应商交货时应提供设备操作手册、使用指南、维修指南、服务手册和示意图等。严格按照用户指定的位置进行安装，成交供应商在施工、安装、调试等全过程中接受用户的监督。</w:t>
            </w:r>
          </w:p>
          <w:p w14:paraId="466D6FDA">
            <w:pPr>
              <w:rPr>
                <w:rStyle w:val="44"/>
                <w:rFonts w:hint="eastAsia" w:ascii="宋体" w:hAnsi="宋体" w:cs="宋体"/>
                <w:szCs w:val="21"/>
                <w:highlight w:val="none"/>
              </w:rPr>
            </w:pPr>
            <w:r>
              <w:rPr>
                <w:rStyle w:val="44"/>
                <w:rFonts w:hint="eastAsia" w:ascii="宋体" w:hAnsi="宋体" w:cs="宋体"/>
                <w:szCs w:val="21"/>
                <w:highlight w:val="none"/>
              </w:rPr>
              <w:t>6）在成交供应商承诺的保修期内，设备保修包换所需要的配件均是原厂原装，不得使用兼容产品。</w:t>
            </w:r>
          </w:p>
          <w:p w14:paraId="77B12899">
            <w:pPr>
              <w:rPr>
                <w:rStyle w:val="44"/>
                <w:rFonts w:hint="eastAsia" w:ascii="宋体" w:hAnsi="宋体" w:cs="宋体"/>
                <w:szCs w:val="21"/>
                <w:highlight w:val="none"/>
              </w:rPr>
            </w:pPr>
            <w:r>
              <w:rPr>
                <w:rStyle w:val="44"/>
                <w:rFonts w:hint="eastAsia" w:ascii="宋体" w:hAnsi="宋体" w:cs="宋体"/>
                <w:szCs w:val="21"/>
                <w:highlight w:val="none"/>
              </w:rPr>
              <w:t>7）</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应保证参与本次政府采购项目时其按要求所提供的所有证明材料和资质文件真实，如出现虚假应标情况，</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除了应接受有关部门的处罚外，还应依据《中华人民共和国政府采购法》及其实施条例的相关条款来确定赔偿金额。</w:t>
            </w:r>
          </w:p>
          <w:p w14:paraId="2621139C">
            <w:pPr>
              <w:rPr>
                <w:rStyle w:val="44"/>
                <w:rFonts w:hint="eastAsia" w:ascii="宋体" w:hAnsi="宋体" w:cs="宋体"/>
                <w:szCs w:val="21"/>
                <w:highlight w:val="none"/>
              </w:rPr>
            </w:pPr>
            <w:r>
              <w:rPr>
                <w:rStyle w:val="44"/>
                <w:rFonts w:hint="eastAsia" w:ascii="宋体" w:hAnsi="宋体" w:cs="宋体"/>
                <w:szCs w:val="21"/>
                <w:highlight w:val="none"/>
              </w:rPr>
              <w:t>8）设备到货后，成交供应商和采购人应在现场进行清点，清点过程中如果发现因包装或运输不当引起的产品外观或内部的损坏，成交供应商应负责更换，若发现错发/漏发情况，成交供应商应负责更换和补发。</w:t>
            </w:r>
          </w:p>
          <w:p w14:paraId="3DCDDDE2">
            <w:pPr>
              <w:rPr>
                <w:rStyle w:val="44"/>
                <w:rFonts w:hint="eastAsia" w:ascii="宋体" w:hAnsi="宋体" w:cs="宋体"/>
                <w:szCs w:val="21"/>
                <w:highlight w:val="none"/>
              </w:rPr>
            </w:pPr>
            <w:r>
              <w:rPr>
                <w:rStyle w:val="44"/>
                <w:rFonts w:hint="eastAsia" w:ascii="宋体" w:hAnsi="宋体" w:cs="宋体"/>
                <w:szCs w:val="21"/>
                <w:highlight w:val="none"/>
              </w:rPr>
              <w:t>9）签署采购合同后，成交供应商提供配套图纸。项目设备在安装前，成交供应商要与采购单位共同协商实施方案，两方认可后才能安装。</w:t>
            </w:r>
          </w:p>
          <w:p w14:paraId="37EA6860">
            <w:pPr>
              <w:rPr>
                <w:rStyle w:val="44"/>
                <w:rFonts w:hint="eastAsia" w:ascii="宋体" w:hAnsi="宋体" w:cs="宋体"/>
                <w:szCs w:val="21"/>
                <w:highlight w:val="none"/>
              </w:rPr>
            </w:pPr>
            <w:r>
              <w:rPr>
                <w:rStyle w:val="44"/>
                <w:rFonts w:hint="eastAsia" w:ascii="宋体" w:hAnsi="宋体" w:cs="宋体"/>
                <w:szCs w:val="21"/>
                <w:highlight w:val="none"/>
              </w:rPr>
              <w:t>10）</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应保证针对本项目的货物和服务涉及到的知识产权和所提供的相关技术资料是合法取得，并享有完整的知识产权，不会因为采购人的使用而被责令停止使用、追偿或要求赔偿损失，如出现此情况，一切经济和法律责任均由</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承担。成交供应商需在采购合同中书面承诺采购方免受第三方提出侵犯其著作权、专利权、商标权或设计权的纠纷。</w:t>
            </w:r>
          </w:p>
          <w:p w14:paraId="7F871EE2">
            <w:pPr>
              <w:rPr>
                <w:rStyle w:val="44"/>
                <w:rFonts w:hint="eastAsia" w:ascii="宋体" w:hAnsi="宋体" w:cs="宋体"/>
                <w:szCs w:val="21"/>
                <w:highlight w:val="none"/>
              </w:rPr>
            </w:pPr>
            <w:r>
              <w:rPr>
                <w:rStyle w:val="44"/>
                <w:rFonts w:hint="eastAsia" w:ascii="宋体" w:hAnsi="宋体" w:cs="宋体"/>
                <w:b/>
                <w:szCs w:val="21"/>
                <w:highlight w:val="none"/>
              </w:rPr>
              <w:t>11）本项目采购任务紧急，现特向潜在供应商作出相关提醒：供应商存在不按要求报价、中标后无故放弃、不按合同履行等违约行为的，采购人有权按预算金额30%的赔偿金额向成交供应商追偿其所造成的损失。</w:t>
            </w:r>
          </w:p>
        </w:tc>
      </w:tr>
    </w:tbl>
    <w:p w14:paraId="1DD531DF">
      <w:pPr>
        <w:rPr>
          <w:rFonts w:hint="eastAsia"/>
        </w:rPr>
      </w:pPr>
    </w:p>
    <w:p w14:paraId="3261CF49">
      <w:pPr>
        <w:rPr>
          <w:rFonts w:hint="eastAsia"/>
        </w:rPr>
      </w:pP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四</w:t>
      </w:r>
      <w:r>
        <w:rPr>
          <w:rFonts w:hint="eastAsia" w:ascii="宋体" w:hAnsi="宋体" w:eastAsia="宋体" w:cs="宋体"/>
          <w:b/>
          <w:bCs/>
          <w:sz w:val="21"/>
          <w:szCs w:val="21"/>
          <w:highlight w:val="none"/>
        </w:rPr>
        <w:t>、采购人联系方式</w:t>
      </w:r>
    </w:p>
    <w:p w14:paraId="7E6ACBEA">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1"/>
        <w:spacing w:line="360" w:lineRule="auto"/>
        <w:ind w:firstLine="562"/>
        <w:rPr>
          <w:rFonts w:ascii="仿宋" w:hAnsi="仿宋" w:eastAsia="仿宋" w:cs="仿宋"/>
          <w:b/>
          <w:szCs w:val="28"/>
        </w:rPr>
      </w:pPr>
    </w:p>
    <w:p w14:paraId="163E4C97">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1.营业执照复印件</w:t>
      </w:r>
      <w:r>
        <w:rPr>
          <w:rFonts w:hint="eastAsia" w:ascii="仿宋" w:hAnsi="仿宋" w:eastAsia="仿宋" w:cs="仿宋"/>
          <w:bCs/>
          <w:szCs w:val="28"/>
          <w:lang w:eastAsia="zh-CN"/>
        </w:rPr>
        <w:t>；</w:t>
      </w:r>
    </w:p>
    <w:p w14:paraId="4DA04003">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2.法定代表人身份证明或法人授权委托书及被授权人身份证明和联系方式</w:t>
      </w:r>
      <w:r>
        <w:rPr>
          <w:rFonts w:hint="eastAsia" w:ascii="仿宋" w:hAnsi="仿宋" w:eastAsia="仿宋" w:cs="仿宋"/>
          <w:bCs/>
          <w:szCs w:val="28"/>
          <w:lang w:eastAsia="zh-CN"/>
        </w:rPr>
        <w:t>；</w:t>
      </w:r>
    </w:p>
    <w:p w14:paraId="24067B01">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3. 报价表【报价不得高于预算价，仅一次报价】；</w:t>
      </w:r>
    </w:p>
    <w:p w14:paraId="4BBAFB28">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4. 声明函、公司直接控股股东信息表、公司直接管理关系信息表</w:t>
      </w:r>
    </w:p>
    <w:p w14:paraId="0833A023">
      <w:pPr>
        <w:pStyle w:val="21"/>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lang w:val="en-US" w:eastAsia="zh-CN"/>
        </w:rPr>
        <w:t>5.参数要求完全响应；</w:t>
      </w:r>
    </w:p>
    <w:p w14:paraId="33E0E865">
      <w:pPr>
        <w:pStyle w:val="21"/>
        <w:spacing w:line="360" w:lineRule="auto"/>
        <w:ind w:firstLine="560"/>
        <w:jc w:val="left"/>
        <w:rPr>
          <w:rFonts w:ascii="仿宋" w:hAnsi="仿宋" w:eastAsia="仿宋" w:cs="仿宋"/>
          <w:bCs/>
          <w:szCs w:val="28"/>
        </w:rPr>
      </w:pPr>
      <w:r>
        <w:rPr>
          <w:rFonts w:hint="eastAsia" w:ascii="仿宋" w:hAnsi="仿宋" w:eastAsia="仿宋" w:cs="仿宋"/>
          <w:bCs/>
          <w:szCs w:val="28"/>
          <w:lang w:val="en-US" w:eastAsia="zh-CN"/>
        </w:rPr>
        <w:t>6</w:t>
      </w:r>
      <w:r>
        <w:rPr>
          <w:rFonts w:hint="eastAsia" w:ascii="仿宋" w:hAnsi="仿宋" w:eastAsia="仿宋" w:cs="仿宋"/>
          <w:bCs/>
          <w:szCs w:val="28"/>
        </w:rPr>
        <w:t>.供应商自行根据评标方案提供评审资料。</w:t>
      </w:r>
    </w:p>
    <w:p w14:paraId="74A04356">
      <w:pPr>
        <w:pStyle w:val="21"/>
        <w:spacing w:line="360" w:lineRule="auto"/>
        <w:ind w:firstLine="560"/>
        <w:jc w:val="left"/>
        <w:rPr>
          <w:rFonts w:hint="eastAsia" w:ascii="仿宋" w:hAnsi="仿宋" w:eastAsia="仿宋" w:cs="仿宋"/>
          <w:bCs/>
          <w:szCs w:val="28"/>
        </w:rPr>
      </w:pPr>
    </w:p>
    <w:p w14:paraId="46470419">
      <w:pPr>
        <w:pStyle w:val="21"/>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w:t>
      </w:r>
      <w:r>
        <w:rPr>
          <w:rFonts w:hint="eastAsia" w:ascii="仿宋" w:hAnsi="仿宋" w:eastAsia="仿宋" w:cs="仿宋"/>
          <w:bCs/>
          <w:sz w:val="28"/>
          <w:szCs w:val="28"/>
          <w:highlight w:val="none"/>
        </w:rPr>
        <w:t>盖单位公章，所提交资料恕不退回，请按要求准备文件，如未按要求提供资料，视为不能响应需求。提交时间为2025年</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日上午8:00—9:00，逾期不予受理（可提前提交）。递交或邮寄地址：广西南宁市青秀区中山街道广西医</w:t>
      </w:r>
      <w:r>
        <w:rPr>
          <w:rFonts w:hint="eastAsia" w:ascii="仿宋" w:hAnsi="仿宋" w:eastAsia="仿宋" w:cs="仿宋"/>
          <w:bCs/>
          <w:sz w:val="28"/>
          <w:szCs w:val="28"/>
        </w:rPr>
        <w:t>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249CD08C">
      <w:pPr>
        <w:snapToGrid w:val="0"/>
        <w:spacing w:before="50" w:afterLines="50"/>
        <w:jc w:val="center"/>
        <w:rPr>
          <w:rFonts w:hint="eastAsia" w:ascii="宋体" w:hAnsi="宋体" w:cs="仿宋_GB2312"/>
          <w:color w:val="000000"/>
          <w:sz w:val="24"/>
        </w:rPr>
      </w:pPr>
      <w:r>
        <w:rPr>
          <w:rFonts w:hint="eastAsia" w:ascii="方正小标宋简体" w:hAnsi="方正小标宋简体" w:eastAsia="方正小标宋简体" w:cs="方正小标宋简体"/>
          <w:bCs/>
          <w:color w:val="000000"/>
          <w:sz w:val="44"/>
          <w:szCs w:val="44"/>
        </w:rPr>
        <w:t xml:space="preserve"> 报价表详见</w:t>
      </w:r>
      <w:r>
        <w:rPr>
          <w:rFonts w:hint="eastAsia" w:ascii="方正小标宋简体" w:hAnsi="方正小标宋简体" w:eastAsia="方正小标宋简体" w:cs="方正小标宋简体"/>
          <w:bCs/>
          <w:color w:val="000000"/>
          <w:sz w:val="44"/>
          <w:szCs w:val="44"/>
          <w:lang w:eastAsia="zh-CN"/>
        </w:rPr>
        <w:t>附件</w:t>
      </w:r>
      <w:r>
        <w:rPr>
          <w:rFonts w:hint="eastAsia" w:ascii="方正小标宋简体" w:hAnsi="方正小标宋简体" w:eastAsia="方正小标宋简体" w:cs="方正小标宋简体"/>
          <w:bCs/>
          <w:color w:val="000000"/>
          <w:sz w:val="44"/>
          <w:szCs w:val="44"/>
          <w:lang w:val="en-US" w:eastAsia="zh-CN"/>
        </w:rPr>
        <w:t>2</w:t>
      </w:r>
      <w:r>
        <w:rPr>
          <w:rFonts w:hint="eastAsia" w:ascii="宋体" w:hAnsi="宋体" w:cs="仿宋_GB2312"/>
          <w:color w:val="000000"/>
          <w:sz w:val="24"/>
        </w:rPr>
        <w:t xml:space="preserve">                    </w:t>
      </w:r>
    </w:p>
    <w:p w14:paraId="4C08F275">
      <w:pPr>
        <w:rPr>
          <w:rFonts w:hint="eastAsia" w:ascii="宋体" w:hAnsi="宋体" w:cs="仿宋_GB2312"/>
          <w:color w:val="000000"/>
          <w:sz w:val="24"/>
        </w:rPr>
      </w:pPr>
      <w:r>
        <w:rPr>
          <w:rFonts w:hint="eastAsia" w:ascii="宋体" w:hAnsi="宋体" w:cs="仿宋_GB2312"/>
          <w:color w:val="000000"/>
          <w:sz w:val="24"/>
        </w:rPr>
        <w:br w:type="page"/>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u w:val="single"/>
          <w:lang w:eastAsia="zh-CN"/>
        </w:rPr>
        <w:t>广西心脑血管疾病防治精准医学重点实验室家具</w:t>
      </w:r>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9"/>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9"/>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9"/>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9"/>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9"/>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9"/>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9"/>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9"/>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69CD0740">
      <w:pPr>
        <w:pStyle w:val="19"/>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9"/>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9"/>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9"/>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9"/>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9"/>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9"/>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9"/>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9"/>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9"/>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9"/>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9"/>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9"/>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9"/>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9"/>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9"/>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9"/>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9"/>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9"/>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9"/>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9"/>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2"/>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1"/>
                <w:szCs w:val="21"/>
                <w:highlight w:val="none"/>
              </w:rPr>
            </w:pPr>
            <w:r>
              <w:rPr>
                <w:rFonts w:hint="eastAsia" w:ascii="宋体" w:hAnsi="宋体" w:cs="宋体"/>
                <w:sz w:val="21"/>
                <w:szCs w:val="21"/>
                <w:highlight w:val="none"/>
              </w:rPr>
              <w:t>价格分</w:t>
            </w:r>
          </w:p>
          <w:p w14:paraId="18EE977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1"/>
                <w:szCs w:val="21"/>
                <w:highlight w:val="none"/>
              </w:rPr>
            </w:pPr>
            <w:r>
              <w:rPr>
                <w:rFonts w:hint="eastAsia" w:ascii="宋体" w:hAnsi="宋体" w:cs="宋体"/>
                <w:sz w:val="21"/>
                <w:szCs w:val="21"/>
                <w:highlight w:val="none"/>
              </w:rPr>
              <w:t>投标报价</w:t>
            </w:r>
          </w:p>
          <w:p w14:paraId="13F1C85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12B906B8">
            <w:pPr>
              <w:spacing w:line="360" w:lineRule="auto"/>
              <w:jc w:val="left"/>
              <w:rPr>
                <w:rFonts w:ascii="宋体" w:hAnsi="宋体" w:cs="宋体"/>
                <w:sz w:val="21"/>
                <w:szCs w:val="21"/>
                <w:highlight w:val="none"/>
              </w:rPr>
            </w:pPr>
            <w:r>
              <w:rPr>
                <w:rFonts w:hint="eastAsia" w:ascii="宋体" w:hAnsi="宋体" w:cs="宋体"/>
                <w:sz w:val="21"/>
                <w:szCs w:val="21"/>
                <w:highlight w:val="none"/>
              </w:rPr>
              <w:t>价格评分的计算方法如下：</w:t>
            </w:r>
          </w:p>
          <w:p w14:paraId="2D582A73">
            <w:pPr>
              <w:spacing w:line="360" w:lineRule="auto"/>
              <w:jc w:val="left"/>
              <w:rPr>
                <w:rFonts w:ascii="宋体" w:hAnsi="宋体" w:cs="宋体"/>
                <w:sz w:val="21"/>
                <w:szCs w:val="21"/>
                <w:highlight w:val="none"/>
              </w:rPr>
            </w:pPr>
            <w:r>
              <w:rPr>
                <w:rFonts w:hint="eastAsia" w:ascii="宋体" w:hAnsi="宋体" w:cs="宋体"/>
                <w:sz w:val="21"/>
                <w:szCs w:val="21"/>
                <w:highlight w:val="none"/>
              </w:rPr>
              <w:t>1、满足需求要求且报价价格最低的报价为评标基准价，其价格分为满分(</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p w14:paraId="7DE3E0F9">
            <w:pPr>
              <w:spacing w:line="360" w:lineRule="auto"/>
              <w:jc w:val="left"/>
              <w:rPr>
                <w:rFonts w:ascii="宋体" w:hAnsi="宋体" w:cs="宋体"/>
                <w:sz w:val="21"/>
                <w:szCs w:val="21"/>
                <w:highlight w:val="none"/>
              </w:rPr>
            </w:pPr>
            <w:r>
              <w:rPr>
                <w:rFonts w:hint="eastAsia" w:ascii="宋体" w:hAnsi="宋体" w:cs="宋体"/>
                <w:sz w:val="21"/>
                <w:szCs w:val="21"/>
                <w:highlight w:val="none"/>
              </w:rPr>
              <w:t>2、其他合格供应商的报价得分按如下公式计算：报价得分=（基准价/报价）×</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1"/>
                <w:szCs w:val="21"/>
                <w:highlight w:val="none"/>
              </w:rPr>
            </w:pPr>
            <w:r>
              <w:rPr>
                <w:rFonts w:hint="eastAsia" w:ascii="宋体" w:hAnsi="宋体" w:cs="宋体"/>
                <w:sz w:val="21"/>
                <w:szCs w:val="21"/>
                <w:highlight w:val="none"/>
              </w:rPr>
              <w:t>技术分</w:t>
            </w:r>
          </w:p>
          <w:p w14:paraId="6C7A0623">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41</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样品分</w:t>
            </w:r>
          </w:p>
          <w:p w14:paraId="185161F3">
            <w:pPr>
              <w:spacing w:line="360" w:lineRule="auto"/>
              <w:jc w:val="center"/>
              <w:rPr>
                <w:rFonts w:hint="eastAsia" w:ascii="宋体"/>
                <w:color w:val="000000"/>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7070"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评审小组对样品进行评审，综合评定外观、厚度、瑕疵等因素，共</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个样品，每个样品</w:t>
            </w:r>
            <w:r>
              <w:rPr>
                <w:rFonts w:hint="eastAsia" w:ascii="宋体" w:hAnsi="宋体" w:cs="宋体"/>
                <w:color w:val="000000"/>
                <w:sz w:val="21"/>
                <w:szCs w:val="21"/>
                <w:highlight w:val="none"/>
                <w:lang w:val="en-US" w:eastAsia="zh-CN"/>
              </w:rPr>
              <w:t>4分，每位评委独立打分</w:t>
            </w:r>
            <w:r>
              <w:rPr>
                <w:rFonts w:hint="eastAsia" w:ascii="宋体" w:hAnsi="宋体" w:cs="宋体"/>
                <w:color w:val="000000"/>
                <w:sz w:val="21"/>
                <w:szCs w:val="21"/>
                <w:highlight w:val="none"/>
                <w:lang w:eastAsia="zh-CN"/>
              </w:rPr>
              <w:t>：</w:t>
            </w:r>
          </w:p>
          <w:p w14:paraId="577E59AB">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 理化板（满分4分）  </w:t>
            </w:r>
          </w:p>
          <w:p w14:paraId="11657BA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09859B3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 xml:space="preserve">. 柜体钢材面板（侧板、底板、背板等）（满分4分）  </w:t>
            </w:r>
          </w:p>
          <w:p w14:paraId="1E13B13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499EF7F">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 xml:space="preserve">. 柜体框架结构管材（满分4分）  </w:t>
            </w:r>
          </w:p>
          <w:p w14:paraId="55E0261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442DDAA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 xml:space="preserve">. 试剂架铝型材（满分4分）  </w:t>
            </w:r>
          </w:p>
          <w:p w14:paraId="25354FCD">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230315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 xml:space="preserve">. 抽屉面板（满分4分）  </w:t>
            </w:r>
          </w:p>
          <w:p w14:paraId="5F31FD2A">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 xml:space="preserve">。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1"/>
                <w:szCs w:val="21"/>
                <w:highlight w:val="none"/>
              </w:rPr>
            </w:pPr>
            <w:r>
              <w:rPr>
                <w:rFonts w:hint="eastAsia" w:ascii="宋体" w:hAnsi="宋体" w:cs="宋体"/>
                <w:sz w:val="21"/>
                <w:szCs w:val="21"/>
                <w:highlight w:val="none"/>
              </w:rPr>
              <w:t>技术分</w:t>
            </w:r>
          </w:p>
          <w:p w14:paraId="678D7980">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41</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宋体"/>
                <w:color w:val="000000"/>
                <w:sz w:val="21"/>
                <w:szCs w:val="21"/>
                <w:highlight w:val="none"/>
              </w:rPr>
            </w:pPr>
            <w:r>
              <w:rPr>
                <w:rFonts w:hint="eastAsia" w:ascii="宋体"/>
                <w:color w:val="000000"/>
                <w:sz w:val="21"/>
                <w:szCs w:val="21"/>
                <w:highlight w:val="none"/>
              </w:rPr>
              <w:t>供货方案</w:t>
            </w:r>
          </w:p>
          <w:p w14:paraId="5EB6C8A0">
            <w:pPr>
              <w:adjustRightInd w:val="0"/>
              <w:spacing w:line="360" w:lineRule="exact"/>
              <w:jc w:val="center"/>
              <w:textAlignment w:val="baseline"/>
              <w:rPr>
                <w:rFonts w:ascii="宋体" w:hAnsi="宋体" w:cs="宋体"/>
                <w:sz w:val="21"/>
                <w:szCs w:val="21"/>
                <w:highlight w:val="none"/>
              </w:rPr>
            </w:pPr>
            <w:r>
              <w:rPr>
                <w:rFonts w:hint="eastAsia" w:ascii="宋体"/>
                <w:color w:val="000000"/>
                <w:sz w:val="21"/>
                <w:szCs w:val="21"/>
                <w:highlight w:val="none"/>
              </w:rPr>
              <w:t>（满分</w:t>
            </w:r>
            <w:r>
              <w:rPr>
                <w:rFonts w:hint="eastAsia" w:ascii="宋体"/>
                <w:color w:val="000000"/>
                <w:sz w:val="21"/>
                <w:szCs w:val="21"/>
                <w:highlight w:val="none"/>
                <w:lang w:val="en-US" w:eastAsia="zh-CN"/>
              </w:rPr>
              <w:t>12</w:t>
            </w:r>
            <w:r>
              <w:rPr>
                <w:rFonts w:hint="eastAsia" w:ascii="宋体"/>
                <w:color w:val="000000"/>
                <w:sz w:val="21"/>
                <w:szCs w:val="21"/>
                <w:highlight w:val="none"/>
              </w:rPr>
              <w:t>分）</w:t>
            </w:r>
          </w:p>
        </w:tc>
        <w:tc>
          <w:tcPr>
            <w:tcW w:w="7070" w:type="dxa"/>
            <w:tcBorders>
              <w:top w:val="single" w:color="auto" w:sz="4" w:space="0"/>
              <w:left w:val="single" w:color="auto" w:sz="4" w:space="0"/>
              <w:right w:val="single" w:color="auto" w:sz="4" w:space="0"/>
            </w:tcBorders>
            <w:vAlign w:val="center"/>
          </w:tcPr>
          <w:p w14:paraId="04718454">
            <w:pPr>
              <w:spacing w:line="380" w:lineRule="exact"/>
              <w:rPr>
                <w:rFonts w:hint="eastAsia" w:hAnsi="宋体"/>
                <w:bCs/>
                <w:color w:val="000000"/>
                <w:sz w:val="21"/>
                <w:szCs w:val="21"/>
                <w:highlight w:val="none"/>
              </w:rPr>
            </w:pPr>
            <w:r>
              <w:rPr>
                <w:rFonts w:hint="eastAsia" w:ascii="宋体"/>
                <w:color w:val="000000"/>
                <w:sz w:val="21"/>
                <w:szCs w:val="21"/>
                <w:highlight w:val="none"/>
              </w:rPr>
              <w:t>一</w:t>
            </w:r>
            <w:r>
              <w:rPr>
                <w:rFonts w:ascii="宋体"/>
                <w:color w:val="000000"/>
                <w:sz w:val="21"/>
                <w:szCs w:val="21"/>
                <w:highlight w:val="none"/>
              </w:rPr>
              <w:t>档（</w:t>
            </w:r>
            <w:r>
              <w:rPr>
                <w:rFonts w:hint="eastAsia" w:ascii="宋体"/>
                <w:color w:val="000000"/>
                <w:sz w:val="21"/>
                <w:szCs w:val="21"/>
                <w:highlight w:val="none"/>
                <w:lang w:val="en-US" w:eastAsia="zh-CN"/>
              </w:rPr>
              <w:t>4</w:t>
            </w:r>
            <w:r>
              <w:rPr>
                <w:rFonts w:ascii="宋体"/>
                <w:color w:val="000000"/>
                <w:sz w:val="21"/>
                <w:szCs w:val="21"/>
                <w:highlight w:val="none"/>
              </w:rPr>
              <w:t>分）：供货方案</w:t>
            </w:r>
            <w:r>
              <w:rPr>
                <w:rFonts w:hint="eastAsia" w:ascii="宋体"/>
                <w:color w:val="000000"/>
                <w:sz w:val="21"/>
                <w:szCs w:val="21"/>
                <w:highlight w:val="none"/>
              </w:rPr>
              <w:t>有基本框架，</w:t>
            </w:r>
            <w:r>
              <w:rPr>
                <w:rFonts w:ascii="宋体"/>
                <w:color w:val="000000"/>
                <w:sz w:val="21"/>
                <w:szCs w:val="21"/>
                <w:highlight w:val="none"/>
              </w:rPr>
              <w:t>有</w:t>
            </w:r>
            <w:r>
              <w:rPr>
                <w:rFonts w:hint="eastAsia" w:ascii="宋体"/>
                <w:color w:val="000000"/>
                <w:sz w:val="21"/>
                <w:szCs w:val="21"/>
                <w:highlight w:val="none"/>
                <w:lang w:eastAsia="zh-CN"/>
              </w:rPr>
              <w:t>货物</w:t>
            </w:r>
            <w:r>
              <w:rPr>
                <w:rFonts w:ascii="宋体"/>
                <w:color w:val="000000"/>
                <w:sz w:val="21"/>
                <w:szCs w:val="21"/>
                <w:highlight w:val="none"/>
              </w:rPr>
              <w:t>的管理及配送进度安排等内容</w:t>
            </w:r>
            <w:r>
              <w:rPr>
                <w:rFonts w:hint="eastAsia" w:ascii="宋体"/>
                <w:color w:val="000000"/>
                <w:sz w:val="21"/>
                <w:szCs w:val="21"/>
                <w:highlight w:val="none"/>
              </w:rPr>
              <w:t>，</w:t>
            </w:r>
            <w:r>
              <w:rPr>
                <w:rFonts w:hint="eastAsia" w:hAnsi="宋体"/>
                <w:bCs/>
                <w:color w:val="000000"/>
                <w:sz w:val="21"/>
                <w:szCs w:val="21"/>
                <w:highlight w:val="none"/>
              </w:rPr>
              <w:t>所有环节步骤清晰，责任人员明确，能确保产品供货；</w:t>
            </w:r>
          </w:p>
          <w:p w14:paraId="6D21B1C5">
            <w:pPr>
              <w:spacing w:line="380" w:lineRule="exact"/>
              <w:rPr>
                <w:rFonts w:hint="eastAsia" w:ascii="宋体"/>
                <w:color w:val="000000"/>
                <w:sz w:val="21"/>
                <w:szCs w:val="21"/>
                <w:highlight w:val="none"/>
              </w:rPr>
            </w:pPr>
            <w:r>
              <w:rPr>
                <w:rFonts w:ascii="宋体"/>
                <w:color w:val="000000"/>
                <w:sz w:val="21"/>
                <w:szCs w:val="21"/>
                <w:highlight w:val="none"/>
              </w:rPr>
              <w:t>二档（</w:t>
            </w:r>
            <w:r>
              <w:rPr>
                <w:rFonts w:hint="eastAsia" w:ascii="宋体"/>
                <w:color w:val="000000"/>
                <w:sz w:val="21"/>
                <w:szCs w:val="21"/>
                <w:highlight w:val="none"/>
                <w:lang w:val="en-US" w:eastAsia="zh-CN"/>
              </w:rPr>
              <w:t>8</w:t>
            </w:r>
            <w:r>
              <w:rPr>
                <w:rFonts w:ascii="宋体"/>
                <w:color w:val="000000"/>
                <w:sz w:val="21"/>
                <w:szCs w:val="21"/>
                <w:highlight w:val="none"/>
              </w:rPr>
              <w:t>分）：供货方案内容完整，制定的</w:t>
            </w:r>
            <w:r>
              <w:rPr>
                <w:rFonts w:hint="eastAsia" w:ascii="宋体"/>
                <w:color w:val="000000"/>
                <w:sz w:val="21"/>
                <w:szCs w:val="21"/>
                <w:highlight w:val="none"/>
                <w:lang w:eastAsia="zh-CN"/>
              </w:rPr>
              <w:t>货物</w:t>
            </w:r>
            <w:r>
              <w:rPr>
                <w:rFonts w:ascii="宋体"/>
                <w:color w:val="000000"/>
                <w:sz w:val="21"/>
                <w:szCs w:val="21"/>
                <w:highlight w:val="none"/>
              </w:rPr>
              <w:t>的管理及配送进度安排</w:t>
            </w:r>
            <w:r>
              <w:rPr>
                <w:rFonts w:hint="eastAsia" w:ascii="宋体"/>
                <w:color w:val="000000"/>
                <w:sz w:val="21"/>
                <w:szCs w:val="21"/>
                <w:highlight w:val="none"/>
              </w:rPr>
              <w:t>合理</w:t>
            </w:r>
            <w:r>
              <w:rPr>
                <w:rFonts w:ascii="宋体"/>
                <w:color w:val="000000"/>
                <w:sz w:val="21"/>
                <w:szCs w:val="21"/>
                <w:highlight w:val="none"/>
              </w:rPr>
              <w:t>，</w:t>
            </w:r>
            <w:r>
              <w:rPr>
                <w:rFonts w:hint="eastAsia" w:hAnsi="宋体"/>
                <w:bCs/>
                <w:color w:val="000000"/>
                <w:sz w:val="21"/>
                <w:szCs w:val="21"/>
                <w:highlight w:val="none"/>
              </w:rPr>
              <w:t>所有环节步骤清晰，责任人员明确，详细列明各实施环节详细的实施办法和保障措施，分析供货流程各环节可能出现的问题并提出解决措施；</w:t>
            </w:r>
          </w:p>
          <w:p w14:paraId="6E75DD55">
            <w:pPr>
              <w:spacing w:line="380" w:lineRule="exact"/>
              <w:rPr>
                <w:rFonts w:ascii="宋体"/>
                <w:color w:val="000000"/>
                <w:sz w:val="21"/>
                <w:szCs w:val="21"/>
                <w:highlight w:val="none"/>
              </w:rPr>
            </w:pPr>
            <w:r>
              <w:rPr>
                <w:rFonts w:hint="eastAsia" w:ascii="宋体"/>
                <w:color w:val="000000"/>
                <w:sz w:val="21"/>
                <w:szCs w:val="21"/>
                <w:highlight w:val="none"/>
              </w:rPr>
              <w:t>三</w:t>
            </w:r>
            <w:r>
              <w:rPr>
                <w:rFonts w:ascii="宋体"/>
                <w:color w:val="000000"/>
                <w:sz w:val="21"/>
                <w:szCs w:val="21"/>
                <w:highlight w:val="none"/>
              </w:rPr>
              <w:t>档（</w:t>
            </w:r>
            <w:r>
              <w:rPr>
                <w:rFonts w:hint="eastAsia" w:ascii="宋体"/>
                <w:color w:val="000000"/>
                <w:sz w:val="21"/>
                <w:szCs w:val="21"/>
                <w:highlight w:val="none"/>
                <w:lang w:val="en-US" w:eastAsia="zh-CN"/>
              </w:rPr>
              <w:t>12</w:t>
            </w:r>
            <w:r>
              <w:rPr>
                <w:rFonts w:ascii="宋体"/>
                <w:color w:val="000000"/>
                <w:sz w:val="21"/>
                <w:szCs w:val="21"/>
                <w:highlight w:val="none"/>
              </w:rPr>
              <w:t>分）：供货方案</w:t>
            </w:r>
            <w:r>
              <w:rPr>
                <w:rFonts w:hint="eastAsia" w:ascii="宋体"/>
                <w:color w:val="000000"/>
                <w:sz w:val="21"/>
                <w:szCs w:val="21"/>
                <w:highlight w:val="none"/>
              </w:rPr>
              <w:t>内容完善可行</w:t>
            </w:r>
            <w:r>
              <w:rPr>
                <w:rFonts w:ascii="宋体"/>
                <w:color w:val="000000"/>
                <w:sz w:val="21"/>
                <w:szCs w:val="21"/>
                <w:highlight w:val="none"/>
              </w:rPr>
              <w:t>，</w:t>
            </w:r>
            <w:r>
              <w:rPr>
                <w:rFonts w:hint="eastAsia" w:ascii="宋体"/>
                <w:color w:val="000000"/>
                <w:sz w:val="21"/>
                <w:szCs w:val="21"/>
                <w:highlight w:val="none"/>
                <w:lang w:eastAsia="zh-CN"/>
              </w:rPr>
              <w:t>货物</w:t>
            </w:r>
            <w:r>
              <w:rPr>
                <w:rFonts w:ascii="宋体"/>
                <w:color w:val="000000"/>
                <w:sz w:val="21"/>
                <w:szCs w:val="21"/>
                <w:highlight w:val="none"/>
              </w:rPr>
              <w:t>的管理及配送进度安排科学合理，有针对性，提供了生产进度时间表、供货进度时间表等，</w:t>
            </w:r>
            <w:r>
              <w:rPr>
                <w:rFonts w:hint="eastAsia" w:hAnsi="宋体"/>
                <w:bCs/>
                <w:color w:val="000000"/>
                <w:sz w:val="21"/>
                <w:szCs w:val="21"/>
                <w:highlight w:val="none"/>
              </w:rPr>
              <w:t>所有环节步骤清晰，责任人员明确，并详细分析本项目的难点重点，提供难重点保障措施和各项应急预案，能够有效保证采购人如期使用。</w:t>
            </w:r>
          </w:p>
          <w:p w14:paraId="1B378695">
            <w:pPr>
              <w:spacing w:line="380" w:lineRule="exact"/>
              <w:rPr>
                <w:rFonts w:ascii="宋体" w:hAnsi="宋体" w:cs="宋体"/>
                <w:sz w:val="21"/>
                <w:szCs w:val="21"/>
                <w:highlight w:val="none"/>
              </w:rPr>
            </w:pPr>
            <w:r>
              <w:rPr>
                <w:rFonts w:hint="eastAsia" w:ascii="宋体" w:hAnsi="宋体" w:cs="宋体"/>
                <w:color w:val="000000"/>
                <w:sz w:val="21"/>
                <w:szCs w:val="21"/>
                <w:highlight w:val="non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1"/>
                <w:szCs w:val="21"/>
                <w:highlight w:val="none"/>
              </w:rPr>
            </w:pPr>
          </w:p>
        </w:tc>
        <w:tc>
          <w:tcPr>
            <w:tcW w:w="2418" w:type="dxa"/>
            <w:tcBorders>
              <w:top w:val="single" w:color="auto" w:sz="4" w:space="0"/>
              <w:left w:val="single" w:color="auto" w:sz="4" w:space="0"/>
              <w:right w:val="single" w:color="auto" w:sz="4" w:space="0"/>
            </w:tcBorders>
            <w:vAlign w:val="center"/>
          </w:tcPr>
          <w:p w14:paraId="4936552D">
            <w:pPr>
              <w:spacing w:line="380" w:lineRule="exact"/>
              <w:rPr>
                <w:rFonts w:hint="eastAsia" w:ascii="宋体" w:hAnsi="宋体" w:cs="宋体"/>
                <w:sz w:val="21"/>
                <w:szCs w:val="21"/>
                <w:highlight w:val="none"/>
              </w:rPr>
            </w:pPr>
            <w:r>
              <w:rPr>
                <w:rFonts w:hint="eastAsia" w:ascii="宋体" w:hAnsi="宋体" w:cs="宋体"/>
                <w:sz w:val="21"/>
                <w:szCs w:val="21"/>
                <w:highlight w:val="none"/>
              </w:rPr>
              <w:t>售后服务分</w:t>
            </w:r>
          </w:p>
          <w:p w14:paraId="0068BA38">
            <w:pPr>
              <w:spacing w:line="380" w:lineRule="exac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p w14:paraId="308005EE">
            <w:pPr>
              <w:spacing w:line="410" w:lineRule="exact"/>
              <w:rPr>
                <w:rFonts w:hint="eastAsia" w:ascii="宋体" w:hAnsi="宋体" w:cs="宋体"/>
                <w:sz w:val="21"/>
                <w:szCs w:val="21"/>
                <w:highlight w:val="none"/>
              </w:rPr>
            </w:pPr>
          </w:p>
        </w:tc>
        <w:tc>
          <w:tcPr>
            <w:tcW w:w="7070" w:type="dxa"/>
            <w:tcBorders>
              <w:top w:val="single" w:color="auto" w:sz="4" w:space="0"/>
              <w:left w:val="single" w:color="auto" w:sz="4" w:space="0"/>
              <w:right w:val="single" w:color="auto" w:sz="4" w:space="0"/>
            </w:tcBorders>
            <w:vAlign w:val="center"/>
          </w:tcPr>
          <w:p w14:paraId="58396127">
            <w:pPr>
              <w:spacing w:line="380" w:lineRule="exact"/>
              <w:rPr>
                <w:rFonts w:hint="eastAsia" w:ascii="宋体" w:hAnsi="宋体" w:cs="宋体"/>
                <w:sz w:val="21"/>
                <w:szCs w:val="21"/>
                <w:highlight w:val="none"/>
              </w:rPr>
            </w:pPr>
            <w:r>
              <w:rPr>
                <w:rFonts w:hint="eastAsia" w:ascii="宋体" w:hAnsi="宋体" w:cs="宋体"/>
                <w:sz w:val="21"/>
                <w:szCs w:val="21"/>
                <w:highlight w:val="none"/>
              </w:rPr>
              <w:t>项目实施及售后服务承诺基本要求：至少应包括质保期、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质保期满前一个月及质保期内每年进行一次全面检修与保养，保修期外维修方案、其他优惠措施、安装要求及方案。</w:t>
            </w:r>
          </w:p>
          <w:p w14:paraId="6F2956F7">
            <w:pPr>
              <w:spacing w:line="380" w:lineRule="exact"/>
              <w:rPr>
                <w:rFonts w:hint="eastAsia" w:ascii="宋体" w:hAnsi="宋体" w:cs="宋体"/>
                <w:sz w:val="21"/>
                <w:szCs w:val="21"/>
                <w:highlight w:val="none"/>
              </w:rPr>
            </w:pPr>
            <w:r>
              <w:rPr>
                <w:rFonts w:hint="eastAsia" w:ascii="宋体" w:hAnsi="宋体" w:cs="宋体"/>
                <w:sz w:val="21"/>
                <w:szCs w:val="21"/>
                <w:highlight w:val="none"/>
              </w:rPr>
              <w:t>一档（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分）：售后服务承诺书内容完整；解决一般故障时间在4小时内，故障出现解决方案可靠，定期维护方式方法合理，有完整的技术培训方案、保修期外维修方案；有售后服务能力措施。</w:t>
            </w:r>
          </w:p>
          <w:p w14:paraId="143AFF57">
            <w:pPr>
              <w:spacing w:line="380" w:lineRule="exact"/>
              <w:rPr>
                <w:rFonts w:hint="eastAsia" w:ascii="宋体" w:hAnsi="宋体" w:cs="宋体"/>
                <w:sz w:val="21"/>
                <w:szCs w:val="21"/>
                <w:highlight w:val="none"/>
              </w:rPr>
            </w:pPr>
            <w:r>
              <w:rPr>
                <w:rFonts w:hint="eastAsia" w:ascii="宋体" w:hAnsi="宋体" w:cs="宋体"/>
                <w:sz w:val="21"/>
                <w:szCs w:val="21"/>
                <w:highlight w:val="none"/>
              </w:rPr>
              <w:t>二档（</w:t>
            </w:r>
            <w:r>
              <w:rPr>
                <w:rFonts w:hint="eastAsia" w:ascii="宋体" w:hAnsi="宋体" w:cs="宋体"/>
                <w:sz w:val="21"/>
                <w:szCs w:val="21"/>
                <w:highlight w:val="none"/>
                <w:lang w:val="en-US" w:eastAsia="zh-CN"/>
              </w:rPr>
              <w:t>6</w:t>
            </w:r>
            <w:r>
              <w:rPr>
                <w:rFonts w:hint="eastAsia" w:ascii="宋体" w:hAnsi="宋体" w:cs="宋体"/>
                <w:sz w:val="21"/>
                <w:szCs w:val="21"/>
                <w:highlight w:val="none"/>
              </w:rPr>
              <w:t>分）：售后服务承诺书内容详细具体；解决一般故障时间在2小时内，故障出现解决方案可靠，定期维护方式方法合理，有完整的技术培训方案、保修期外维修方案；有完善的本地化售后服务措施；对售后服务应急预案、其他优惠措施等方面都有描述，可操作性强；项目投标人能够举实例充分证明（同类案例）售后服务方案的可靠性，能提针对本项目采购需求提供较多的优于采购文件要求的实质性服务承诺。</w:t>
            </w:r>
          </w:p>
          <w:p w14:paraId="6A135DC4">
            <w:pPr>
              <w:spacing w:line="380" w:lineRule="exact"/>
              <w:rPr>
                <w:rFonts w:hint="eastAsia" w:ascii="宋体" w:hAnsi="宋体" w:cs="宋体"/>
                <w:sz w:val="21"/>
                <w:szCs w:val="21"/>
                <w:highlight w:val="none"/>
              </w:rPr>
            </w:pPr>
            <w:r>
              <w:rPr>
                <w:rFonts w:hint="eastAsia" w:ascii="宋体" w:hAnsi="宋体" w:cs="宋体"/>
                <w:sz w:val="21"/>
                <w:szCs w:val="21"/>
                <w:highlight w:val="none"/>
              </w:rPr>
              <w:t>三档（</w:t>
            </w:r>
            <w:r>
              <w:rPr>
                <w:rFonts w:hint="eastAsia" w:ascii="宋体" w:hAnsi="宋体" w:cs="宋体"/>
                <w:sz w:val="21"/>
                <w:szCs w:val="21"/>
                <w:highlight w:val="none"/>
                <w:lang w:val="en-US" w:eastAsia="zh-CN"/>
              </w:rPr>
              <w:t>9</w:t>
            </w:r>
            <w:r>
              <w:rPr>
                <w:rFonts w:hint="eastAsia" w:ascii="宋体" w:hAnsi="宋体" w:cs="宋体"/>
                <w:sz w:val="21"/>
                <w:szCs w:val="21"/>
                <w:highlight w:val="none"/>
              </w:rPr>
              <w:t>分）：在二档基础上，能针对采购需求提供优质的增值服务承诺，提供的服务承诺针对性强，可靠保证，符合采购方实际需求的，售后服务方案详细描述了设备售后维护和应急保障方案的方法以及实现方式，常年备有齐全的配件，整体方案针对性、可行性强，对采购人有实际性帮助。</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D6C05A3">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商务部分</w:t>
            </w:r>
          </w:p>
          <w:p w14:paraId="7AD1791C">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业绩</w:t>
            </w:r>
            <w:r>
              <w:rPr>
                <w:rFonts w:hint="eastAsia" w:ascii="宋体" w:hAnsi="宋体" w:cs="宋体"/>
                <w:sz w:val="21"/>
                <w:szCs w:val="21"/>
                <w:highlight w:val="none"/>
                <w:lang w:eastAsia="zh-CN"/>
              </w:rPr>
              <w:t>分</w:t>
            </w:r>
          </w:p>
          <w:p w14:paraId="59A5384C">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tc>
        <w:tc>
          <w:tcPr>
            <w:tcW w:w="7070"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供应商202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年1月1日至响应文件递交截止时间具有同类项目业绩的，每有1项得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1"/>
                <w:szCs w:val="21"/>
                <w:highlight w:val="none"/>
              </w:rPr>
            </w:pPr>
            <w:r>
              <w:rPr>
                <w:rFonts w:hint="eastAsia" w:ascii="宋体" w:hAnsi="宋体" w:cs="宋体"/>
                <w:sz w:val="21"/>
                <w:szCs w:val="21"/>
                <w:highlight w:val="none"/>
              </w:rPr>
              <w:t>总分（100分）</w:t>
            </w:r>
          </w:p>
        </w:tc>
      </w:tr>
    </w:tbl>
    <w:p w14:paraId="15DCCE07">
      <w:pPr>
        <w:pStyle w:val="14"/>
        <w:spacing w:line="400" w:lineRule="exact"/>
        <w:rPr>
          <w:rFonts w:hAnsi="宋体"/>
          <w:bCs/>
        </w:rPr>
      </w:pPr>
      <w:r>
        <w:rPr>
          <w:rFonts w:hint="eastAsia" w:hAnsi="宋体"/>
          <w:bCs/>
        </w:rPr>
        <w:t>注：计分方法按四舍五入取至百分位。</w:t>
      </w:r>
    </w:p>
    <w:p w14:paraId="0A4766C1">
      <w:pPr>
        <w:pStyle w:val="14"/>
        <w:spacing w:line="400" w:lineRule="exact"/>
        <w:rPr>
          <w:rFonts w:hAnsi="宋体"/>
          <w:bCs/>
        </w:rPr>
      </w:pPr>
    </w:p>
    <w:p w14:paraId="7D6CF2A2">
      <w:pPr>
        <w:pStyle w:val="5"/>
        <w:rPr>
          <w:rFonts w:hint="eastAsia"/>
        </w:rPr>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w:t>
      </w:r>
      <w:r>
        <w:rPr>
          <w:rFonts w:hint="eastAsia"/>
          <w:lang w:eastAsia="zh-CN"/>
        </w:rPr>
        <w:t>供应商</w:t>
      </w:r>
      <w:r>
        <w:rPr>
          <w:rFonts w:hint="eastAsia"/>
        </w:rPr>
        <w:t>为排名第一的中标候选人（另有约定的除外）。</w:t>
      </w:r>
    </w:p>
    <w:p w14:paraId="3A2C8758">
      <w:pPr>
        <w:pStyle w:val="5"/>
        <w:rPr>
          <w:rFonts w:hint="eastAsia"/>
        </w:rPr>
      </w:pPr>
    </w:p>
    <w:p w14:paraId="2CE75357">
      <w:pPr>
        <w:pStyle w:val="5"/>
        <w:rPr>
          <w:rFonts w:hint="eastAsia"/>
        </w:rPr>
      </w:pPr>
    </w:p>
    <w:p w14:paraId="6ECD3E9D">
      <w:pPr>
        <w:pStyle w:val="5"/>
        <w:rPr>
          <w:rFonts w:hint="eastAsia"/>
        </w:rPr>
      </w:pPr>
    </w:p>
    <w:p w14:paraId="41295E74">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6"/>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6"/>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6"/>
                  <w:jc w:val="center"/>
                </w:pPr>
              </w:p>
            </w:txbxContent>
          </v:textbox>
        </v:shape>
      </w:pic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6"/>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2A19C"/>
    <w:multiLevelType w:val="singleLevel"/>
    <w:tmpl w:val="D1B2A19C"/>
    <w:lvl w:ilvl="0" w:tentative="0">
      <w:start w:val="2"/>
      <w:numFmt w:val="chineseCounting"/>
      <w:suff w:val="nothing"/>
      <w:lvlText w:val="%1、"/>
      <w:lvlJc w:val="left"/>
      <w:rPr>
        <w:rFonts w:hint="eastAsia"/>
      </w:rPr>
    </w:lvl>
  </w:abstractNum>
  <w:abstractNum w:abstractNumId="1">
    <w:nsid w:val="38240C86"/>
    <w:multiLevelType w:val="multilevel"/>
    <w:tmpl w:val="38240C86"/>
    <w:lvl w:ilvl="0" w:tentative="0">
      <w:start w:val="1"/>
      <w:numFmt w:val="decimal"/>
      <w:lvlText w:val="%1、"/>
      <w:lvlJc w:val="left"/>
      <w:pPr>
        <w:ind w:left="360" w:hanging="360"/>
      </w:pPr>
    </w:lvl>
    <w:lvl w:ilvl="1" w:tentative="0">
      <w:start w:val="1"/>
      <w:numFmt w:val="lowerLetter"/>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
    <w:nsid w:val="39909DE7"/>
    <w:multiLevelType w:val="singleLevel"/>
    <w:tmpl w:val="39909DE7"/>
    <w:lvl w:ilvl="0" w:tentative="0">
      <w:start w:val="5"/>
      <w:numFmt w:val="decimal"/>
      <w:suff w:val="nothing"/>
      <w:lvlText w:val="%1）"/>
      <w:lvlJc w:val="left"/>
    </w:lvl>
  </w:abstractNum>
  <w:abstractNum w:abstractNumId="3">
    <w:nsid w:val="3F4D9D69"/>
    <w:multiLevelType w:val="singleLevel"/>
    <w:tmpl w:val="3F4D9D69"/>
    <w:lvl w:ilvl="0" w:tentative="0">
      <w:start w:val="1"/>
      <w:numFmt w:val="decimal"/>
      <w:lvlText w:val="%1."/>
      <w:lvlJc w:val="left"/>
      <w:pPr>
        <w:ind w:left="425" w:hanging="425"/>
      </w:pPr>
      <w:rPr>
        <w:rFonts w:hint="default"/>
      </w:rPr>
    </w:lvl>
  </w:abstractNum>
  <w:abstractNum w:abstractNumId="4">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9307AF"/>
    <w:rsid w:val="029E4497"/>
    <w:rsid w:val="02B04C50"/>
    <w:rsid w:val="02B56978"/>
    <w:rsid w:val="02D2724D"/>
    <w:rsid w:val="02F2197A"/>
    <w:rsid w:val="02FA082F"/>
    <w:rsid w:val="030B0B6F"/>
    <w:rsid w:val="033B2485"/>
    <w:rsid w:val="03593C27"/>
    <w:rsid w:val="03850F0A"/>
    <w:rsid w:val="03D60954"/>
    <w:rsid w:val="03F10EDE"/>
    <w:rsid w:val="03F139E0"/>
    <w:rsid w:val="043307A6"/>
    <w:rsid w:val="04814D63"/>
    <w:rsid w:val="04D255BF"/>
    <w:rsid w:val="04DD7D0E"/>
    <w:rsid w:val="04EF0EBA"/>
    <w:rsid w:val="05146811"/>
    <w:rsid w:val="05177476"/>
    <w:rsid w:val="05483AD3"/>
    <w:rsid w:val="055A7363"/>
    <w:rsid w:val="05692B22"/>
    <w:rsid w:val="057523EE"/>
    <w:rsid w:val="058332BF"/>
    <w:rsid w:val="05E07758"/>
    <w:rsid w:val="06456716"/>
    <w:rsid w:val="067F6A05"/>
    <w:rsid w:val="069A035E"/>
    <w:rsid w:val="06BC6527"/>
    <w:rsid w:val="06BF03B5"/>
    <w:rsid w:val="06C13B3D"/>
    <w:rsid w:val="07283BBC"/>
    <w:rsid w:val="0780250D"/>
    <w:rsid w:val="079228DD"/>
    <w:rsid w:val="07C531B9"/>
    <w:rsid w:val="085B1D6F"/>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E5207C"/>
    <w:rsid w:val="0C4A6383"/>
    <w:rsid w:val="0C75118B"/>
    <w:rsid w:val="0C7C6B22"/>
    <w:rsid w:val="0C866740"/>
    <w:rsid w:val="0D192328"/>
    <w:rsid w:val="0D742DF1"/>
    <w:rsid w:val="0D811BCF"/>
    <w:rsid w:val="0DA35E00"/>
    <w:rsid w:val="0DB241E0"/>
    <w:rsid w:val="0DEF3C89"/>
    <w:rsid w:val="0E9F5658"/>
    <w:rsid w:val="0EE303C9"/>
    <w:rsid w:val="0F283D96"/>
    <w:rsid w:val="0F8B2784"/>
    <w:rsid w:val="0FC63F72"/>
    <w:rsid w:val="0FF52AA9"/>
    <w:rsid w:val="105351A2"/>
    <w:rsid w:val="105567E3"/>
    <w:rsid w:val="10577F97"/>
    <w:rsid w:val="10991687"/>
    <w:rsid w:val="11252F1A"/>
    <w:rsid w:val="1154173C"/>
    <w:rsid w:val="11847C41"/>
    <w:rsid w:val="11850FF5"/>
    <w:rsid w:val="11B00A36"/>
    <w:rsid w:val="11B85B3D"/>
    <w:rsid w:val="11C25632"/>
    <w:rsid w:val="11D96D94"/>
    <w:rsid w:val="120E7E53"/>
    <w:rsid w:val="122B3102"/>
    <w:rsid w:val="125860AD"/>
    <w:rsid w:val="1266498D"/>
    <w:rsid w:val="12705C37"/>
    <w:rsid w:val="12EA61CA"/>
    <w:rsid w:val="12F069E9"/>
    <w:rsid w:val="12F11027"/>
    <w:rsid w:val="13272F7A"/>
    <w:rsid w:val="13685340"/>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A4072D"/>
    <w:rsid w:val="19CC487B"/>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6746B1"/>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C3032E"/>
    <w:rsid w:val="30EA695A"/>
    <w:rsid w:val="30FD2F75"/>
    <w:rsid w:val="31086BD1"/>
    <w:rsid w:val="31307046"/>
    <w:rsid w:val="315D0ECD"/>
    <w:rsid w:val="318178A1"/>
    <w:rsid w:val="321A1044"/>
    <w:rsid w:val="32425B98"/>
    <w:rsid w:val="32917FB8"/>
    <w:rsid w:val="32FA1C32"/>
    <w:rsid w:val="330427FC"/>
    <w:rsid w:val="333D2711"/>
    <w:rsid w:val="33977850"/>
    <w:rsid w:val="341C5D39"/>
    <w:rsid w:val="342B17CD"/>
    <w:rsid w:val="343D58A1"/>
    <w:rsid w:val="3457130E"/>
    <w:rsid w:val="3458152F"/>
    <w:rsid w:val="346516FC"/>
    <w:rsid w:val="348F22D5"/>
    <w:rsid w:val="34A46413"/>
    <w:rsid w:val="34C53F49"/>
    <w:rsid w:val="34E40873"/>
    <w:rsid w:val="353F2D47"/>
    <w:rsid w:val="35CB53A7"/>
    <w:rsid w:val="35FC7E3E"/>
    <w:rsid w:val="361E6007"/>
    <w:rsid w:val="362829E1"/>
    <w:rsid w:val="365437D6"/>
    <w:rsid w:val="36545AE5"/>
    <w:rsid w:val="369B1405"/>
    <w:rsid w:val="36AD05F9"/>
    <w:rsid w:val="36CE5337"/>
    <w:rsid w:val="37060F75"/>
    <w:rsid w:val="37137350"/>
    <w:rsid w:val="372A4537"/>
    <w:rsid w:val="37756AB3"/>
    <w:rsid w:val="37764CBD"/>
    <w:rsid w:val="378C30BB"/>
    <w:rsid w:val="37983B97"/>
    <w:rsid w:val="37E170D4"/>
    <w:rsid w:val="38174ADA"/>
    <w:rsid w:val="3841400E"/>
    <w:rsid w:val="384B7486"/>
    <w:rsid w:val="389F5BCA"/>
    <w:rsid w:val="394F0490"/>
    <w:rsid w:val="396957EB"/>
    <w:rsid w:val="39DA2245"/>
    <w:rsid w:val="39E9692C"/>
    <w:rsid w:val="3A0073A2"/>
    <w:rsid w:val="3A3C784F"/>
    <w:rsid w:val="3A7C154E"/>
    <w:rsid w:val="3ABC7B9C"/>
    <w:rsid w:val="3AE710BD"/>
    <w:rsid w:val="3B2229CC"/>
    <w:rsid w:val="3B567FF1"/>
    <w:rsid w:val="3B6A75F8"/>
    <w:rsid w:val="3BB571BF"/>
    <w:rsid w:val="3BC56053"/>
    <w:rsid w:val="3BD80A06"/>
    <w:rsid w:val="3BE4203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3541F"/>
    <w:rsid w:val="3F2C7B93"/>
    <w:rsid w:val="3F5E2DF9"/>
    <w:rsid w:val="3F815008"/>
    <w:rsid w:val="3F9D1D4A"/>
    <w:rsid w:val="3FFD6C8D"/>
    <w:rsid w:val="40147B22"/>
    <w:rsid w:val="408353E4"/>
    <w:rsid w:val="409B1A96"/>
    <w:rsid w:val="415B1B90"/>
    <w:rsid w:val="4168282C"/>
    <w:rsid w:val="41742367"/>
    <w:rsid w:val="41CE6B33"/>
    <w:rsid w:val="41D1217F"/>
    <w:rsid w:val="421D2F00"/>
    <w:rsid w:val="42254279"/>
    <w:rsid w:val="424566C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504461A"/>
    <w:rsid w:val="45D16BF2"/>
    <w:rsid w:val="460D4257"/>
    <w:rsid w:val="463336E0"/>
    <w:rsid w:val="46A240EA"/>
    <w:rsid w:val="46C16C66"/>
    <w:rsid w:val="46D04693"/>
    <w:rsid w:val="478D6A3C"/>
    <w:rsid w:val="47E744AA"/>
    <w:rsid w:val="48086415"/>
    <w:rsid w:val="482336B0"/>
    <w:rsid w:val="482B4558"/>
    <w:rsid w:val="487526CC"/>
    <w:rsid w:val="487E46E3"/>
    <w:rsid w:val="48B545A9"/>
    <w:rsid w:val="48B84099"/>
    <w:rsid w:val="48F13107"/>
    <w:rsid w:val="49521DF7"/>
    <w:rsid w:val="495F27A1"/>
    <w:rsid w:val="49AD1724"/>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EEE34EC"/>
    <w:rsid w:val="4F464194"/>
    <w:rsid w:val="4F510757"/>
    <w:rsid w:val="4F946E6D"/>
    <w:rsid w:val="4FDB37F4"/>
    <w:rsid w:val="50141B8D"/>
    <w:rsid w:val="502649D0"/>
    <w:rsid w:val="502D4D98"/>
    <w:rsid w:val="50940112"/>
    <w:rsid w:val="50B603AB"/>
    <w:rsid w:val="50BC5616"/>
    <w:rsid w:val="50FA67BE"/>
    <w:rsid w:val="511144D8"/>
    <w:rsid w:val="51FF6894"/>
    <w:rsid w:val="5215447D"/>
    <w:rsid w:val="522474FD"/>
    <w:rsid w:val="52592449"/>
    <w:rsid w:val="52956034"/>
    <w:rsid w:val="537E0443"/>
    <w:rsid w:val="53AE0572"/>
    <w:rsid w:val="53C33A31"/>
    <w:rsid w:val="53E72A96"/>
    <w:rsid w:val="545D5AF4"/>
    <w:rsid w:val="54A232F5"/>
    <w:rsid w:val="55844554"/>
    <w:rsid w:val="564C7BCE"/>
    <w:rsid w:val="56633896"/>
    <w:rsid w:val="56A833F9"/>
    <w:rsid w:val="56E542AB"/>
    <w:rsid w:val="5704203A"/>
    <w:rsid w:val="575104C8"/>
    <w:rsid w:val="577B4C0F"/>
    <w:rsid w:val="57B554F4"/>
    <w:rsid w:val="57E04A72"/>
    <w:rsid w:val="57FF75EE"/>
    <w:rsid w:val="58354DBE"/>
    <w:rsid w:val="5870229A"/>
    <w:rsid w:val="58715890"/>
    <w:rsid w:val="5987789B"/>
    <w:rsid w:val="59A33A0D"/>
    <w:rsid w:val="59AA4DF7"/>
    <w:rsid w:val="5A0507C0"/>
    <w:rsid w:val="5A43263C"/>
    <w:rsid w:val="5AB77983"/>
    <w:rsid w:val="5ABB5323"/>
    <w:rsid w:val="5B2335F4"/>
    <w:rsid w:val="5B567B2B"/>
    <w:rsid w:val="5B694D7F"/>
    <w:rsid w:val="5B745BFD"/>
    <w:rsid w:val="5B9A4115"/>
    <w:rsid w:val="5B9F1982"/>
    <w:rsid w:val="5BBD57F6"/>
    <w:rsid w:val="5C003935"/>
    <w:rsid w:val="5C1473E0"/>
    <w:rsid w:val="5C3435DF"/>
    <w:rsid w:val="5CB12E81"/>
    <w:rsid w:val="5D0B4EFB"/>
    <w:rsid w:val="5D1C0BD9"/>
    <w:rsid w:val="5D373C4B"/>
    <w:rsid w:val="5D447903"/>
    <w:rsid w:val="5D75771C"/>
    <w:rsid w:val="5D9702C9"/>
    <w:rsid w:val="5DAB1E3A"/>
    <w:rsid w:val="5DD115DD"/>
    <w:rsid w:val="5DD24E5D"/>
    <w:rsid w:val="5E070FAB"/>
    <w:rsid w:val="5E135B5A"/>
    <w:rsid w:val="5E4F4700"/>
    <w:rsid w:val="5E68756F"/>
    <w:rsid w:val="5EA8533D"/>
    <w:rsid w:val="5F257D99"/>
    <w:rsid w:val="5F805BD9"/>
    <w:rsid w:val="5F8454CE"/>
    <w:rsid w:val="5FC07EA8"/>
    <w:rsid w:val="5FE115EF"/>
    <w:rsid w:val="5FE22548"/>
    <w:rsid w:val="602216B9"/>
    <w:rsid w:val="60367B2B"/>
    <w:rsid w:val="603D5D3E"/>
    <w:rsid w:val="603F34D8"/>
    <w:rsid w:val="604F14EC"/>
    <w:rsid w:val="60A70B88"/>
    <w:rsid w:val="61090336"/>
    <w:rsid w:val="61181721"/>
    <w:rsid w:val="61500960"/>
    <w:rsid w:val="618621F4"/>
    <w:rsid w:val="61B722C3"/>
    <w:rsid w:val="61D01DD2"/>
    <w:rsid w:val="62046A6B"/>
    <w:rsid w:val="62257D7B"/>
    <w:rsid w:val="62500A46"/>
    <w:rsid w:val="627604AD"/>
    <w:rsid w:val="627B4EDA"/>
    <w:rsid w:val="62886CB8"/>
    <w:rsid w:val="629923ED"/>
    <w:rsid w:val="62B64D4D"/>
    <w:rsid w:val="62BC60DF"/>
    <w:rsid w:val="62C2643F"/>
    <w:rsid w:val="631A4D27"/>
    <w:rsid w:val="631D6B7A"/>
    <w:rsid w:val="634E142A"/>
    <w:rsid w:val="636C2D76"/>
    <w:rsid w:val="63DA020D"/>
    <w:rsid w:val="63E105CA"/>
    <w:rsid w:val="64077B7B"/>
    <w:rsid w:val="6415590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763171"/>
    <w:rsid w:val="6686173D"/>
    <w:rsid w:val="669E7FD2"/>
    <w:rsid w:val="66D11982"/>
    <w:rsid w:val="66EA3218"/>
    <w:rsid w:val="67386806"/>
    <w:rsid w:val="675D094C"/>
    <w:rsid w:val="6776587D"/>
    <w:rsid w:val="678F223E"/>
    <w:rsid w:val="67B61CC7"/>
    <w:rsid w:val="68142FE1"/>
    <w:rsid w:val="68792AA5"/>
    <w:rsid w:val="68B91D73"/>
    <w:rsid w:val="690B4321"/>
    <w:rsid w:val="690E31B6"/>
    <w:rsid w:val="692D388F"/>
    <w:rsid w:val="69961435"/>
    <w:rsid w:val="699A7177"/>
    <w:rsid w:val="69AD6A82"/>
    <w:rsid w:val="6A162A44"/>
    <w:rsid w:val="6A243D68"/>
    <w:rsid w:val="6A455DFD"/>
    <w:rsid w:val="6A48378D"/>
    <w:rsid w:val="6A8219B9"/>
    <w:rsid w:val="6AFF300A"/>
    <w:rsid w:val="6B091F05"/>
    <w:rsid w:val="6B1A1459"/>
    <w:rsid w:val="6B39435F"/>
    <w:rsid w:val="6B87372B"/>
    <w:rsid w:val="6BB81B36"/>
    <w:rsid w:val="6BD7028F"/>
    <w:rsid w:val="6BF80717"/>
    <w:rsid w:val="6BF85B87"/>
    <w:rsid w:val="6C1D55C6"/>
    <w:rsid w:val="6C6E4D5C"/>
    <w:rsid w:val="6C8D2FC3"/>
    <w:rsid w:val="6C9652DB"/>
    <w:rsid w:val="6CCC5F78"/>
    <w:rsid w:val="6CF71342"/>
    <w:rsid w:val="6D26555E"/>
    <w:rsid w:val="6D33797F"/>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22001CA"/>
    <w:rsid w:val="724C2FD8"/>
    <w:rsid w:val="7251239D"/>
    <w:rsid w:val="729C4BB7"/>
    <w:rsid w:val="73921146"/>
    <w:rsid w:val="73DB4E1F"/>
    <w:rsid w:val="740B13C3"/>
    <w:rsid w:val="743B50B2"/>
    <w:rsid w:val="7443371B"/>
    <w:rsid w:val="745C422F"/>
    <w:rsid w:val="74A751D7"/>
    <w:rsid w:val="74A83D3F"/>
    <w:rsid w:val="74AE1D28"/>
    <w:rsid w:val="74B9039C"/>
    <w:rsid w:val="74D326E8"/>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33B9D"/>
    <w:rsid w:val="777059BB"/>
    <w:rsid w:val="77737AF1"/>
    <w:rsid w:val="77923326"/>
    <w:rsid w:val="77F35E7A"/>
    <w:rsid w:val="781A3F3B"/>
    <w:rsid w:val="7863107C"/>
    <w:rsid w:val="78B418D7"/>
    <w:rsid w:val="78C132E5"/>
    <w:rsid w:val="78D13E8C"/>
    <w:rsid w:val="792E7917"/>
    <w:rsid w:val="793F363C"/>
    <w:rsid w:val="797252E7"/>
    <w:rsid w:val="79731FBB"/>
    <w:rsid w:val="79A90D10"/>
    <w:rsid w:val="79B86B21"/>
    <w:rsid w:val="79C46A79"/>
    <w:rsid w:val="79EC1FD7"/>
    <w:rsid w:val="7A2B12FD"/>
    <w:rsid w:val="7A644B7F"/>
    <w:rsid w:val="7AF0727B"/>
    <w:rsid w:val="7AFD1314"/>
    <w:rsid w:val="7B900A0A"/>
    <w:rsid w:val="7BC41E31"/>
    <w:rsid w:val="7C0526B8"/>
    <w:rsid w:val="7C617072"/>
    <w:rsid w:val="7CE5463C"/>
    <w:rsid w:val="7CFE5817"/>
    <w:rsid w:val="7D0C5A4B"/>
    <w:rsid w:val="7D2124A7"/>
    <w:rsid w:val="7D627B54"/>
    <w:rsid w:val="7D6A4C5A"/>
    <w:rsid w:val="7D6F41A2"/>
    <w:rsid w:val="7D7653AD"/>
    <w:rsid w:val="7DC52EA5"/>
    <w:rsid w:val="7DF02012"/>
    <w:rsid w:val="7E215319"/>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6">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7">
    <w:name w:val="heading 5"/>
    <w:basedOn w:val="1"/>
    <w:autoRedefine/>
    <w:qFormat/>
    <w:uiPriority w:val="0"/>
    <w:pPr>
      <w:keepNext/>
      <w:keepLines/>
      <w:spacing w:line="372" w:lineRule="auto"/>
      <w:outlineLvl w:val="4"/>
    </w:pPr>
    <w:rPr>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8">
    <w:name w:val="index 8"/>
    <w:basedOn w:val="1"/>
    <w:next w:val="1"/>
    <w:qFormat/>
    <w:uiPriority w:val="99"/>
    <w:pPr>
      <w:ind w:left="1400" w:leftChars="1400"/>
    </w:pPr>
  </w:style>
  <w:style w:type="paragraph" w:styleId="9">
    <w:name w:val="Normal Indent"/>
    <w:basedOn w:val="1"/>
    <w:next w:val="1"/>
    <w:qFormat/>
    <w:uiPriority w:val="0"/>
    <w:pPr>
      <w:ind w:firstLine="420"/>
    </w:pPr>
    <w:rPr>
      <w:szCs w:val="20"/>
    </w:rPr>
  </w:style>
  <w:style w:type="paragraph" w:styleId="10">
    <w:name w:val="annotation text"/>
    <w:basedOn w:val="1"/>
    <w:link w:val="32"/>
    <w:autoRedefine/>
    <w:qFormat/>
    <w:uiPriority w:val="0"/>
    <w:pPr>
      <w:jc w:val="left"/>
    </w:pPr>
  </w:style>
  <w:style w:type="paragraph" w:styleId="11">
    <w:name w:val="Body Text Indent"/>
    <w:basedOn w:val="1"/>
    <w:next w:val="1"/>
    <w:link w:val="37"/>
    <w:autoRedefine/>
    <w:qFormat/>
    <w:uiPriority w:val="0"/>
    <w:pPr>
      <w:ind w:firstLine="830" w:firstLineChars="352"/>
    </w:pPr>
    <w:rPr>
      <w:rFonts w:ascii="仿宋_GB2312" w:eastAsia="仿宋_GB2312"/>
      <w:kern w:val="0"/>
      <w:sz w:val="32"/>
      <w:szCs w:val="20"/>
    </w:rPr>
  </w:style>
  <w:style w:type="paragraph" w:styleId="12">
    <w:name w:val="toc 5"/>
    <w:basedOn w:val="1"/>
    <w:autoRedefine/>
    <w:qFormat/>
    <w:uiPriority w:val="0"/>
    <w:pPr>
      <w:tabs>
        <w:tab w:val="right" w:leader="dot" w:pos="8296"/>
      </w:tabs>
      <w:ind w:left="1050" w:leftChars="500"/>
    </w:pPr>
  </w:style>
  <w:style w:type="paragraph" w:styleId="13">
    <w:name w:val="toc 3"/>
    <w:basedOn w:val="1"/>
    <w:autoRedefine/>
    <w:qFormat/>
    <w:uiPriority w:val="0"/>
    <w:pPr>
      <w:ind w:left="840" w:leftChars="400"/>
    </w:pPr>
  </w:style>
  <w:style w:type="paragraph" w:styleId="14">
    <w:name w:val="Plain Text"/>
    <w:basedOn w:val="1"/>
    <w:link w:val="40"/>
    <w:autoRedefine/>
    <w:qFormat/>
    <w:uiPriority w:val="99"/>
    <w:rPr>
      <w:rFonts w:ascii="宋体" w:hAnsi="Courier New" w:cs="Courier New"/>
      <w:szCs w:val="21"/>
    </w:rPr>
  </w:style>
  <w:style w:type="paragraph" w:styleId="15">
    <w:name w:val="Balloon Text"/>
    <w:basedOn w:val="1"/>
    <w:link w:val="3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autoRedefine/>
    <w:qFormat/>
    <w:uiPriority w:val="0"/>
    <w:pPr>
      <w:tabs>
        <w:tab w:val="left" w:pos="1890"/>
        <w:tab w:val="right" w:leader="dot" w:pos="8296"/>
      </w:tabs>
      <w:ind w:left="630" w:leftChars="3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10"/>
    <w:link w:val="33"/>
    <w:autoRedefine/>
    <w:qFormat/>
    <w:uiPriority w:val="0"/>
    <w:rPr>
      <w:b/>
      <w:bCs/>
    </w:rPr>
  </w:style>
  <w:style w:type="paragraph" w:styleId="21">
    <w:name w:val="Body Text First Indent 2"/>
    <w:basedOn w:val="11"/>
    <w:link w:val="38"/>
    <w:autoRedefine/>
    <w:qFormat/>
    <w:uiPriority w:val="0"/>
    <w:pPr>
      <w:spacing w:after="120"/>
      <w:ind w:left="420" w:leftChars="200" w:firstLine="210" w:firstLineChars="200"/>
    </w:pPr>
    <w:rPr>
      <w:rFonts w:ascii="宋体" w:hAnsi="宋体"/>
      <w:kern w:val="2"/>
      <w:sz w:val="28"/>
    </w:rPr>
  </w:style>
  <w:style w:type="character" w:styleId="24">
    <w:name w:val="Strong"/>
    <w:basedOn w:val="23"/>
    <w:qFormat/>
    <w:uiPriority w:val="99"/>
    <w:rPr>
      <w:b/>
    </w:rPr>
  </w:style>
  <w:style w:type="character" w:styleId="25">
    <w:name w:val="Hyperlink"/>
    <w:qFormat/>
    <w:uiPriority w:val="0"/>
    <w:rPr>
      <w:rFonts w:cs="Times New Roman"/>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rPr>
      <w:rFonts w:ascii="Times New Roman" w:hAnsi="Times New Roman" w:eastAsia="Times New Roman" w:cs="Times New Roman"/>
      <w:sz w:val="24"/>
      <w:szCs w:val="24"/>
      <w:lang w:val="en-US" w:eastAsia="zh-CN" w:bidi="ar-SA"/>
    </w:rPr>
  </w:style>
  <w:style w:type="paragraph" w:customStyle="1" w:styleId="28">
    <w:name w:val="Div_MsoNormal ParagraphIndent"/>
    <w:basedOn w:val="27"/>
    <w:qFormat/>
    <w:uiPriority w:val="0"/>
    <w:rPr>
      <w:rFonts w:ascii="宋体" w:hAnsi="宋体" w:eastAsia="宋体" w:cs="宋体"/>
      <w:sz w:val="21"/>
    </w:rPr>
  </w:style>
  <w:style w:type="paragraph" w:customStyle="1" w:styleId="29">
    <w:name w:val="Div_MsoNormal  ParagraphIndent"/>
    <w:basedOn w:val="27"/>
    <w:qFormat/>
    <w:uiPriority w:val="0"/>
    <w:rPr>
      <w:rFonts w:ascii="宋体" w:hAnsi="宋体" w:eastAsia="宋体" w:cs="宋体"/>
      <w:sz w:val="21"/>
    </w:rPr>
  </w:style>
  <w:style w:type="paragraph" w:customStyle="1" w:styleId="30">
    <w:name w:val="_Style 6"/>
    <w:basedOn w:val="4"/>
    <w:autoRedefine/>
    <w:qFormat/>
    <w:uiPriority w:val="0"/>
    <w:pPr>
      <w:outlineLvl w:val="9"/>
    </w:pPr>
  </w:style>
  <w:style w:type="paragraph" w:customStyle="1" w:styleId="31">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2">
    <w:name w:val="批注文字 Char"/>
    <w:basedOn w:val="23"/>
    <w:link w:val="10"/>
    <w:qFormat/>
    <w:uiPriority w:val="0"/>
    <w:rPr>
      <w:rFonts w:ascii="Calibri" w:hAnsi="Calibri"/>
      <w:kern w:val="2"/>
      <w:sz w:val="21"/>
      <w:szCs w:val="22"/>
    </w:rPr>
  </w:style>
  <w:style w:type="character" w:customStyle="1" w:styleId="33">
    <w:name w:val="批注主题 Char"/>
    <w:basedOn w:val="32"/>
    <w:link w:val="20"/>
    <w:qFormat/>
    <w:uiPriority w:val="0"/>
    <w:rPr>
      <w:rFonts w:ascii="Calibri" w:hAnsi="Calibri"/>
      <w:kern w:val="2"/>
      <w:sz w:val="21"/>
      <w:szCs w:val="22"/>
    </w:rPr>
  </w:style>
  <w:style w:type="character" w:customStyle="1" w:styleId="34">
    <w:name w:val="批注框文本 Char"/>
    <w:basedOn w:val="23"/>
    <w:link w:val="15"/>
    <w:qFormat/>
    <w:uiPriority w:val="0"/>
    <w:rPr>
      <w:rFonts w:ascii="Calibri" w:hAnsi="Calibri"/>
      <w:kern w:val="2"/>
      <w:sz w:val="18"/>
      <w:szCs w:val="18"/>
    </w:rPr>
  </w:style>
  <w:style w:type="paragraph" w:styleId="35">
    <w:name w:val="List Paragraph"/>
    <w:basedOn w:val="1"/>
    <w:unhideWhenUsed/>
    <w:qFormat/>
    <w:uiPriority w:val="99"/>
    <w:pPr>
      <w:ind w:firstLine="420" w:firstLineChars="200"/>
    </w:pPr>
  </w:style>
  <w:style w:type="paragraph" w:customStyle="1" w:styleId="36">
    <w:name w:val="表格文字"/>
    <w:basedOn w:val="1"/>
    <w:qFormat/>
    <w:uiPriority w:val="99"/>
    <w:pPr>
      <w:spacing w:before="25" w:after="25"/>
      <w:jc w:val="left"/>
    </w:pPr>
    <w:rPr>
      <w:bCs/>
      <w:spacing w:val="10"/>
      <w:kern w:val="0"/>
      <w:sz w:val="24"/>
    </w:rPr>
  </w:style>
  <w:style w:type="character" w:customStyle="1" w:styleId="37">
    <w:name w:val="正文文本缩进 Char"/>
    <w:basedOn w:val="23"/>
    <w:link w:val="11"/>
    <w:qFormat/>
    <w:uiPriority w:val="0"/>
    <w:rPr>
      <w:rFonts w:hint="default" w:ascii="Calibri" w:hAnsi="Calibri" w:cs="Calibri"/>
      <w:kern w:val="2"/>
      <w:sz w:val="21"/>
      <w:szCs w:val="22"/>
    </w:rPr>
  </w:style>
  <w:style w:type="character" w:customStyle="1" w:styleId="38">
    <w:name w:val="正文首行缩进 2 Char"/>
    <w:basedOn w:val="37"/>
    <w:link w:val="21"/>
    <w:qFormat/>
    <w:uiPriority w:val="0"/>
    <w:rPr>
      <w:rFonts w:hint="default" w:ascii="Calibri" w:hAnsi="Calibri" w:cs="Calibri"/>
      <w:kern w:val="2"/>
      <w:sz w:val="21"/>
      <w:szCs w:val="22"/>
    </w:rPr>
  </w:style>
  <w:style w:type="paragraph" w:customStyle="1" w:styleId="39">
    <w:name w:val="_Style 1"/>
    <w:basedOn w:val="1"/>
    <w:qFormat/>
    <w:uiPriority w:val="99"/>
    <w:pPr>
      <w:ind w:firstLine="420" w:firstLineChars="200"/>
    </w:pPr>
    <w:rPr>
      <w:rFonts w:ascii="Times New Roman" w:hAnsi="Times New Roman"/>
      <w:szCs w:val="20"/>
    </w:rPr>
  </w:style>
  <w:style w:type="character" w:customStyle="1" w:styleId="40">
    <w:name w:val="纯文本 Char"/>
    <w:link w:val="14"/>
    <w:qFormat/>
    <w:uiPriority w:val="99"/>
    <w:rPr>
      <w:rFonts w:ascii="宋体" w:hAnsi="Courier New" w:cs="Courier New"/>
      <w:kern w:val="2"/>
      <w:sz w:val="21"/>
      <w:szCs w:val="21"/>
    </w:rPr>
  </w:style>
  <w:style w:type="character" w:customStyle="1" w:styleId="41">
    <w:name w:val="font71"/>
    <w:basedOn w:val="23"/>
    <w:qFormat/>
    <w:uiPriority w:val="0"/>
    <w:rPr>
      <w:rFonts w:hint="eastAsia" w:ascii="宋体" w:hAnsi="宋体" w:eastAsia="宋体" w:cs="宋体"/>
      <w:color w:val="000000"/>
      <w:sz w:val="24"/>
      <w:szCs w:val="24"/>
      <w:u w:val="none"/>
    </w:rPr>
  </w:style>
  <w:style w:type="paragraph" w:customStyle="1" w:styleId="42">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3">
    <w:name w:val="font11"/>
    <w:basedOn w:val="23"/>
    <w:qFormat/>
    <w:uiPriority w:val="0"/>
    <w:rPr>
      <w:rFonts w:hint="eastAsia" w:ascii="宋体" w:hAnsi="宋体" w:eastAsia="宋体" w:cs="宋体"/>
      <w:color w:val="000000"/>
      <w:sz w:val="22"/>
      <w:szCs w:val="22"/>
      <w:u w:val="none"/>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7542</Words>
  <Characters>7865</Characters>
  <Lines>29</Lines>
  <Paragraphs>8</Paragraphs>
  <TotalTime>20</TotalTime>
  <ScaleCrop>false</ScaleCrop>
  <LinksUpToDate>false</LinksUpToDate>
  <CharactersWithSpaces>8146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2025-10-27T03:47:04Z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