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0BB09">
      <w:pPr>
        <w:pStyle w:val="25"/>
        <w:spacing w:line="360" w:lineRule="auto"/>
        <w:jc w:val="center"/>
        <w:rPr>
          <w:rFonts w:hint="eastAsia" w:ascii="微软雅黑" w:hAnsi="微软雅黑" w:eastAsia="微软雅黑" w:cs="微软雅黑"/>
          <w:b/>
          <w:bCs/>
          <w:szCs w:val="21"/>
          <w:lang w:val="zh-CN"/>
        </w:rPr>
      </w:pPr>
      <w:r>
        <w:rPr>
          <w:rFonts w:hint="eastAsia" w:ascii="微软雅黑" w:hAnsi="微软雅黑" w:eastAsia="微软雅黑" w:cs="微软雅黑"/>
          <w:b/>
          <w:bCs/>
          <w:sz w:val="44"/>
          <w:szCs w:val="44"/>
        </w:rPr>
        <w:t>制剂室印刷服务</w:t>
      </w:r>
      <w:r>
        <w:rPr>
          <w:rFonts w:hint="eastAsia" w:ascii="微软雅黑" w:hAnsi="微软雅黑" w:eastAsia="微软雅黑" w:cs="微软雅黑"/>
          <w:b/>
          <w:bCs/>
          <w:sz w:val="44"/>
          <w:szCs w:val="44"/>
          <w:lang w:val="zh-CN"/>
        </w:rPr>
        <w:t>采购需求</w:t>
      </w:r>
    </w:p>
    <w:p w14:paraId="286B570C">
      <w:pPr>
        <w:pStyle w:val="25"/>
        <w:spacing w:line="360" w:lineRule="auto"/>
        <w:rPr>
          <w:rFonts w:ascii="仿宋" w:hAnsi="仿宋" w:eastAsia="仿宋" w:cs="仿宋"/>
          <w:b/>
          <w:bCs/>
          <w:sz w:val="28"/>
          <w:szCs w:val="28"/>
          <w:lang w:val="zh-CN"/>
        </w:rPr>
      </w:pPr>
      <w:r>
        <w:rPr>
          <w:rFonts w:hint="eastAsia" w:ascii="仿宋" w:hAnsi="仿宋" w:eastAsia="仿宋" w:cs="仿宋"/>
          <w:b/>
          <w:bCs/>
          <w:sz w:val="28"/>
          <w:szCs w:val="28"/>
          <w:lang w:val="zh-CN"/>
        </w:rPr>
        <w:t>一、项目概况</w:t>
      </w:r>
    </w:p>
    <w:p w14:paraId="590E8F4B">
      <w:pPr>
        <w:pStyle w:val="25"/>
        <w:numPr>
          <w:ilvl w:val="0"/>
          <w:numId w:val="1"/>
        </w:numPr>
        <w:spacing w:line="360" w:lineRule="auto"/>
        <w:rPr>
          <w:rFonts w:ascii="仿宋" w:hAnsi="仿宋" w:eastAsia="仿宋" w:cs="仿宋"/>
          <w:sz w:val="28"/>
          <w:szCs w:val="28"/>
          <w:lang w:val="zh-CN"/>
        </w:rPr>
      </w:pPr>
      <w:r>
        <w:rPr>
          <w:rFonts w:hint="eastAsia" w:ascii="仿宋" w:hAnsi="仿宋" w:eastAsia="仿宋" w:cs="仿宋"/>
          <w:sz w:val="28"/>
          <w:szCs w:val="28"/>
          <w:lang w:val="zh-CN"/>
        </w:rPr>
        <w:t>预算价:183975元</w:t>
      </w:r>
      <w:bookmarkStart w:id="0" w:name="_GoBack"/>
      <w:bookmarkEnd w:id="0"/>
    </w:p>
    <w:p w14:paraId="194B27DF">
      <w:pPr>
        <w:pStyle w:val="25"/>
        <w:numPr>
          <w:ilvl w:val="0"/>
          <w:numId w:val="1"/>
        </w:num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合同期限：自合同签订生效之日起1年，按实际采购金额进行结算，若在1年内供应金额达到合同总金额的100%则终止合同。 </w:t>
      </w:r>
    </w:p>
    <w:p w14:paraId="41B316AF">
      <w:pPr>
        <w:pStyle w:val="25"/>
        <w:spacing w:line="360" w:lineRule="auto"/>
        <w:rPr>
          <w:rFonts w:ascii="仿宋" w:hAnsi="仿宋" w:eastAsia="仿宋" w:cs="仿宋"/>
          <w:sz w:val="28"/>
          <w:szCs w:val="28"/>
          <w:lang w:val="zh-CN"/>
        </w:rPr>
      </w:pPr>
      <w:r>
        <w:rPr>
          <w:rFonts w:hint="eastAsia" w:ascii="仿宋" w:hAnsi="仿宋" w:eastAsia="仿宋" w:cs="仿宋"/>
          <w:b/>
          <w:bCs/>
          <w:sz w:val="28"/>
          <w:szCs w:val="28"/>
          <w:lang w:val="zh-CN"/>
        </w:rPr>
        <w:t xml:space="preserve">二、供应商资格要求 </w:t>
      </w:r>
    </w:p>
    <w:p w14:paraId="39420529">
      <w:pPr>
        <w:pStyle w:val="25"/>
        <w:spacing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1、供应商必须是“广西壮族自治区政府采购中心关于2025-2026年自治区本级及南宁市本级预算单位印刷服务框架协议采购（GXZC2024-K3-006428-CGZX）入围结果”入围供应商，本项目中标后必须在“广西政府采购云平台www.gcy.zfcg.gxzf.gov.cn”上框架协议采购。</w:t>
      </w:r>
    </w:p>
    <w:p w14:paraId="6D03E46C">
      <w:pPr>
        <w:pStyle w:val="25"/>
        <w:spacing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2、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11AF3850">
      <w:pPr>
        <w:pStyle w:val="25"/>
        <w:spacing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38A3F055">
      <w:pPr>
        <w:pStyle w:val="25"/>
        <w:spacing w:line="360" w:lineRule="auto"/>
        <w:rPr>
          <w:rFonts w:ascii="仿宋" w:hAnsi="仿宋" w:eastAsia="仿宋" w:cs="仿宋"/>
          <w:sz w:val="28"/>
          <w:szCs w:val="28"/>
          <w:lang w:val="zh-CN"/>
        </w:rPr>
      </w:pPr>
      <w:r>
        <w:rPr>
          <w:rFonts w:hint="eastAsia" w:ascii="仿宋" w:hAnsi="仿宋" w:eastAsia="仿宋" w:cs="仿宋"/>
          <w:sz w:val="28"/>
          <w:szCs w:val="28"/>
          <w:lang w:val="zh-CN"/>
        </w:rPr>
        <w:t>4、本次不接受联合体参与。</w:t>
      </w:r>
    </w:p>
    <w:p w14:paraId="507CE02F">
      <w:pPr>
        <w:tabs>
          <w:tab w:val="left" w:pos="180"/>
          <w:tab w:val="left" w:pos="1620"/>
        </w:tabs>
        <w:spacing w:line="360" w:lineRule="auto"/>
        <w:jc w:val="left"/>
        <w:rPr>
          <w:rFonts w:ascii="仿宋" w:hAnsi="仿宋" w:eastAsia="仿宋" w:cs="仿宋"/>
          <w:b/>
          <w:bCs/>
          <w:sz w:val="28"/>
          <w:szCs w:val="28"/>
        </w:rPr>
      </w:pPr>
      <w:r>
        <w:rPr>
          <w:rFonts w:hint="eastAsia" w:ascii="仿宋" w:hAnsi="仿宋" w:eastAsia="仿宋" w:cs="仿宋"/>
          <w:b/>
          <w:bCs/>
          <w:sz w:val="28"/>
          <w:szCs w:val="28"/>
        </w:rPr>
        <w:t>三、服务要求：</w:t>
      </w:r>
    </w:p>
    <w:p w14:paraId="52EE00B0">
      <w:pPr>
        <w:tabs>
          <w:tab w:val="left" w:pos="180"/>
          <w:tab w:val="left" w:pos="1620"/>
        </w:tabs>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1.提供标签印刷服务，具体要求详见报价清单。</w:t>
      </w:r>
    </w:p>
    <w:p w14:paraId="6695E406">
      <w:pPr>
        <w:tabs>
          <w:tab w:val="left" w:pos="180"/>
          <w:tab w:val="left" w:pos="1620"/>
        </w:tabs>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2.按照采购人要求的时间内分批送货，每次下单后5日内配送。本项目以采购人实际需求数量为准（在“项目验收单”签字同意验收）进行结算。</w:t>
      </w:r>
    </w:p>
    <w:p w14:paraId="615D2890">
      <w:pPr>
        <w:tabs>
          <w:tab w:val="left" w:pos="180"/>
          <w:tab w:val="left" w:pos="1620"/>
        </w:tabs>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 xml:space="preserve">3.标签印刷要求：所有标签应以双方核对签字后的清样为准，不干胶条形标签张与张之间应紧密连接、方向一致、没有边框、没有裁断现象，每张标签边沿裁剪完整、没有粘连现象，所有不干胶标签保质期至少2年。标签包装规格按照申请表内容要求进行包装。                                                     </w:t>
      </w:r>
    </w:p>
    <w:p w14:paraId="70D638B6">
      <w:pPr>
        <w:tabs>
          <w:tab w:val="left" w:pos="180"/>
          <w:tab w:val="left" w:pos="1620"/>
        </w:tabs>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4.包装盒印刷要求：所有包装盒应以双方核对签字后的清样为准，包装盒连接处应紧密连接、没有脱胶、包装盒之间没有粘连现象，边沿裁剪完整，胶水保质期至少2年。</w:t>
      </w:r>
    </w:p>
    <w:p w14:paraId="01C88208">
      <w:pPr>
        <w:tabs>
          <w:tab w:val="left" w:pos="180"/>
          <w:tab w:val="left" w:pos="1620"/>
        </w:tabs>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 xml:space="preserve">5.瓦楞纸箱的印刷要求：所有纸箱应以双方核对签字后的清样为准，纸箱的硬度、重量、字样按提供的样品制作。                                                                                                                                                                                                                                                                                                                                       </w:t>
      </w:r>
    </w:p>
    <w:p w14:paraId="569C0AAC">
      <w:pPr>
        <w:tabs>
          <w:tab w:val="left" w:pos="180"/>
          <w:tab w:val="left" w:pos="1620"/>
        </w:tabs>
        <w:spacing w:line="360" w:lineRule="auto"/>
        <w:ind w:firstLine="560" w:firstLineChars="20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6.包装规格按照要求进行包装。</w:t>
      </w:r>
    </w:p>
    <w:p w14:paraId="33025C45">
      <w:pPr>
        <w:pStyle w:val="2"/>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7.成品数量不能超过计划数量的3%。</w:t>
      </w:r>
    </w:p>
    <w:p w14:paraId="38FB3D51">
      <w:pPr>
        <w:pStyle w:val="2"/>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8.</w:t>
      </w:r>
      <w:r>
        <w:rPr>
          <w:rFonts w:hint="eastAsia" w:ascii="仿宋" w:hAnsi="仿宋" w:eastAsia="仿宋" w:cs="仿宋"/>
          <w:bCs/>
          <w:sz w:val="28"/>
          <w:szCs w:val="28"/>
          <w:highlight w:val="none"/>
        </w:rPr>
        <w:t>保密要求：供应商需按照《信息安全保密协议书》对采购人的信息进行保密。</w:t>
      </w:r>
    </w:p>
    <w:p w14:paraId="24D27DEC">
      <w:pPr>
        <w:tabs>
          <w:tab w:val="left" w:pos="180"/>
          <w:tab w:val="left" w:pos="1620"/>
        </w:tabs>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四、商务条款:</w:t>
      </w:r>
    </w:p>
    <w:p w14:paraId="621CE958">
      <w:pPr>
        <w:numPr>
          <w:ilvl w:val="0"/>
          <w:numId w:val="2"/>
        </w:numPr>
        <w:spacing w:line="360" w:lineRule="auto"/>
        <w:jc w:val="left"/>
        <w:rPr>
          <w:rFonts w:ascii="仿宋" w:hAnsi="仿宋" w:eastAsia="仿宋" w:cs="仿宋"/>
          <w:sz w:val="28"/>
          <w:szCs w:val="28"/>
          <w:u w:val="single"/>
        </w:rPr>
      </w:pPr>
      <w:r>
        <w:rPr>
          <w:rFonts w:hint="eastAsia" w:ascii="仿宋" w:hAnsi="仿宋" w:eastAsia="仿宋" w:cs="仿宋"/>
          <w:sz w:val="28"/>
          <w:szCs w:val="28"/>
        </w:rPr>
        <w:t>付款方式: 货款六个月结算一次，双方对印刷品数量金额进行核对后，供应商应向采购人提供合法有效的发票及合格的验收结算资料（验收单、结算单原件），双方确认无误后，采购人将费用支付给供应商。</w:t>
      </w:r>
    </w:p>
    <w:p w14:paraId="1D0E6732">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验收标准：符合现行国家相关标准、行业标准、地方标准或者其他标准、规范。</w:t>
      </w:r>
    </w:p>
    <w:p w14:paraId="00F3DC8A">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其他：本项目完成评审后，按照《桂财规〔2020]1号 广西壮族自治区财政厅关于印发广西壮族自治区政府采购电子卖场采购管理暂行办法的通知》申报政府采购计划，经备案通过后组织实施采购活动，在广西政府采购云平台“电子卖场-框架协议采购”上成交。</w:t>
      </w:r>
    </w:p>
    <w:p w14:paraId="654ECA58">
      <w:pPr>
        <w:tabs>
          <w:tab w:val="left" w:pos="180"/>
          <w:tab w:val="left" w:pos="1620"/>
        </w:tabs>
        <w:spacing w:line="360" w:lineRule="auto"/>
        <w:jc w:val="left"/>
        <w:rPr>
          <w:rFonts w:ascii="仿宋" w:hAnsi="仿宋" w:eastAsia="仿宋" w:cs="仿宋"/>
          <w:b/>
          <w:bCs/>
          <w:sz w:val="28"/>
          <w:szCs w:val="28"/>
        </w:rPr>
      </w:pPr>
      <w:r>
        <w:rPr>
          <w:rFonts w:hint="eastAsia" w:ascii="仿宋" w:hAnsi="仿宋" w:eastAsia="仿宋" w:cs="仿宋"/>
          <w:b/>
          <w:bCs/>
          <w:sz w:val="28"/>
          <w:szCs w:val="28"/>
        </w:rPr>
        <w:t>五、采购人联系方式</w:t>
      </w:r>
    </w:p>
    <w:p w14:paraId="6B6634D6">
      <w:pPr>
        <w:pStyle w:val="1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名    称：广西医科大学第一附属医院</w:t>
      </w:r>
    </w:p>
    <w:p w14:paraId="641C4C35">
      <w:pPr>
        <w:pStyle w:val="1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    址：广西南宁市双拥路6号</w:t>
      </w:r>
    </w:p>
    <w:p w14:paraId="19047FAD">
      <w:pPr>
        <w:pStyle w:val="1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rPr>
        <w:t>黄工，</w:t>
      </w:r>
      <w:r>
        <w:rPr>
          <w:rFonts w:ascii="仿宋" w:hAnsi="仿宋" w:eastAsia="仿宋" w:cs="仿宋"/>
          <w:sz w:val="28"/>
        </w:rPr>
        <w:t>0771-5356589</w:t>
      </w:r>
    </w:p>
    <w:p w14:paraId="3D22AE1D">
      <w:pPr>
        <w:spacing w:after="120" w:line="360" w:lineRule="auto"/>
        <w:rPr>
          <w:rFonts w:ascii="仿宋" w:hAnsi="仿宋" w:eastAsia="仿宋" w:cs="仿宋"/>
          <w:b/>
          <w:bCs/>
          <w:sz w:val="28"/>
          <w:szCs w:val="28"/>
        </w:rPr>
        <w:sectPr>
          <w:footerReference r:id="rId4" w:type="first"/>
          <w:footerReference r:id="rId3" w:type="default"/>
          <w:pgSz w:w="11906" w:h="16838"/>
          <w:pgMar w:top="1440" w:right="1800" w:bottom="1440" w:left="1800" w:header="851" w:footer="992" w:gutter="0"/>
          <w:pgNumType w:fmt="decimal"/>
          <w:cols w:space="425" w:num="1"/>
          <w:docGrid w:type="lines" w:linePitch="312" w:charSpace="0"/>
        </w:sectPr>
      </w:pPr>
    </w:p>
    <w:p w14:paraId="772883D2">
      <w:pPr>
        <w:spacing w:line="360" w:lineRule="auto"/>
        <w:jc w:val="center"/>
        <w:rPr>
          <w:rFonts w:ascii="仿宋" w:hAnsi="仿宋" w:eastAsia="仿宋" w:cs="仿宋"/>
          <w:b/>
          <w:sz w:val="28"/>
          <w:szCs w:val="28"/>
        </w:rPr>
      </w:pPr>
      <w:r>
        <w:rPr>
          <w:rFonts w:hint="eastAsia" w:ascii="仿宋" w:hAnsi="仿宋" w:eastAsia="仿宋" w:cs="仿宋"/>
          <w:b/>
          <w:sz w:val="28"/>
          <w:szCs w:val="28"/>
        </w:rPr>
        <w:t>报价材料要求</w:t>
      </w:r>
    </w:p>
    <w:p w14:paraId="33159121">
      <w:pPr>
        <w:pStyle w:val="19"/>
        <w:spacing w:line="360" w:lineRule="auto"/>
        <w:ind w:firstLine="562"/>
        <w:rPr>
          <w:rFonts w:ascii="仿宋" w:hAnsi="仿宋" w:eastAsia="仿宋" w:cs="仿宋"/>
          <w:b/>
          <w:szCs w:val="28"/>
        </w:rPr>
      </w:pPr>
    </w:p>
    <w:p w14:paraId="2C259456">
      <w:pPr>
        <w:pStyle w:val="19"/>
        <w:spacing w:line="360" w:lineRule="auto"/>
        <w:ind w:firstLine="560"/>
        <w:jc w:val="left"/>
        <w:rPr>
          <w:rFonts w:ascii="仿宋" w:hAnsi="仿宋" w:eastAsia="仿宋" w:cs="仿宋"/>
          <w:bCs/>
          <w:szCs w:val="28"/>
        </w:rPr>
      </w:pPr>
      <w:r>
        <w:rPr>
          <w:rFonts w:hint="eastAsia" w:ascii="仿宋" w:hAnsi="仿宋" w:eastAsia="仿宋" w:cs="仿宋"/>
          <w:bCs/>
          <w:szCs w:val="28"/>
        </w:rPr>
        <w:t>1.营业执照复印件</w:t>
      </w:r>
    </w:p>
    <w:p w14:paraId="41EA27E4">
      <w:pPr>
        <w:pStyle w:val="19"/>
        <w:spacing w:line="360" w:lineRule="auto"/>
        <w:ind w:firstLine="560"/>
        <w:jc w:val="left"/>
        <w:rPr>
          <w:rFonts w:ascii="仿宋" w:hAnsi="仿宋" w:eastAsia="仿宋" w:cs="仿宋"/>
          <w:bCs/>
          <w:szCs w:val="28"/>
        </w:rPr>
      </w:pPr>
      <w:r>
        <w:rPr>
          <w:rFonts w:hint="eastAsia" w:ascii="仿宋" w:hAnsi="仿宋" w:eastAsia="仿宋" w:cs="仿宋"/>
          <w:bCs/>
          <w:szCs w:val="28"/>
        </w:rPr>
        <w:t>2.法定代表人身份证明或法人授权委托书及被授权人身份证明和联系方式；</w:t>
      </w:r>
    </w:p>
    <w:p w14:paraId="5776B241">
      <w:pPr>
        <w:pStyle w:val="19"/>
        <w:spacing w:line="360" w:lineRule="auto"/>
        <w:ind w:firstLine="560"/>
        <w:jc w:val="left"/>
        <w:rPr>
          <w:rFonts w:ascii="仿宋" w:hAnsi="仿宋" w:eastAsia="仿宋" w:cs="仿宋"/>
          <w:bCs/>
          <w:szCs w:val="28"/>
        </w:rPr>
      </w:pPr>
      <w:r>
        <w:rPr>
          <w:rFonts w:hint="eastAsia" w:ascii="仿宋" w:hAnsi="仿宋" w:eastAsia="仿宋" w:cs="仿宋"/>
          <w:bCs/>
          <w:szCs w:val="28"/>
        </w:rPr>
        <w:t>3. 报价表【报价不得高于预算价，仅一次报价】；</w:t>
      </w:r>
    </w:p>
    <w:p w14:paraId="069A2154">
      <w:pPr>
        <w:pStyle w:val="19"/>
        <w:spacing w:line="360" w:lineRule="auto"/>
        <w:ind w:firstLine="560"/>
        <w:jc w:val="left"/>
        <w:rPr>
          <w:rFonts w:ascii="仿宋" w:hAnsi="仿宋" w:eastAsia="仿宋" w:cs="仿宋"/>
          <w:bCs/>
          <w:szCs w:val="28"/>
        </w:rPr>
      </w:pPr>
      <w:r>
        <w:rPr>
          <w:rFonts w:hint="eastAsia" w:ascii="仿宋" w:hAnsi="仿宋" w:eastAsia="仿宋" w:cs="仿宋"/>
          <w:bCs/>
          <w:szCs w:val="28"/>
        </w:rPr>
        <w:t>4. 声明函、公司直接控股股东信息表、公司直接管理关系信息表</w:t>
      </w:r>
    </w:p>
    <w:p w14:paraId="558905D2">
      <w:pPr>
        <w:pStyle w:val="19"/>
        <w:spacing w:line="360" w:lineRule="auto"/>
        <w:ind w:firstLine="560"/>
        <w:jc w:val="left"/>
        <w:rPr>
          <w:rFonts w:ascii="仿宋" w:hAnsi="仿宋" w:eastAsia="仿宋" w:cs="仿宋"/>
          <w:bCs/>
          <w:szCs w:val="28"/>
        </w:rPr>
      </w:pPr>
      <w:r>
        <w:rPr>
          <w:rFonts w:hint="eastAsia" w:ascii="仿宋" w:hAnsi="仿宋" w:eastAsia="仿宋" w:cs="仿宋"/>
          <w:bCs/>
          <w:szCs w:val="28"/>
        </w:rPr>
        <w:t>5.供应商自行根据评标方案提供评审资料。</w:t>
      </w:r>
    </w:p>
    <w:p w14:paraId="776E4E5E">
      <w:pPr>
        <w:pStyle w:val="19"/>
        <w:spacing w:line="360" w:lineRule="auto"/>
        <w:ind w:firstLine="562"/>
        <w:jc w:val="left"/>
        <w:rPr>
          <w:rFonts w:ascii="仿宋" w:hAnsi="仿宋" w:eastAsia="仿宋" w:cs="仿宋"/>
          <w:b/>
          <w:szCs w:val="28"/>
        </w:rPr>
      </w:pPr>
      <w:r>
        <w:rPr>
          <w:rFonts w:hint="eastAsia" w:ascii="仿宋" w:hAnsi="仿宋" w:eastAsia="仿宋" w:cs="仿宋"/>
          <w:b/>
          <w:szCs w:val="28"/>
        </w:rPr>
        <w:t>以上材料必须提交。</w:t>
      </w:r>
    </w:p>
    <w:p w14:paraId="08D01C17">
      <w:pPr>
        <w:ind w:firstLine="560" w:firstLineChars="200"/>
        <w:rPr>
          <w:rFonts w:ascii="仿宋" w:hAnsi="仿宋" w:eastAsia="仿宋" w:cs="仿宋"/>
          <w:bCs/>
          <w:sz w:val="28"/>
          <w:szCs w:val="28"/>
        </w:rPr>
        <w:sectPr>
          <w:footerReference r:id="rId6" w:type="first"/>
          <w:footerReference r:id="rId5" w:type="default"/>
          <w:pgSz w:w="11906" w:h="16838"/>
          <w:pgMar w:top="1418" w:right="1555" w:bottom="1418" w:left="1531" w:header="851" w:footer="992" w:gutter="0"/>
          <w:pgNumType w:fmt="decimal" w:start="4"/>
          <w:cols w:space="720" w:num="1"/>
          <w:titlePg/>
          <w:docGrid w:type="lines" w:linePitch="312" w:charSpace="0"/>
        </w:sectPr>
      </w:pPr>
      <w:r>
        <w:rPr>
          <w:rFonts w:hint="eastAsia" w:ascii="仿宋" w:hAnsi="仿宋" w:eastAsia="仿宋" w:cs="仿宋"/>
          <w:bCs/>
          <w:sz w:val="28"/>
          <w:szCs w:val="28"/>
        </w:rPr>
        <w:t>备注：资料要</w:t>
      </w:r>
      <w:r>
        <w:rPr>
          <w:rFonts w:hint="eastAsia" w:ascii="仿宋" w:hAnsi="仿宋" w:eastAsia="仿宋" w:cs="仿宋"/>
          <w:bCs/>
          <w:sz w:val="28"/>
          <w:szCs w:val="28"/>
          <w:highlight w:val="none"/>
        </w:rPr>
        <w:t>求密封并加盖单位公章，所提交资料恕不退回，请按要求准备文件，如未按要求提供资料，视为不能响应需求。提交时间为</w:t>
      </w:r>
      <w:r>
        <w:rPr>
          <w:rFonts w:hint="eastAsia" w:ascii="仿宋" w:hAnsi="仿宋" w:eastAsia="仿宋" w:cs="仿宋"/>
          <w:bCs/>
          <w:sz w:val="28"/>
          <w:szCs w:val="28"/>
          <w:highlight w:val="none"/>
          <w:lang w:val="en-US" w:eastAsia="zh-CN"/>
        </w:rPr>
        <w:t>2025</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11</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20</w:t>
      </w:r>
      <w:r>
        <w:rPr>
          <w:rFonts w:hint="eastAsia" w:ascii="仿宋" w:hAnsi="仿宋" w:eastAsia="仿宋" w:cs="仿宋"/>
          <w:bCs/>
          <w:sz w:val="28"/>
          <w:szCs w:val="28"/>
          <w:highlight w:val="none"/>
        </w:rPr>
        <w:t>日上午8:00—9:00，逾期不予受理（可提前提交）。递交或邮寄地址：广西南宁市青秀区中山街道广西</w:t>
      </w:r>
      <w:r>
        <w:rPr>
          <w:rFonts w:hint="eastAsia" w:ascii="仿宋" w:hAnsi="仿宋" w:eastAsia="仿宋" w:cs="仿宋"/>
          <w:bCs/>
          <w:sz w:val="28"/>
          <w:szCs w:val="28"/>
        </w:rPr>
        <w:t>医科大学附属小学对面培训中心办公区，黄工</w:t>
      </w:r>
      <w:r>
        <w:rPr>
          <w:rFonts w:ascii="仿宋" w:hAnsi="仿宋" w:eastAsia="仿宋" w:cs="仿宋"/>
          <w:bCs/>
          <w:sz w:val="28"/>
          <w:szCs w:val="28"/>
        </w:rPr>
        <w:t>0771-5356589</w:t>
      </w:r>
      <w:r>
        <w:rPr>
          <w:rFonts w:hint="eastAsia" w:ascii="仿宋" w:hAnsi="仿宋" w:eastAsia="仿宋" w:cs="仿宋"/>
          <w:bCs/>
          <w:sz w:val="28"/>
          <w:szCs w:val="28"/>
        </w:rPr>
        <w:t>。</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1073"/>
        <w:gridCol w:w="2364"/>
        <w:gridCol w:w="860"/>
        <w:gridCol w:w="645"/>
        <w:gridCol w:w="645"/>
        <w:gridCol w:w="430"/>
        <w:gridCol w:w="1025"/>
        <w:gridCol w:w="696"/>
        <w:gridCol w:w="870"/>
      </w:tblGrid>
      <w:tr w14:paraId="08E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73DDE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报价单</w:t>
            </w:r>
          </w:p>
        </w:tc>
      </w:tr>
      <w:tr w14:paraId="7C33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D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E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小包装规格</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1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大包装规格</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D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印刷类型</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1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E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预估数量</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F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5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57EA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4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6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速康宁滴鼻液标签</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7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2cm×5.5cm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4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100条/扎，12～15张/条</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3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0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不干胶条形</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6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C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27CA">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802C">
            <w:pPr>
              <w:jc w:val="center"/>
              <w:rPr>
                <w:rFonts w:hint="eastAsia" w:ascii="宋体" w:hAnsi="宋体" w:eastAsia="宋体" w:cs="宋体"/>
                <w:i w:val="0"/>
                <w:iCs w:val="0"/>
                <w:color w:val="000000"/>
                <w:sz w:val="22"/>
                <w:szCs w:val="22"/>
                <w:u w:val="none"/>
              </w:rPr>
            </w:pPr>
          </w:p>
        </w:tc>
      </w:tr>
      <w:tr w14:paraId="348C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4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B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复方硼酸钠溶液标签</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5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5cm×8cm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2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注明蕊重量、卷装数量、直径大于25cm小于30cm。</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007C">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0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不干胶卷装</w:t>
            </w:r>
          </w:p>
        </w:tc>
        <w:tc>
          <w:tcPr>
            <w:tcW w:w="237" w:type="pct"/>
            <w:tcBorders>
              <w:top w:val="single" w:color="000000" w:sz="4" w:space="0"/>
              <w:left w:val="single" w:color="000000" w:sz="4" w:space="0"/>
              <w:bottom w:val="single" w:color="000000" w:sz="4" w:space="0"/>
              <w:right w:val="nil"/>
            </w:tcBorders>
            <w:shd w:val="clear" w:color="auto" w:fill="auto"/>
            <w:vAlign w:val="center"/>
          </w:tcPr>
          <w:p w14:paraId="1147C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3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B041">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D900">
            <w:pPr>
              <w:jc w:val="center"/>
              <w:rPr>
                <w:rFonts w:hint="eastAsia" w:ascii="宋体" w:hAnsi="宋体" w:eastAsia="宋体" w:cs="宋体"/>
                <w:i w:val="0"/>
                <w:iCs w:val="0"/>
                <w:color w:val="000000"/>
                <w:sz w:val="22"/>
                <w:szCs w:val="22"/>
                <w:u w:val="none"/>
              </w:rPr>
            </w:pPr>
          </w:p>
        </w:tc>
      </w:tr>
      <w:tr w14:paraId="29F4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6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7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3%碳酸氢钠溶液标签（500ml)</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5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5.5cm×8cm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D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注明蕊重量、卷装数量、直径大于25cm小于30cm。</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BD68">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B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不干胶卷装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0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0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4E31">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E4CA">
            <w:pPr>
              <w:jc w:val="center"/>
              <w:rPr>
                <w:rFonts w:hint="eastAsia" w:ascii="宋体" w:hAnsi="宋体" w:eastAsia="宋体" w:cs="宋体"/>
                <w:i w:val="0"/>
                <w:iCs w:val="0"/>
                <w:color w:val="000000"/>
                <w:sz w:val="22"/>
                <w:szCs w:val="22"/>
                <w:u w:val="none"/>
              </w:rPr>
            </w:pPr>
          </w:p>
        </w:tc>
      </w:tr>
      <w:tr w14:paraId="66C0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8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D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肤宝乳膏标签</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4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直径：4.5cm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3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注明蕊重量、卷装数量、直径大于30cm小于35cm。</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F4E3">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0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不干胶卷装</w:t>
            </w:r>
          </w:p>
        </w:tc>
        <w:tc>
          <w:tcPr>
            <w:tcW w:w="237" w:type="pct"/>
            <w:tcBorders>
              <w:top w:val="single" w:color="000000" w:sz="4" w:space="0"/>
              <w:left w:val="single" w:color="000000" w:sz="4" w:space="0"/>
              <w:bottom w:val="single" w:color="000000" w:sz="4" w:space="0"/>
              <w:right w:val="nil"/>
            </w:tcBorders>
            <w:shd w:val="clear" w:color="auto" w:fill="auto"/>
            <w:vAlign w:val="center"/>
          </w:tcPr>
          <w:p w14:paraId="4B3D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4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FC60">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37A8">
            <w:pPr>
              <w:jc w:val="center"/>
              <w:rPr>
                <w:rFonts w:hint="eastAsia" w:ascii="宋体" w:hAnsi="宋体" w:eastAsia="宋体" w:cs="宋体"/>
                <w:i w:val="0"/>
                <w:iCs w:val="0"/>
                <w:color w:val="000000"/>
                <w:sz w:val="22"/>
                <w:szCs w:val="22"/>
                <w:u w:val="none"/>
              </w:rPr>
            </w:pPr>
          </w:p>
        </w:tc>
      </w:tr>
      <w:tr w14:paraId="0BF5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0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F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鞣酸软膏标签</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4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直径：4.5cm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2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注明蕊重量、卷装数量、直径大于30cm小于35cm。</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5671">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3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不干胶卷装</w:t>
            </w:r>
          </w:p>
        </w:tc>
        <w:tc>
          <w:tcPr>
            <w:tcW w:w="237" w:type="pct"/>
            <w:tcBorders>
              <w:top w:val="single" w:color="000000" w:sz="4" w:space="0"/>
              <w:left w:val="single" w:color="000000" w:sz="4" w:space="0"/>
              <w:bottom w:val="single" w:color="000000" w:sz="4" w:space="0"/>
              <w:right w:val="nil"/>
            </w:tcBorders>
            <w:shd w:val="clear" w:color="auto" w:fill="auto"/>
            <w:vAlign w:val="center"/>
          </w:tcPr>
          <w:p w14:paraId="02554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B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9D36">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CB0B">
            <w:pPr>
              <w:jc w:val="center"/>
              <w:rPr>
                <w:rFonts w:hint="eastAsia" w:ascii="宋体" w:hAnsi="宋体" w:eastAsia="宋体" w:cs="宋体"/>
                <w:i w:val="0"/>
                <w:iCs w:val="0"/>
                <w:color w:val="000000"/>
                <w:sz w:val="22"/>
                <w:szCs w:val="22"/>
                <w:u w:val="none"/>
              </w:rPr>
            </w:pPr>
          </w:p>
        </w:tc>
      </w:tr>
      <w:tr w14:paraId="2540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8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4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磺胺嘧啶银霜标签</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C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直径:8.0cm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D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100条/扎，5～6张/条</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9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4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不干胶条形</w:t>
            </w:r>
          </w:p>
        </w:tc>
        <w:tc>
          <w:tcPr>
            <w:tcW w:w="237" w:type="pct"/>
            <w:tcBorders>
              <w:top w:val="single" w:color="000000" w:sz="4" w:space="0"/>
              <w:left w:val="single" w:color="000000" w:sz="4" w:space="0"/>
              <w:bottom w:val="single" w:color="000000" w:sz="4" w:space="0"/>
              <w:right w:val="nil"/>
            </w:tcBorders>
            <w:shd w:val="clear" w:color="auto" w:fill="auto"/>
            <w:vAlign w:val="center"/>
          </w:tcPr>
          <w:p w14:paraId="20187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A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BD60">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2B49">
            <w:pPr>
              <w:jc w:val="center"/>
              <w:rPr>
                <w:rFonts w:hint="eastAsia" w:ascii="宋体" w:hAnsi="宋体" w:eastAsia="宋体" w:cs="宋体"/>
                <w:i w:val="0"/>
                <w:iCs w:val="0"/>
                <w:color w:val="000000"/>
                <w:sz w:val="22"/>
                <w:szCs w:val="22"/>
                <w:u w:val="none"/>
              </w:rPr>
            </w:pPr>
          </w:p>
        </w:tc>
      </w:tr>
      <w:tr w14:paraId="50C7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8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2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复方碘口服溶液说明书</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0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9cm×13cm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C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100张/扎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C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5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237" w:type="pct"/>
            <w:tcBorders>
              <w:top w:val="single" w:color="000000" w:sz="4" w:space="0"/>
              <w:left w:val="single" w:color="000000" w:sz="4" w:space="0"/>
              <w:bottom w:val="single" w:color="000000" w:sz="4" w:space="0"/>
              <w:right w:val="nil"/>
            </w:tcBorders>
            <w:shd w:val="clear" w:color="auto" w:fill="auto"/>
            <w:vAlign w:val="center"/>
          </w:tcPr>
          <w:p w14:paraId="72DD8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A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E3D5">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0D8C">
            <w:pPr>
              <w:jc w:val="center"/>
              <w:rPr>
                <w:rFonts w:hint="eastAsia" w:ascii="宋体" w:hAnsi="宋体" w:eastAsia="宋体" w:cs="宋体"/>
                <w:i w:val="0"/>
                <w:iCs w:val="0"/>
                <w:color w:val="000000"/>
                <w:sz w:val="22"/>
                <w:szCs w:val="22"/>
                <w:u w:val="none"/>
              </w:rPr>
            </w:pPr>
          </w:p>
        </w:tc>
      </w:tr>
      <w:tr w14:paraId="0E28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E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6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复方盐酸苯海拉明糖浆标签</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C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3cm×4.7cm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注明蕊重量、卷装数量、直径大于30cm小于35cm。</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444D">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7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不干胶卷装</w:t>
            </w:r>
          </w:p>
        </w:tc>
        <w:tc>
          <w:tcPr>
            <w:tcW w:w="237" w:type="pct"/>
            <w:tcBorders>
              <w:top w:val="single" w:color="000000" w:sz="4" w:space="0"/>
              <w:left w:val="single" w:color="000000" w:sz="4" w:space="0"/>
              <w:bottom w:val="single" w:color="000000" w:sz="4" w:space="0"/>
              <w:right w:val="nil"/>
            </w:tcBorders>
            <w:shd w:val="clear" w:color="auto" w:fill="auto"/>
            <w:vAlign w:val="center"/>
          </w:tcPr>
          <w:p w14:paraId="5631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EA7B">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1BCF">
            <w:pPr>
              <w:jc w:val="center"/>
              <w:rPr>
                <w:rFonts w:hint="eastAsia" w:ascii="宋体" w:hAnsi="宋体" w:eastAsia="宋体" w:cs="宋体"/>
                <w:i w:val="0"/>
                <w:iCs w:val="0"/>
                <w:color w:val="000000"/>
                <w:sz w:val="22"/>
                <w:szCs w:val="22"/>
                <w:u w:val="none"/>
              </w:rPr>
            </w:pPr>
          </w:p>
        </w:tc>
      </w:tr>
      <w:tr w14:paraId="1B84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B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速康宁滴鼻液包装盒</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3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2.9cm×2.3cm×6.5cm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2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B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2000只/箱</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D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白卡纸</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5353E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F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385" w:type="pct"/>
            <w:tcBorders>
              <w:top w:val="nil"/>
              <w:left w:val="single" w:color="000000" w:sz="4" w:space="0"/>
              <w:bottom w:val="single" w:color="000000" w:sz="4" w:space="0"/>
              <w:right w:val="single" w:color="000000" w:sz="4" w:space="0"/>
            </w:tcBorders>
            <w:shd w:val="clear" w:color="auto" w:fill="auto"/>
            <w:vAlign w:val="center"/>
          </w:tcPr>
          <w:p w14:paraId="1B213AF3">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D98B">
            <w:pPr>
              <w:jc w:val="center"/>
              <w:rPr>
                <w:rFonts w:hint="eastAsia" w:ascii="宋体" w:hAnsi="宋体" w:eastAsia="宋体" w:cs="宋体"/>
                <w:i w:val="0"/>
                <w:iCs w:val="0"/>
                <w:color w:val="000000"/>
                <w:sz w:val="22"/>
                <w:szCs w:val="22"/>
                <w:u w:val="none"/>
              </w:rPr>
            </w:pPr>
          </w:p>
        </w:tc>
      </w:tr>
      <w:tr w14:paraId="24F0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4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1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速康宁滴眼液包装盒</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7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2.9cm×2.3cm×6.5cm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B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F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2000只/箱</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3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白卡纸</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0F6E1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85" w:type="pct"/>
            <w:tcBorders>
              <w:top w:val="nil"/>
              <w:left w:val="single" w:color="000000" w:sz="4" w:space="0"/>
              <w:bottom w:val="single" w:color="000000" w:sz="4" w:space="0"/>
              <w:right w:val="single" w:color="000000" w:sz="4" w:space="0"/>
            </w:tcBorders>
            <w:shd w:val="clear" w:color="auto" w:fill="auto"/>
            <w:vAlign w:val="center"/>
          </w:tcPr>
          <w:p w14:paraId="5189B7A4">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9A5A">
            <w:pPr>
              <w:jc w:val="center"/>
              <w:rPr>
                <w:rFonts w:hint="eastAsia" w:ascii="宋体" w:hAnsi="宋体" w:eastAsia="宋体" w:cs="宋体"/>
                <w:i w:val="0"/>
                <w:iCs w:val="0"/>
                <w:color w:val="000000"/>
                <w:sz w:val="22"/>
                <w:szCs w:val="22"/>
                <w:u w:val="none"/>
              </w:rPr>
            </w:pPr>
          </w:p>
        </w:tc>
      </w:tr>
      <w:tr w14:paraId="501E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7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7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骨奇泰搽剂包装盒</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B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5.4cm×12.2cm×3.3 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C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D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1000只/箱</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C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白卡纸</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461A9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C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385" w:type="pct"/>
            <w:tcBorders>
              <w:top w:val="nil"/>
              <w:left w:val="single" w:color="000000" w:sz="4" w:space="0"/>
              <w:bottom w:val="single" w:color="000000" w:sz="4" w:space="0"/>
              <w:right w:val="single" w:color="000000" w:sz="4" w:space="0"/>
            </w:tcBorders>
            <w:shd w:val="clear" w:color="auto" w:fill="auto"/>
            <w:vAlign w:val="center"/>
          </w:tcPr>
          <w:p w14:paraId="5695E74D">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AB58">
            <w:pPr>
              <w:jc w:val="center"/>
              <w:rPr>
                <w:rFonts w:hint="eastAsia" w:ascii="宋体" w:hAnsi="宋体" w:eastAsia="宋体" w:cs="宋体"/>
                <w:i w:val="0"/>
                <w:iCs w:val="0"/>
                <w:color w:val="000000"/>
                <w:sz w:val="22"/>
                <w:szCs w:val="22"/>
                <w:u w:val="none"/>
              </w:rPr>
            </w:pPr>
          </w:p>
        </w:tc>
      </w:tr>
      <w:tr w14:paraId="6588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E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6339A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水合氯醛溶液包装盒</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A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5.0cm×3.4cm×9.5cm</w:t>
            </w:r>
          </w:p>
        </w:tc>
        <w:tc>
          <w:tcPr>
            <w:tcW w:w="475" w:type="pct"/>
            <w:tcBorders>
              <w:top w:val="single" w:color="000000" w:sz="4" w:space="0"/>
              <w:left w:val="single" w:color="000000" w:sz="4" w:space="0"/>
              <w:bottom w:val="nil"/>
              <w:right w:val="single" w:color="000000" w:sz="4" w:space="0"/>
            </w:tcBorders>
            <w:shd w:val="clear" w:color="auto" w:fill="auto"/>
            <w:vAlign w:val="center"/>
          </w:tcPr>
          <w:p w14:paraId="578A3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50只/扎</w:t>
            </w:r>
          </w:p>
        </w:tc>
        <w:tc>
          <w:tcPr>
            <w:tcW w:w="356" w:type="pct"/>
            <w:tcBorders>
              <w:top w:val="single" w:color="000000" w:sz="4" w:space="0"/>
              <w:left w:val="single" w:color="000000" w:sz="4" w:space="0"/>
              <w:bottom w:val="nil"/>
              <w:right w:val="single" w:color="000000" w:sz="4" w:space="0"/>
            </w:tcBorders>
            <w:shd w:val="clear" w:color="auto" w:fill="auto"/>
            <w:vAlign w:val="center"/>
          </w:tcPr>
          <w:p w14:paraId="2F328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1000只/箱</w:t>
            </w:r>
          </w:p>
        </w:tc>
        <w:tc>
          <w:tcPr>
            <w:tcW w:w="356" w:type="pct"/>
            <w:tcBorders>
              <w:top w:val="single" w:color="000000" w:sz="4" w:space="0"/>
              <w:left w:val="single" w:color="000000" w:sz="4" w:space="0"/>
              <w:bottom w:val="nil"/>
              <w:right w:val="single" w:color="000000" w:sz="4" w:space="0"/>
            </w:tcBorders>
            <w:shd w:val="clear" w:color="auto" w:fill="auto"/>
            <w:vAlign w:val="center"/>
          </w:tcPr>
          <w:p w14:paraId="22195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白卡纸</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48B31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D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6CD4">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55BE">
            <w:pPr>
              <w:jc w:val="center"/>
              <w:rPr>
                <w:rFonts w:hint="eastAsia" w:ascii="宋体" w:hAnsi="宋体" w:eastAsia="宋体" w:cs="宋体"/>
                <w:i w:val="0"/>
                <w:iCs w:val="0"/>
                <w:color w:val="000000"/>
                <w:sz w:val="22"/>
                <w:szCs w:val="22"/>
                <w:u w:val="none"/>
              </w:rPr>
            </w:pPr>
          </w:p>
        </w:tc>
      </w:tr>
      <w:tr w14:paraId="58CB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E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3596F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复方碘口服溶液包装盒</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7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5.0cm×3.4cm×9.5cm</w:t>
            </w:r>
          </w:p>
        </w:tc>
        <w:tc>
          <w:tcPr>
            <w:tcW w:w="475" w:type="pct"/>
            <w:tcBorders>
              <w:top w:val="single" w:color="000000" w:sz="4" w:space="0"/>
              <w:left w:val="single" w:color="000000" w:sz="4" w:space="0"/>
              <w:bottom w:val="nil"/>
              <w:right w:val="single" w:color="000000" w:sz="4" w:space="0"/>
            </w:tcBorders>
            <w:shd w:val="clear" w:color="auto" w:fill="auto"/>
            <w:vAlign w:val="center"/>
          </w:tcPr>
          <w:p w14:paraId="3336B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50只/扎</w:t>
            </w:r>
          </w:p>
        </w:tc>
        <w:tc>
          <w:tcPr>
            <w:tcW w:w="356" w:type="pct"/>
            <w:tcBorders>
              <w:top w:val="single" w:color="000000" w:sz="4" w:space="0"/>
              <w:left w:val="single" w:color="000000" w:sz="4" w:space="0"/>
              <w:bottom w:val="nil"/>
              <w:right w:val="single" w:color="000000" w:sz="4" w:space="0"/>
            </w:tcBorders>
            <w:shd w:val="clear" w:color="auto" w:fill="auto"/>
            <w:vAlign w:val="center"/>
          </w:tcPr>
          <w:p w14:paraId="0183316D">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vAlign w:val="center"/>
          </w:tcPr>
          <w:p w14:paraId="3CC98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白卡纸</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0AB76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3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A7E9">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4A09">
            <w:pPr>
              <w:jc w:val="center"/>
              <w:rPr>
                <w:rFonts w:hint="eastAsia" w:ascii="宋体" w:hAnsi="宋体" w:eastAsia="宋体" w:cs="宋体"/>
                <w:i w:val="0"/>
                <w:iCs w:val="0"/>
                <w:color w:val="000000"/>
                <w:sz w:val="22"/>
                <w:szCs w:val="22"/>
                <w:u w:val="none"/>
              </w:rPr>
            </w:pPr>
          </w:p>
        </w:tc>
      </w:tr>
      <w:tr w14:paraId="264D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B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E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氯化钾溶液包装盒</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0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14.5cm×9.2cm×2.9cm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B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800只/箱</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白卡纸</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3FB48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1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90D4">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2E3D">
            <w:pPr>
              <w:jc w:val="center"/>
              <w:rPr>
                <w:rFonts w:hint="eastAsia" w:ascii="宋体" w:hAnsi="宋体" w:eastAsia="宋体" w:cs="宋体"/>
                <w:i w:val="0"/>
                <w:iCs w:val="0"/>
                <w:color w:val="000000"/>
                <w:sz w:val="22"/>
                <w:szCs w:val="22"/>
                <w:u w:val="none"/>
              </w:rPr>
            </w:pPr>
          </w:p>
        </w:tc>
      </w:tr>
      <w:tr w14:paraId="03DB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A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6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复方盐酸苯海拉明糖浆包装盒</w:t>
            </w:r>
          </w:p>
        </w:tc>
        <w:tc>
          <w:tcPr>
            <w:tcW w:w="1308" w:type="pct"/>
            <w:tcBorders>
              <w:top w:val="nil"/>
              <w:left w:val="nil"/>
              <w:bottom w:val="nil"/>
              <w:right w:val="nil"/>
            </w:tcBorders>
            <w:shd w:val="clear" w:color="auto" w:fill="auto"/>
            <w:vAlign w:val="center"/>
          </w:tcPr>
          <w:p w14:paraId="2D124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14.5cm×9.2cm×2.9cm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2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0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800只/箱</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2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白卡纸</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2F42D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9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385" w:type="pct"/>
            <w:tcBorders>
              <w:top w:val="nil"/>
              <w:left w:val="single" w:color="000000" w:sz="4" w:space="0"/>
              <w:bottom w:val="single" w:color="000000" w:sz="4" w:space="0"/>
              <w:right w:val="single" w:color="000000" w:sz="4" w:space="0"/>
            </w:tcBorders>
            <w:shd w:val="clear" w:color="auto" w:fill="auto"/>
            <w:vAlign w:val="center"/>
          </w:tcPr>
          <w:p w14:paraId="46039427">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F208">
            <w:pPr>
              <w:jc w:val="center"/>
              <w:rPr>
                <w:rFonts w:hint="eastAsia" w:ascii="宋体" w:hAnsi="宋体" w:eastAsia="宋体" w:cs="宋体"/>
                <w:i w:val="0"/>
                <w:iCs w:val="0"/>
                <w:color w:val="000000"/>
                <w:sz w:val="22"/>
                <w:szCs w:val="22"/>
                <w:u w:val="none"/>
              </w:rPr>
            </w:pPr>
          </w:p>
        </w:tc>
      </w:tr>
      <w:tr w14:paraId="2152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D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4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瓦楞纸箱</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0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43cm×36cm×15cm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F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BC3A">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4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五层</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0DB35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8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5" w:type="pct"/>
            <w:tcBorders>
              <w:top w:val="nil"/>
              <w:left w:val="single" w:color="000000" w:sz="4" w:space="0"/>
              <w:bottom w:val="single" w:color="000000" w:sz="4" w:space="0"/>
              <w:right w:val="single" w:color="000000" w:sz="4" w:space="0"/>
            </w:tcBorders>
            <w:shd w:val="clear" w:color="auto" w:fill="auto"/>
            <w:vAlign w:val="center"/>
          </w:tcPr>
          <w:p w14:paraId="1A825528">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01D5">
            <w:pPr>
              <w:jc w:val="center"/>
              <w:rPr>
                <w:rFonts w:hint="eastAsia" w:ascii="宋体" w:hAnsi="宋体" w:eastAsia="宋体" w:cs="宋体"/>
                <w:i w:val="0"/>
                <w:iCs w:val="0"/>
                <w:color w:val="000000"/>
                <w:sz w:val="22"/>
                <w:szCs w:val="22"/>
                <w:u w:val="none"/>
              </w:rPr>
            </w:pPr>
          </w:p>
        </w:tc>
      </w:tr>
      <w:tr w14:paraId="58D0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2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C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瓦楞纸箱</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5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46.5cm×38cm×24cm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0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D80A">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9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五层</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02124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B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5" w:type="pct"/>
            <w:tcBorders>
              <w:top w:val="nil"/>
              <w:left w:val="single" w:color="000000" w:sz="4" w:space="0"/>
              <w:bottom w:val="single" w:color="000000" w:sz="4" w:space="0"/>
              <w:right w:val="single" w:color="000000" w:sz="4" w:space="0"/>
            </w:tcBorders>
            <w:shd w:val="clear" w:color="auto" w:fill="auto"/>
            <w:vAlign w:val="center"/>
          </w:tcPr>
          <w:p w14:paraId="6838A7C8">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4B6F">
            <w:pPr>
              <w:jc w:val="center"/>
              <w:rPr>
                <w:rFonts w:hint="eastAsia" w:ascii="宋体" w:hAnsi="宋体" w:eastAsia="宋体" w:cs="宋体"/>
                <w:i w:val="0"/>
                <w:iCs w:val="0"/>
                <w:color w:val="000000"/>
                <w:sz w:val="22"/>
                <w:szCs w:val="22"/>
                <w:u w:val="none"/>
              </w:rPr>
            </w:pPr>
          </w:p>
        </w:tc>
      </w:tr>
      <w:tr w14:paraId="2E7E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2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D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瓦楞纸箱（无隔板）</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3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43.5cm×34cm×20.5cm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0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1781">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5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五层          </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37622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B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85" w:type="pct"/>
            <w:tcBorders>
              <w:top w:val="nil"/>
              <w:left w:val="single" w:color="000000" w:sz="4" w:space="0"/>
              <w:bottom w:val="single" w:color="000000" w:sz="4" w:space="0"/>
              <w:right w:val="single" w:color="000000" w:sz="4" w:space="0"/>
            </w:tcBorders>
            <w:shd w:val="clear" w:color="auto" w:fill="auto"/>
            <w:vAlign w:val="center"/>
          </w:tcPr>
          <w:p w14:paraId="2B54A3C1">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0757">
            <w:pPr>
              <w:jc w:val="center"/>
              <w:rPr>
                <w:rFonts w:hint="eastAsia" w:ascii="宋体" w:hAnsi="宋体" w:eastAsia="宋体" w:cs="宋体"/>
                <w:i w:val="0"/>
                <w:iCs w:val="0"/>
                <w:color w:val="000000"/>
                <w:sz w:val="22"/>
                <w:szCs w:val="22"/>
                <w:u w:val="none"/>
              </w:rPr>
            </w:pPr>
          </w:p>
        </w:tc>
      </w:tr>
      <w:tr w14:paraId="3D81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E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7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瓦楞纸箱（配隔板）</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D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43.5cm×34cm×20.5cm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8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E8D9">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D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五层          中间4</w:t>
            </w:r>
            <w:r>
              <w:rPr>
                <w:rStyle w:val="40"/>
                <w:lang w:val="en-US" w:eastAsia="zh-CN" w:bidi="ar"/>
              </w:rPr>
              <w:t>×5小格</w:t>
            </w:r>
          </w:p>
        </w:tc>
        <w:tc>
          <w:tcPr>
            <w:tcW w:w="237" w:type="pct"/>
            <w:tcBorders>
              <w:top w:val="nil"/>
              <w:left w:val="single" w:color="000000" w:sz="4" w:space="0"/>
              <w:bottom w:val="single" w:color="000000" w:sz="4" w:space="0"/>
              <w:right w:val="single" w:color="000000" w:sz="4" w:space="0"/>
            </w:tcBorders>
            <w:shd w:val="clear" w:color="auto" w:fill="auto"/>
            <w:vAlign w:val="center"/>
          </w:tcPr>
          <w:p w14:paraId="4E688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B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85" w:type="pct"/>
            <w:tcBorders>
              <w:top w:val="nil"/>
              <w:left w:val="single" w:color="000000" w:sz="4" w:space="0"/>
              <w:bottom w:val="single" w:color="000000" w:sz="4" w:space="0"/>
              <w:right w:val="single" w:color="000000" w:sz="4" w:space="0"/>
            </w:tcBorders>
            <w:shd w:val="clear" w:color="auto" w:fill="auto"/>
            <w:vAlign w:val="center"/>
          </w:tcPr>
          <w:p w14:paraId="4ED016E2">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6EB1">
            <w:pPr>
              <w:jc w:val="center"/>
              <w:rPr>
                <w:rFonts w:hint="eastAsia" w:ascii="宋体" w:hAnsi="宋体" w:eastAsia="宋体" w:cs="宋体"/>
                <w:i w:val="0"/>
                <w:iCs w:val="0"/>
                <w:color w:val="000000"/>
                <w:sz w:val="22"/>
                <w:szCs w:val="22"/>
                <w:u w:val="none"/>
              </w:rPr>
            </w:pPr>
          </w:p>
        </w:tc>
      </w:tr>
      <w:tr w14:paraId="3AED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95A5">
            <w:pPr>
              <w:jc w:val="center"/>
              <w:rPr>
                <w:rFonts w:hint="eastAsia" w:ascii="宋体" w:hAnsi="宋体" w:eastAsia="宋体" w:cs="宋体"/>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0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946F">
            <w:pPr>
              <w:jc w:val="cente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1A28">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141F">
            <w:pPr>
              <w:jc w:val="cente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22DE">
            <w:pPr>
              <w:jc w:val="center"/>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D37F">
            <w:pPr>
              <w:jc w:val="center"/>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E388">
            <w:pPr>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D5A6">
            <w:pPr>
              <w:jc w:val="cente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4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2DD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B2C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供应商名称：xx（公章）</w:t>
            </w:r>
          </w:p>
        </w:tc>
      </w:tr>
    </w:tbl>
    <w:p w14:paraId="07F28360">
      <w:pPr>
        <w:sectPr>
          <w:pgSz w:w="11906" w:h="16838"/>
          <w:pgMar w:top="1418" w:right="1555" w:bottom="1418" w:left="1531" w:header="851" w:footer="992" w:gutter="0"/>
          <w:pgNumType w:fmt="decimal"/>
          <w:cols w:space="720" w:num="1"/>
          <w:titlePg/>
          <w:docGrid w:type="lines" w:linePitch="312" w:charSpace="0"/>
        </w:sectPr>
      </w:pPr>
    </w:p>
    <w:p w14:paraId="1B3E0601">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67B9541C">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540157A0">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b/>
          <w:bCs/>
          <w:color w:val="000000"/>
          <w:szCs w:val="21"/>
          <w:u w:val="single"/>
        </w:rPr>
        <w:t>制剂室印刷服务</w:t>
      </w:r>
      <w:r>
        <w:rPr>
          <w:rFonts w:hint="eastAsia" w:ascii="宋体" w:hAnsi="宋体" w:cs="宋体"/>
          <w:color w:val="000000"/>
          <w:szCs w:val="21"/>
        </w:rPr>
        <w:t>项目的竞标，为便于贵方公正、择优地确定成交人，我方声明如下：</w:t>
      </w:r>
    </w:p>
    <w:p w14:paraId="50A457B3">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748B03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07F0475F">
      <w:pPr>
        <w:pStyle w:val="17"/>
        <w:spacing w:after="120"/>
        <w:ind w:firstLine="420" w:firstLineChars="200"/>
        <w:rPr>
          <w:rFonts w:cs="宋体"/>
          <w:color w:val="000000"/>
          <w:szCs w:val="21"/>
        </w:rPr>
      </w:pPr>
      <w:r>
        <w:rPr>
          <w:rFonts w:cs="宋体"/>
          <w:color w:val="000000"/>
          <w:sz w:val="21"/>
          <w:szCs w:val="21"/>
        </w:rPr>
        <w:t>3</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5417CCDE">
      <w:pPr>
        <w:pStyle w:val="17"/>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395FAA90">
      <w:pPr>
        <w:pStyle w:val="17"/>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3D44623A">
      <w:pPr>
        <w:pStyle w:val="17"/>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27279409">
      <w:pPr>
        <w:pStyle w:val="17"/>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218DD235">
      <w:pPr>
        <w:pStyle w:val="17"/>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566BD4F8">
      <w:pPr>
        <w:pStyle w:val="17"/>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74072800">
      <w:pPr>
        <w:pStyle w:val="17"/>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供应商向采购小组、竞争性谈判小组或者询价小组成员行贿或者提供其他不正当利益。</w:t>
      </w:r>
      <w:r>
        <w:rPr>
          <w:rFonts w:cs="宋体"/>
          <w:color w:val="000000"/>
          <w:sz w:val="21"/>
          <w:szCs w:val="21"/>
        </w:rPr>
        <w:t xml:space="preserve"> </w:t>
      </w:r>
    </w:p>
    <w:p w14:paraId="08B20ACB">
      <w:pPr>
        <w:pStyle w:val="17"/>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093543DB">
      <w:pPr>
        <w:pStyle w:val="17"/>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2DA4C6F7">
      <w:pPr>
        <w:pStyle w:val="17"/>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244FD747">
      <w:pPr>
        <w:pStyle w:val="17"/>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4BCB4926">
      <w:pPr>
        <w:pStyle w:val="17"/>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供应商擅自变更、中止或者终止采购合同。</w:t>
      </w:r>
      <w:r>
        <w:rPr>
          <w:rFonts w:cs="宋体"/>
          <w:color w:val="000000"/>
          <w:sz w:val="21"/>
          <w:szCs w:val="21"/>
        </w:rPr>
        <w:t xml:space="preserve"> </w:t>
      </w:r>
    </w:p>
    <w:p w14:paraId="0DE0F1E4">
      <w:pPr>
        <w:pStyle w:val="17"/>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4D660F3C">
      <w:pPr>
        <w:pStyle w:val="17"/>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141ACFCE">
      <w:pPr>
        <w:pStyle w:val="17"/>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784D5D92">
      <w:pPr>
        <w:pStyle w:val="17"/>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6756F937">
      <w:pPr>
        <w:pStyle w:val="17"/>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4AA7E2B3">
      <w:pPr>
        <w:pStyle w:val="17"/>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087652F">
      <w:pPr>
        <w:pStyle w:val="17"/>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5D8BEA90">
      <w:pPr>
        <w:pStyle w:val="17"/>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43B0DB1E">
      <w:pPr>
        <w:pStyle w:val="17"/>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2314387F">
      <w:pPr>
        <w:pStyle w:val="17"/>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534CB57D">
      <w:pPr>
        <w:pStyle w:val="17"/>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CB65C24">
      <w:pPr>
        <w:pStyle w:val="17"/>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3E6BD708">
      <w:pPr>
        <w:pStyle w:val="17"/>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06EE7445">
      <w:pPr>
        <w:pStyle w:val="17"/>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AFF8C6D">
      <w:pPr>
        <w:pStyle w:val="17"/>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6A9658AF">
      <w:pPr>
        <w:pStyle w:val="17"/>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48FAECE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4.以上事项如有虚假或隐瞒，我方愿意承担一切后果，并不再寻求任何旨在减轻或免除法律责任的辩解。 </w:t>
      </w:r>
    </w:p>
    <w:p w14:paraId="2413D7A3">
      <w:pPr>
        <w:snapToGrid w:val="0"/>
        <w:spacing w:before="50" w:afterLines="100" w:line="360" w:lineRule="auto"/>
        <w:ind w:left="7428" w:leftChars="2223" w:hanging="2760" w:hangingChars="1150"/>
        <w:jc w:val="left"/>
        <w:rPr>
          <w:rFonts w:ascii="宋体" w:hAnsi="宋体" w:cs="宋体"/>
          <w:color w:val="000000"/>
          <w:sz w:val="24"/>
        </w:rPr>
      </w:pPr>
    </w:p>
    <w:p w14:paraId="4C68D263">
      <w:pPr>
        <w:snapToGrid w:val="0"/>
        <w:spacing w:before="50" w:afterLines="100" w:line="360" w:lineRule="auto"/>
        <w:ind w:left="7428" w:leftChars="2223" w:hanging="2760" w:hangingChars="1150"/>
        <w:jc w:val="left"/>
        <w:rPr>
          <w:rFonts w:ascii="宋体" w:hAnsi="宋体" w:cs="宋体"/>
          <w:color w:val="000000"/>
          <w:sz w:val="24"/>
        </w:rPr>
      </w:pPr>
    </w:p>
    <w:p w14:paraId="03504566">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46FBF256">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DCCC679">
      <w:pPr>
        <w:snapToGrid w:val="0"/>
        <w:spacing w:before="50" w:afterLines="50" w:line="360" w:lineRule="auto"/>
        <w:jc w:val="center"/>
        <w:rPr>
          <w:rFonts w:ascii="宋体" w:hAnsi="宋体" w:cs="宋体"/>
          <w:b/>
          <w:color w:val="000000"/>
          <w:kern w:val="0"/>
          <w:sz w:val="32"/>
          <w:szCs w:val="32"/>
        </w:rPr>
      </w:pPr>
    </w:p>
    <w:p w14:paraId="18A4A1D4">
      <w:pPr>
        <w:snapToGrid w:val="0"/>
        <w:spacing w:before="50" w:afterLines="50" w:line="360" w:lineRule="auto"/>
        <w:jc w:val="center"/>
        <w:rPr>
          <w:rFonts w:ascii="宋体" w:hAnsi="宋体" w:cs="宋体"/>
          <w:b/>
          <w:color w:val="000000"/>
          <w:kern w:val="0"/>
          <w:sz w:val="32"/>
          <w:szCs w:val="32"/>
        </w:rPr>
      </w:pPr>
    </w:p>
    <w:p w14:paraId="605B0FC4">
      <w:pPr>
        <w:snapToGrid w:val="0"/>
        <w:spacing w:before="50" w:afterLines="50" w:line="360" w:lineRule="auto"/>
        <w:jc w:val="center"/>
        <w:rPr>
          <w:rFonts w:ascii="宋体" w:hAnsi="宋体" w:cs="宋体"/>
          <w:b/>
          <w:color w:val="000000"/>
          <w:kern w:val="0"/>
          <w:sz w:val="32"/>
          <w:szCs w:val="32"/>
        </w:rPr>
      </w:pPr>
    </w:p>
    <w:p w14:paraId="56BF6190">
      <w:pPr>
        <w:snapToGrid w:val="0"/>
        <w:spacing w:before="50" w:afterLines="50" w:line="360" w:lineRule="auto"/>
        <w:jc w:val="center"/>
        <w:rPr>
          <w:rFonts w:ascii="宋体" w:hAnsi="宋体" w:cs="宋体"/>
          <w:b/>
          <w:color w:val="000000"/>
          <w:kern w:val="0"/>
          <w:sz w:val="32"/>
          <w:szCs w:val="32"/>
        </w:rPr>
      </w:pPr>
    </w:p>
    <w:p w14:paraId="5D8CD167">
      <w:pPr>
        <w:snapToGrid w:val="0"/>
        <w:spacing w:before="50" w:afterLines="50" w:line="360" w:lineRule="auto"/>
        <w:jc w:val="center"/>
        <w:rPr>
          <w:rFonts w:ascii="宋体" w:hAnsi="宋体" w:cs="宋体"/>
          <w:b/>
          <w:color w:val="000000"/>
          <w:kern w:val="0"/>
          <w:sz w:val="32"/>
          <w:szCs w:val="32"/>
        </w:rPr>
      </w:pPr>
    </w:p>
    <w:p w14:paraId="7797AFCD">
      <w:pPr>
        <w:snapToGrid w:val="0"/>
        <w:spacing w:before="50" w:afterLines="50" w:line="360" w:lineRule="auto"/>
        <w:jc w:val="center"/>
        <w:rPr>
          <w:rFonts w:ascii="宋体" w:hAnsi="宋体" w:cs="宋体"/>
          <w:b/>
          <w:color w:val="000000"/>
          <w:kern w:val="0"/>
          <w:sz w:val="32"/>
          <w:szCs w:val="32"/>
        </w:rPr>
      </w:pPr>
    </w:p>
    <w:p w14:paraId="27BC8B5D">
      <w:pPr>
        <w:snapToGrid w:val="0"/>
        <w:spacing w:before="50" w:afterLines="50" w:line="360" w:lineRule="auto"/>
        <w:jc w:val="center"/>
        <w:rPr>
          <w:rFonts w:ascii="宋体" w:hAnsi="宋体" w:cs="宋体"/>
          <w:b/>
          <w:color w:val="000000"/>
          <w:kern w:val="0"/>
          <w:sz w:val="32"/>
          <w:szCs w:val="32"/>
        </w:rPr>
      </w:pPr>
    </w:p>
    <w:p w14:paraId="1342E420">
      <w:pPr>
        <w:snapToGrid w:val="0"/>
        <w:spacing w:before="50" w:afterLines="50" w:line="360" w:lineRule="auto"/>
        <w:jc w:val="center"/>
        <w:rPr>
          <w:rFonts w:ascii="宋体" w:hAnsi="宋体" w:cs="宋体"/>
          <w:b/>
          <w:color w:val="000000"/>
          <w:kern w:val="0"/>
          <w:sz w:val="32"/>
          <w:szCs w:val="32"/>
        </w:rPr>
      </w:pPr>
    </w:p>
    <w:p w14:paraId="7516A030">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031F56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78918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CBBBB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DCDCF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A9A15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763B65">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1AF6A0E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406F56">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EF27B4">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C2703C">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A91FA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0B70A9">
            <w:pPr>
              <w:spacing w:line="360" w:lineRule="auto"/>
              <w:jc w:val="center"/>
              <w:rPr>
                <w:rFonts w:ascii="宋体" w:hAnsi="宋体" w:cs="宋体"/>
                <w:color w:val="000000"/>
                <w:kern w:val="0"/>
                <w:sz w:val="24"/>
              </w:rPr>
            </w:pPr>
          </w:p>
        </w:tc>
      </w:tr>
      <w:tr w14:paraId="2303EEE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0EB499">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9C377B">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E27E9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4DBA1C">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F12CE2">
            <w:pPr>
              <w:spacing w:line="360" w:lineRule="auto"/>
              <w:jc w:val="center"/>
              <w:rPr>
                <w:rFonts w:ascii="宋体" w:hAnsi="宋体" w:cs="宋体"/>
                <w:color w:val="000000"/>
                <w:kern w:val="0"/>
                <w:sz w:val="24"/>
              </w:rPr>
            </w:pPr>
          </w:p>
        </w:tc>
      </w:tr>
      <w:tr w14:paraId="784D74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AB602D">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43DD8D">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3CA1F">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2894A4">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A88ED1">
            <w:pPr>
              <w:spacing w:line="360" w:lineRule="auto"/>
              <w:jc w:val="center"/>
              <w:rPr>
                <w:rFonts w:ascii="宋体" w:hAnsi="宋体" w:cs="宋体"/>
                <w:color w:val="000000"/>
                <w:kern w:val="0"/>
                <w:sz w:val="24"/>
              </w:rPr>
            </w:pPr>
          </w:p>
        </w:tc>
      </w:tr>
      <w:tr w14:paraId="00FC0FA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2E9AD8">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DBF5F8">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6CB01C">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0BF413">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909A5A">
            <w:pPr>
              <w:spacing w:line="360" w:lineRule="auto"/>
              <w:jc w:val="center"/>
              <w:rPr>
                <w:rFonts w:ascii="宋体" w:hAnsi="宋体" w:cs="宋体"/>
                <w:color w:val="000000"/>
                <w:kern w:val="0"/>
                <w:sz w:val="24"/>
              </w:rPr>
            </w:pPr>
          </w:p>
        </w:tc>
      </w:tr>
    </w:tbl>
    <w:p w14:paraId="69C3DB12">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682EB677">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92F206">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0C537C93">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4F1B081A">
      <w:pPr>
        <w:snapToGrid w:val="0"/>
        <w:spacing w:line="360" w:lineRule="auto"/>
        <w:jc w:val="left"/>
        <w:rPr>
          <w:rFonts w:ascii="宋体" w:hAnsi="宋体" w:cs="宋体"/>
          <w:color w:val="000000"/>
          <w:sz w:val="24"/>
        </w:rPr>
      </w:pPr>
    </w:p>
    <w:p w14:paraId="342CEE00">
      <w:pPr>
        <w:snapToGrid w:val="0"/>
        <w:spacing w:line="360" w:lineRule="auto"/>
        <w:jc w:val="left"/>
        <w:rPr>
          <w:rFonts w:ascii="宋体" w:hAnsi="宋体" w:cs="宋体"/>
          <w:color w:val="000000"/>
          <w:sz w:val="24"/>
        </w:rPr>
      </w:pPr>
    </w:p>
    <w:p w14:paraId="0D783647">
      <w:pPr>
        <w:snapToGrid w:val="0"/>
        <w:spacing w:line="360" w:lineRule="auto"/>
        <w:jc w:val="left"/>
        <w:rPr>
          <w:rFonts w:ascii="宋体" w:hAnsi="宋体" w:cs="宋体"/>
          <w:color w:val="000000"/>
          <w:sz w:val="24"/>
        </w:rPr>
      </w:pPr>
    </w:p>
    <w:p w14:paraId="6AEEE92B">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1F3D67C4">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45FFB8E6">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607FC6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86882C">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84164D">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2D2F2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035C8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30CA07E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8231F6">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AAC167">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609DB">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194A44">
            <w:pPr>
              <w:spacing w:line="360" w:lineRule="auto"/>
              <w:jc w:val="center"/>
              <w:rPr>
                <w:rFonts w:ascii="宋体" w:hAnsi="宋体" w:cs="宋体"/>
                <w:color w:val="000000"/>
                <w:kern w:val="0"/>
                <w:sz w:val="24"/>
              </w:rPr>
            </w:pPr>
          </w:p>
        </w:tc>
      </w:tr>
      <w:tr w14:paraId="381F2F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82F26">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B52FDB">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F72DD4">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08A239">
            <w:pPr>
              <w:spacing w:line="360" w:lineRule="auto"/>
              <w:jc w:val="center"/>
              <w:rPr>
                <w:rFonts w:ascii="宋体" w:hAnsi="宋体" w:cs="宋体"/>
                <w:color w:val="000000"/>
                <w:kern w:val="0"/>
                <w:sz w:val="24"/>
              </w:rPr>
            </w:pPr>
          </w:p>
        </w:tc>
      </w:tr>
      <w:tr w14:paraId="545B336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A37971">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A2E16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D655CF">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DDECF">
            <w:pPr>
              <w:spacing w:line="360" w:lineRule="auto"/>
              <w:jc w:val="center"/>
              <w:rPr>
                <w:rFonts w:ascii="宋体" w:hAnsi="宋体" w:cs="宋体"/>
                <w:color w:val="000000"/>
                <w:kern w:val="0"/>
                <w:sz w:val="24"/>
              </w:rPr>
            </w:pPr>
          </w:p>
        </w:tc>
      </w:tr>
      <w:tr w14:paraId="65B3DC6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158F19">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CF7172">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07AC2">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14E2F">
            <w:pPr>
              <w:spacing w:line="360" w:lineRule="auto"/>
              <w:jc w:val="center"/>
              <w:rPr>
                <w:rFonts w:ascii="宋体" w:hAnsi="宋体" w:cs="宋体"/>
                <w:color w:val="000000"/>
                <w:kern w:val="0"/>
                <w:sz w:val="24"/>
              </w:rPr>
            </w:pPr>
          </w:p>
        </w:tc>
      </w:tr>
    </w:tbl>
    <w:p w14:paraId="5A07246E">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108CC6C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D00B25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503E5E9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536EBD12">
      <w:pPr>
        <w:snapToGrid w:val="0"/>
        <w:spacing w:line="360" w:lineRule="auto"/>
        <w:jc w:val="left"/>
        <w:rPr>
          <w:rFonts w:ascii="宋体" w:hAnsi="宋体" w:cs="宋体"/>
          <w:color w:val="000000"/>
          <w:sz w:val="24"/>
        </w:rPr>
      </w:pPr>
    </w:p>
    <w:p w14:paraId="1D869D20">
      <w:pPr>
        <w:snapToGrid w:val="0"/>
        <w:spacing w:line="360" w:lineRule="auto"/>
        <w:jc w:val="left"/>
        <w:rPr>
          <w:rFonts w:ascii="宋体" w:hAnsi="宋体" w:cs="宋体"/>
          <w:color w:val="000000"/>
          <w:sz w:val="24"/>
        </w:rPr>
      </w:pPr>
    </w:p>
    <w:p w14:paraId="6DFB0465">
      <w:pPr>
        <w:snapToGrid w:val="0"/>
        <w:spacing w:line="360" w:lineRule="auto"/>
        <w:jc w:val="left"/>
        <w:rPr>
          <w:rFonts w:ascii="宋体" w:hAnsi="宋体" w:cs="宋体"/>
          <w:color w:val="000000"/>
          <w:sz w:val="24"/>
        </w:rPr>
      </w:pPr>
    </w:p>
    <w:p w14:paraId="576BCDD1">
      <w:pPr>
        <w:snapToGrid w:val="0"/>
        <w:spacing w:line="360" w:lineRule="auto"/>
        <w:jc w:val="left"/>
        <w:rPr>
          <w:rFonts w:ascii="宋体" w:hAnsi="宋体" w:cs="宋体"/>
          <w:color w:val="000000"/>
          <w:sz w:val="24"/>
        </w:rPr>
      </w:pPr>
    </w:p>
    <w:p w14:paraId="2B500C4E">
      <w:pPr>
        <w:snapToGrid w:val="0"/>
        <w:spacing w:line="360" w:lineRule="auto"/>
        <w:jc w:val="left"/>
        <w:rPr>
          <w:rFonts w:ascii="宋体" w:hAnsi="宋体" w:cs="宋体"/>
          <w:color w:val="000000"/>
          <w:sz w:val="24"/>
        </w:rPr>
      </w:pPr>
    </w:p>
    <w:p w14:paraId="0B56BE2A">
      <w:pPr>
        <w:snapToGrid w:val="0"/>
        <w:spacing w:line="360" w:lineRule="auto"/>
        <w:jc w:val="left"/>
        <w:rPr>
          <w:rFonts w:ascii="宋体" w:hAnsi="宋体" w:cs="宋体"/>
          <w:color w:val="000000"/>
          <w:sz w:val="24"/>
        </w:rPr>
      </w:pPr>
    </w:p>
    <w:p w14:paraId="49BE877C">
      <w:pPr>
        <w:snapToGrid w:val="0"/>
        <w:spacing w:line="360" w:lineRule="auto"/>
        <w:jc w:val="left"/>
        <w:rPr>
          <w:rFonts w:ascii="宋体" w:hAnsi="宋体" w:cs="宋体"/>
          <w:color w:val="000000"/>
          <w:sz w:val="24"/>
        </w:rPr>
      </w:pPr>
    </w:p>
    <w:p w14:paraId="46B1452F">
      <w:pPr>
        <w:snapToGrid w:val="0"/>
        <w:spacing w:line="360" w:lineRule="auto"/>
        <w:jc w:val="left"/>
        <w:rPr>
          <w:rFonts w:ascii="宋体" w:hAnsi="宋体" w:cs="宋体"/>
          <w:color w:val="000000"/>
          <w:sz w:val="24"/>
        </w:rPr>
      </w:pPr>
    </w:p>
    <w:p w14:paraId="68B2E1D4">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7BC1FCB">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758D4280">
      <w:pPr>
        <w:snapToGrid w:val="0"/>
        <w:spacing w:before="50" w:afterLines="50"/>
        <w:jc w:val="right"/>
        <w:rPr>
          <w:rFonts w:ascii="宋体" w:hAnsi="宋体" w:cs="宋体"/>
          <w:color w:val="000000"/>
          <w:szCs w:val="21"/>
        </w:rPr>
      </w:pPr>
    </w:p>
    <w:p w14:paraId="3C4484FF">
      <w:pPr>
        <w:snapToGrid w:val="0"/>
        <w:spacing w:before="50" w:afterLines="50"/>
        <w:jc w:val="right"/>
        <w:rPr>
          <w:rFonts w:ascii="宋体" w:hAnsi="宋体" w:cs="宋体"/>
          <w:color w:val="000000"/>
          <w:szCs w:val="21"/>
        </w:rPr>
      </w:pPr>
    </w:p>
    <w:p w14:paraId="3B87CC3A">
      <w:pPr>
        <w:snapToGrid w:val="0"/>
        <w:spacing w:before="50" w:afterLines="50"/>
        <w:jc w:val="right"/>
        <w:rPr>
          <w:rFonts w:ascii="宋体" w:hAnsi="宋体" w:cs="宋体"/>
          <w:color w:val="000000"/>
          <w:szCs w:val="21"/>
        </w:rPr>
      </w:pPr>
    </w:p>
    <w:p w14:paraId="7F20DA70">
      <w:pPr>
        <w:snapToGrid w:val="0"/>
        <w:spacing w:before="50" w:afterLines="50"/>
        <w:jc w:val="right"/>
        <w:rPr>
          <w:rFonts w:ascii="宋体" w:hAnsi="宋体" w:cs="宋体"/>
          <w:color w:val="000000"/>
          <w:szCs w:val="21"/>
        </w:rPr>
      </w:pPr>
    </w:p>
    <w:p w14:paraId="28D32850">
      <w:pPr>
        <w:snapToGrid w:val="0"/>
        <w:spacing w:before="50" w:afterLines="50"/>
        <w:jc w:val="right"/>
        <w:rPr>
          <w:rFonts w:ascii="宋体" w:hAnsi="宋体" w:cs="宋体"/>
          <w:color w:val="000000"/>
          <w:szCs w:val="21"/>
        </w:rPr>
      </w:pPr>
    </w:p>
    <w:p w14:paraId="55102688">
      <w:pPr>
        <w:snapToGrid w:val="0"/>
        <w:spacing w:before="50" w:afterLines="50"/>
        <w:jc w:val="right"/>
        <w:rPr>
          <w:rFonts w:ascii="宋体" w:hAnsi="宋体" w:cs="宋体"/>
          <w:color w:val="000000"/>
          <w:szCs w:val="21"/>
        </w:rPr>
      </w:pPr>
    </w:p>
    <w:p w14:paraId="0CA442BF">
      <w:pPr>
        <w:snapToGrid w:val="0"/>
        <w:spacing w:before="50" w:afterLines="50"/>
        <w:jc w:val="center"/>
        <w:rPr>
          <w:rFonts w:ascii="宋体" w:hAnsi="宋体" w:cs="宋体"/>
          <w:b/>
          <w:color w:val="000000"/>
          <w:sz w:val="36"/>
          <w:szCs w:val="36"/>
        </w:rPr>
      </w:pPr>
      <w:r>
        <w:rPr>
          <w:rFonts w:hint="eastAsia" w:ascii="宋体" w:hAnsi="宋体" w:cs="宋体"/>
          <w:b/>
          <w:color w:val="000000"/>
          <w:sz w:val="36"/>
          <w:szCs w:val="36"/>
        </w:rPr>
        <w:t>评分标准</w:t>
      </w:r>
    </w:p>
    <w:p w14:paraId="517D7377">
      <w:pPr>
        <w:snapToGrid w:val="0"/>
        <w:spacing w:before="50" w:afterLines="50"/>
        <w:jc w:val="right"/>
        <w:rPr>
          <w:rFonts w:ascii="宋体" w:hAnsi="宋体" w:cs="宋体"/>
          <w:color w:val="000000"/>
          <w:szCs w:val="21"/>
        </w:rPr>
      </w:pPr>
    </w:p>
    <w:tbl>
      <w:tblPr>
        <w:tblStyle w:val="20"/>
        <w:tblW w:w="10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418"/>
        <w:gridCol w:w="7070"/>
      </w:tblGrid>
      <w:tr w14:paraId="15B0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77730BC4">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项目</w:t>
            </w:r>
          </w:p>
        </w:tc>
        <w:tc>
          <w:tcPr>
            <w:tcW w:w="2418" w:type="dxa"/>
            <w:tcBorders>
              <w:top w:val="single" w:color="auto" w:sz="4" w:space="0"/>
              <w:left w:val="single" w:color="auto" w:sz="4" w:space="0"/>
              <w:bottom w:val="single" w:color="auto" w:sz="4" w:space="0"/>
              <w:right w:val="single" w:color="auto" w:sz="4" w:space="0"/>
            </w:tcBorders>
            <w:vAlign w:val="center"/>
          </w:tcPr>
          <w:p w14:paraId="04182FC1">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评分因素</w:t>
            </w:r>
          </w:p>
        </w:tc>
        <w:tc>
          <w:tcPr>
            <w:tcW w:w="7070" w:type="dxa"/>
            <w:tcBorders>
              <w:top w:val="single" w:color="auto" w:sz="4" w:space="0"/>
              <w:left w:val="single" w:color="auto" w:sz="4" w:space="0"/>
              <w:bottom w:val="single" w:color="auto" w:sz="4" w:space="0"/>
              <w:right w:val="single" w:color="auto" w:sz="4" w:space="0"/>
            </w:tcBorders>
            <w:vAlign w:val="center"/>
          </w:tcPr>
          <w:p w14:paraId="4A551BCC">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评价内容及分项分值</w:t>
            </w:r>
          </w:p>
        </w:tc>
      </w:tr>
      <w:tr w14:paraId="2637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7A73128">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价格分</w:t>
            </w:r>
          </w:p>
          <w:p w14:paraId="07CB3611">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2DE327B4">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投标报价</w:t>
            </w:r>
          </w:p>
          <w:p w14:paraId="1A9D32F2">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0分）</w:t>
            </w:r>
          </w:p>
        </w:tc>
        <w:tc>
          <w:tcPr>
            <w:tcW w:w="7070" w:type="dxa"/>
            <w:tcBorders>
              <w:top w:val="single" w:color="auto" w:sz="4" w:space="0"/>
              <w:left w:val="single" w:color="auto" w:sz="4" w:space="0"/>
              <w:bottom w:val="single" w:color="auto" w:sz="4" w:space="0"/>
              <w:right w:val="single" w:color="auto" w:sz="4" w:space="0"/>
            </w:tcBorders>
            <w:vAlign w:val="center"/>
          </w:tcPr>
          <w:p w14:paraId="4EA4E06C">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价格评分的计算方法如下：</w:t>
            </w:r>
          </w:p>
          <w:p w14:paraId="037C0ED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1、满足需求要求且报价价格最低的报价为评标基准价（D），其价格分为满分(</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0分)；</w:t>
            </w:r>
          </w:p>
          <w:p w14:paraId="33C563A9">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2、其他合格供应商的报价得分按如下公式计算：报价得分=（基准价/报价）×</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w:t>
            </w:r>
          </w:p>
        </w:tc>
      </w:tr>
      <w:tr w14:paraId="18F3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14:paraId="7637220C">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技术分</w:t>
            </w:r>
          </w:p>
          <w:p w14:paraId="2E9AC05A">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（60分）</w:t>
            </w:r>
          </w:p>
        </w:tc>
        <w:tc>
          <w:tcPr>
            <w:tcW w:w="2418" w:type="dxa"/>
            <w:tcBorders>
              <w:top w:val="single" w:color="auto" w:sz="4" w:space="0"/>
              <w:left w:val="single" w:color="auto" w:sz="4" w:space="0"/>
              <w:right w:val="single" w:color="auto" w:sz="4" w:space="0"/>
            </w:tcBorders>
            <w:vAlign w:val="center"/>
          </w:tcPr>
          <w:p w14:paraId="4367C94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质量服务方案</w:t>
            </w:r>
          </w:p>
          <w:p w14:paraId="7DF6391A">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（20分）</w:t>
            </w:r>
          </w:p>
        </w:tc>
        <w:tc>
          <w:tcPr>
            <w:tcW w:w="7070" w:type="dxa"/>
            <w:tcBorders>
              <w:top w:val="single" w:color="auto" w:sz="4" w:space="0"/>
              <w:left w:val="single" w:color="auto" w:sz="4" w:space="0"/>
              <w:right w:val="single" w:color="auto" w:sz="4" w:space="0"/>
            </w:tcBorders>
            <w:vAlign w:val="center"/>
          </w:tcPr>
          <w:p w14:paraId="1C3ADA8C">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根据供应商提供的售后服务方案内容的完整性、可行性，打样、设计沟通方案、到达质量现场时间、质量问题出现解决方案、安全保密措施、其他优惠措施、售后服务保证、应急预案等方面进行评定。</w:t>
            </w:r>
          </w:p>
          <w:p w14:paraId="5E6193DC">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一档（5分）：能提供质量服务承诺、服务内容等内容描述简单，无具体展开描述，没有针对性。</w:t>
            </w:r>
          </w:p>
          <w:p w14:paraId="550AE44D">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二档（10分）：打样、设计沟通方案满足采购文件要求、售后服务承诺明确、可行，并提供有应急预案措施、安全保密措施、售后方案，提供质保期内响应服务的联系人和联系电话等方面的情况； </w:t>
            </w:r>
          </w:p>
          <w:p w14:paraId="63F41A21">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三档（15分）：在满足二档的基础上；售后服务明确响应时间、明确出现质量问题解决时间且优于采购文件要求；产品出现质量问题承诺无条件更换或其它优惠条件、退换方案，可操作性强。</w:t>
            </w:r>
          </w:p>
          <w:p w14:paraId="7ECA6471">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四档（20分）在三档基础上，急需用品24小时内送到，节假日照常配送的承诺，供应商承诺为采购人提供增值服务或合理化建议的并被评审小组认可的，且内容齐全、详实、吻合实际。</w:t>
            </w:r>
          </w:p>
        </w:tc>
      </w:tr>
      <w:tr w14:paraId="0707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14:paraId="3A9813E0">
            <w:pPr>
              <w:spacing w:line="360" w:lineRule="auto"/>
              <w:jc w:val="left"/>
              <w:rPr>
                <w:rFonts w:cs="宋体" w:asciiTheme="minorEastAsia" w:hAnsiTheme="minorEastAsia" w:eastAsiaTheme="minorEastAsia"/>
                <w:szCs w:val="21"/>
              </w:rPr>
            </w:pPr>
          </w:p>
        </w:tc>
        <w:tc>
          <w:tcPr>
            <w:tcW w:w="2418" w:type="dxa"/>
            <w:tcBorders>
              <w:top w:val="single" w:color="auto" w:sz="4" w:space="0"/>
              <w:left w:val="single" w:color="auto" w:sz="4" w:space="0"/>
              <w:bottom w:val="single" w:color="auto" w:sz="4" w:space="0"/>
              <w:right w:val="single" w:color="auto" w:sz="4" w:space="0"/>
            </w:tcBorders>
            <w:vAlign w:val="center"/>
          </w:tcPr>
          <w:p w14:paraId="7803F41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配送服务</w:t>
            </w:r>
          </w:p>
          <w:p w14:paraId="32872297">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（10分）</w:t>
            </w:r>
          </w:p>
        </w:tc>
        <w:tc>
          <w:tcPr>
            <w:tcW w:w="7070" w:type="dxa"/>
            <w:tcBorders>
              <w:top w:val="single" w:color="auto" w:sz="4" w:space="0"/>
              <w:left w:val="single" w:color="auto" w:sz="4" w:space="0"/>
              <w:bottom w:val="single" w:color="auto" w:sz="4" w:space="0"/>
              <w:right w:val="single" w:color="auto" w:sz="4" w:space="0"/>
            </w:tcBorders>
            <w:vAlign w:val="center"/>
          </w:tcPr>
          <w:p w14:paraId="641FB386">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（一）供应商至少需提供2名配送人员，保证配送服务质量，否则此项不得分，在此基础上，采购小组根据供应商针对本项目提供的配送服务响应情况进行评审：</w:t>
            </w:r>
          </w:p>
          <w:p w14:paraId="17BC5C27">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（1）配送服务内容全面；</w:t>
            </w:r>
          </w:p>
          <w:p w14:paraId="14752E6B">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（2）配送服务内容具体；</w:t>
            </w:r>
          </w:p>
          <w:p w14:paraId="4F927434">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（3）配送服务内容针对性强；</w:t>
            </w:r>
          </w:p>
          <w:p w14:paraId="0B2281FA">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（4）配送服务内容科学合理；</w:t>
            </w:r>
          </w:p>
          <w:p w14:paraId="0606CB0F">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（5）配送服务内容可操作性强。</w:t>
            </w:r>
          </w:p>
          <w:p w14:paraId="1409F7D9">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（二）评分标准：</w:t>
            </w:r>
          </w:p>
          <w:p w14:paraId="50FF2042">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1、每满足1项得2分，满分10分。</w:t>
            </w:r>
          </w:p>
          <w:p w14:paraId="58D5525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2、未提供项目方案或都不满足不得分。</w:t>
            </w:r>
          </w:p>
        </w:tc>
      </w:tr>
      <w:tr w14:paraId="198B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14:paraId="334F0769">
            <w:pPr>
              <w:spacing w:line="360" w:lineRule="auto"/>
              <w:jc w:val="left"/>
              <w:rPr>
                <w:rFonts w:cs="宋体" w:asciiTheme="minorEastAsia" w:hAnsiTheme="minorEastAsia" w:eastAsiaTheme="minorEastAsia"/>
                <w:szCs w:val="21"/>
              </w:rPr>
            </w:pPr>
          </w:p>
        </w:tc>
        <w:tc>
          <w:tcPr>
            <w:tcW w:w="2418" w:type="dxa"/>
            <w:tcBorders>
              <w:top w:val="single" w:color="auto" w:sz="4" w:space="0"/>
              <w:left w:val="single" w:color="auto" w:sz="4" w:space="0"/>
              <w:bottom w:val="single" w:color="auto" w:sz="4" w:space="0"/>
              <w:right w:val="single" w:color="auto" w:sz="4" w:space="0"/>
            </w:tcBorders>
            <w:vAlign w:val="center"/>
          </w:tcPr>
          <w:p w14:paraId="083EC10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样品分</w:t>
            </w:r>
            <w:r>
              <w:rPr>
                <w:rFonts w:hint="eastAsia" w:cs="宋体" w:asciiTheme="minorEastAsia" w:hAnsiTheme="minorEastAsia" w:eastAsiaTheme="minorEastAsia"/>
                <w:szCs w:val="21"/>
              </w:rPr>
              <w:t>（</w:t>
            </w:r>
            <w:r>
              <w:rPr>
                <w:rFonts w:cs="宋体" w:asciiTheme="minorEastAsia" w:hAnsiTheme="minorEastAsia" w:eastAsiaTheme="minorEastAsia"/>
                <w:szCs w:val="21"/>
              </w:rPr>
              <w:t>20</w:t>
            </w:r>
            <w:r>
              <w:rPr>
                <w:rFonts w:hint="eastAsia" w:cs="宋体" w:asciiTheme="minorEastAsia" w:hAnsiTheme="minorEastAsia" w:eastAsiaTheme="minorEastAsia"/>
                <w:szCs w:val="21"/>
              </w:rPr>
              <w:t>分）</w:t>
            </w:r>
          </w:p>
        </w:tc>
        <w:tc>
          <w:tcPr>
            <w:tcW w:w="7070" w:type="dxa"/>
            <w:tcBorders>
              <w:top w:val="single" w:color="auto" w:sz="4" w:space="0"/>
              <w:left w:val="single" w:color="auto" w:sz="4" w:space="0"/>
              <w:bottom w:val="single" w:color="auto" w:sz="4" w:space="0"/>
              <w:right w:val="single" w:color="auto" w:sz="4" w:space="0"/>
            </w:tcBorders>
            <w:vAlign w:val="center"/>
          </w:tcPr>
          <w:p w14:paraId="7B06CEC5">
            <w:pPr>
              <w:pStyle w:val="12"/>
              <w:spacing w:line="440" w:lineRule="exact"/>
              <w:ind w:firstLine="420" w:firstLineChars="200"/>
              <w:rPr>
                <w:rFonts w:asciiTheme="minorEastAsia" w:hAnsiTheme="minorEastAsia" w:eastAsiaTheme="minorEastAsia"/>
                <w:bCs/>
              </w:rPr>
            </w:pPr>
            <w:r>
              <w:rPr>
                <w:rFonts w:hint="eastAsia" w:asciiTheme="minorEastAsia" w:hAnsiTheme="minorEastAsia" w:eastAsiaTheme="minorEastAsia"/>
                <w:bCs/>
              </w:rPr>
              <w:t>一档（5分）：样品基本符合采购要求，设计印刷效果较差。</w:t>
            </w:r>
          </w:p>
          <w:p w14:paraId="082DD8C5">
            <w:pPr>
              <w:pStyle w:val="12"/>
              <w:spacing w:line="440" w:lineRule="exact"/>
              <w:ind w:firstLine="420" w:firstLineChars="200"/>
              <w:rPr>
                <w:rFonts w:asciiTheme="minorEastAsia" w:hAnsiTheme="minorEastAsia" w:eastAsiaTheme="minorEastAsia"/>
                <w:bCs/>
              </w:rPr>
            </w:pPr>
            <w:r>
              <w:rPr>
                <w:rFonts w:hint="eastAsia" w:asciiTheme="minorEastAsia" w:hAnsiTheme="minorEastAsia" w:eastAsiaTheme="minorEastAsia"/>
                <w:bCs/>
              </w:rPr>
              <w:t>二档（10分）：样品符合采购要求，美术编辑、版面设计普通，文字及图片印刷效果</w:t>
            </w:r>
            <w:r>
              <w:rPr>
                <w:rFonts w:asciiTheme="minorEastAsia" w:hAnsiTheme="minorEastAsia" w:eastAsiaTheme="minorEastAsia"/>
                <w:bCs/>
              </w:rPr>
              <w:t>一般</w:t>
            </w:r>
            <w:r>
              <w:rPr>
                <w:rFonts w:hint="eastAsia" w:asciiTheme="minorEastAsia" w:hAnsiTheme="minorEastAsia" w:eastAsiaTheme="minorEastAsia"/>
                <w:bCs/>
              </w:rPr>
              <w:t>；物料样品材质、挺度、重量、光泽、密度、色彩一般。</w:t>
            </w:r>
          </w:p>
          <w:p w14:paraId="53490022">
            <w:pPr>
              <w:pStyle w:val="12"/>
              <w:spacing w:line="440" w:lineRule="exact"/>
              <w:ind w:firstLine="420" w:firstLineChars="200"/>
              <w:rPr>
                <w:rFonts w:asciiTheme="minorEastAsia" w:hAnsiTheme="minorEastAsia" w:eastAsiaTheme="minorEastAsia"/>
                <w:bCs/>
              </w:rPr>
            </w:pPr>
            <w:r>
              <w:rPr>
                <w:rFonts w:hint="eastAsia" w:asciiTheme="minorEastAsia" w:hAnsiTheme="minorEastAsia" w:eastAsiaTheme="minorEastAsia"/>
                <w:bCs/>
              </w:rPr>
              <w:t>三档（15分）：样品符合采购要求，美术编辑、版面设计的得当，文字及图片印刷效果清晰；物料样品材质、挺度、重量、光泽、密度、色彩等方面的表现良好，符合技术规范要求。小样完全符合要求，外表感官良好，工艺精致。</w:t>
            </w:r>
          </w:p>
          <w:p w14:paraId="7D3DF32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四档（</w:t>
            </w:r>
            <w:r>
              <w:rPr>
                <w:rFonts w:asciiTheme="minorEastAsia" w:hAnsiTheme="minorEastAsia" w:eastAsiaTheme="minorEastAsia"/>
                <w:bCs/>
                <w:szCs w:val="21"/>
              </w:rPr>
              <w:t>20</w:t>
            </w:r>
            <w:r>
              <w:rPr>
                <w:rFonts w:hint="eastAsia" w:asciiTheme="minorEastAsia" w:hAnsiTheme="minorEastAsia" w:eastAsiaTheme="minorEastAsia"/>
                <w:bCs/>
                <w:szCs w:val="21"/>
              </w:rPr>
              <w:t>分）：样品美术编辑、版面设计精美，色彩搭配协调，设计思路新颖及印刷质量充分满足采购要求。物料样品材质、挺度、重量、光泽、密度、色彩等方面的表现优秀，</w:t>
            </w:r>
            <w:r>
              <w:rPr>
                <w:rFonts w:hint="eastAsia" w:cs="宋体" w:asciiTheme="minorEastAsia" w:hAnsiTheme="minorEastAsia" w:eastAsiaTheme="minorEastAsia"/>
                <w:kern w:val="0"/>
                <w:szCs w:val="21"/>
              </w:rPr>
              <w:t>样品工艺、材料、质量优于采购要求的。</w:t>
            </w:r>
          </w:p>
        </w:tc>
      </w:tr>
      <w:tr w14:paraId="601E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14:paraId="60A28ED9">
            <w:pPr>
              <w:spacing w:line="360" w:lineRule="auto"/>
              <w:jc w:val="left"/>
              <w:rPr>
                <w:rFonts w:cs="宋体" w:asciiTheme="minorEastAsia" w:hAnsiTheme="minorEastAsia" w:eastAsiaTheme="minorEastAsia"/>
                <w:szCs w:val="21"/>
              </w:rPr>
            </w:pPr>
          </w:p>
        </w:tc>
        <w:tc>
          <w:tcPr>
            <w:tcW w:w="2418" w:type="dxa"/>
            <w:tcBorders>
              <w:top w:val="single" w:color="auto" w:sz="4" w:space="0"/>
              <w:left w:val="single" w:color="auto" w:sz="4" w:space="0"/>
              <w:bottom w:val="single" w:color="auto" w:sz="4" w:space="0"/>
              <w:right w:val="single" w:color="auto" w:sz="4" w:space="0"/>
            </w:tcBorders>
            <w:vAlign w:val="center"/>
          </w:tcPr>
          <w:p w14:paraId="06AB1C1C">
            <w:pPr>
              <w:widowControl/>
              <w:tabs>
                <w:tab w:val="left" w:pos="8460"/>
              </w:tabs>
              <w:spacing w:line="40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szCs w:val="21"/>
              </w:rPr>
              <w:t>人员配置分（</w:t>
            </w:r>
            <w:r>
              <w:rPr>
                <w:rFonts w:cs="宋体" w:asciiTheme="minorEastAsia" w:hAnsiTheme="minorEastAsia" w:eastAsiaTheme="minorEastAsia"/>
                <w:szCs w:val="21"/>
              </w:rPr>
              <w:t>10</w:t>
            </w:r>
            <w:r>
              <w:rPr>
                <w:rFonts w:hint="eastAsia" w:cs="宋体" w:asciiTheme="minorEastAsia" w:hAnsiTheme="minorEastAsia" w:eastAsiaTheme="minorEastAsia"/>
                <w:szCs w:val="21"/>
              </w:rPr>
              <w:t>分）</w:t>
            </w:r>
          </w:p>
        </w:tc>
        <w:tc>
          <w:tcPr>
            <w:tcW w:w="7070" w:type="dxa"/>
            <w:tcBorders>
              <w:top w:val="single" w:color="auto" w:sz="4" w:space="0"/>
              <w:left w:val="single" w:color="auto" w:sz="4" w:space="0"/>
              <w:bottom w:val="single" w:color="auto" w:sz="4" w:space="0"/>
              <w:right w:val="single" w:color="auto" w:sz="4" w:space="0"/>
            </w:tcBorders>
            <w:vAlign w:val="center"/>
          </w:tcPr>
          <w:p w14:paraId="0A5D341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配有项目负责人、专</w:t>
            </w:r>
            <w:r>
              <w:rPr>
                <w:rFonts w:asciiTheme="minorEastAsia" w:hAnsiTheme="minorEastAsia" w:eastAsiaTheme="minorEastAsia"/>
                <w:szCs w:val="21"/>
              </w:rPr>
              <w:t>业</w:t>
            </w:r>
            <w:r>
              <w:rPr>
                <w:rFonts w:hint="eastAsia" w:asciiTheme="minorEastAsia" w:hAnsiTheme="minorEastAsia" w:eastAsiaTheme="minorEastAsia"/>
                <w:szCs w:val="21"/>
              </w:rPr>
              <w:t>技术人员，</w:t>
            </w:r>
            <w:r>
              <w:rPr>
                <w:rFonts w:asciiTheme="minorEastAsia" w:hAnsiTheme="minorEastAsia" w:eastAsiaTheme="minorEastAsia"/>
                <w:szCs w:val="21"/>
              </w:rPr>
              <w:t>明确人员分工计划和</w:t>
            </w:r>
            <w:r>
              <w:rPr>
                <w:rFonts w:hint="eastAsia" w:asciiTheme="minorEastAsia" w:hAnsiTheme="minorEastAsia" w:eastAsiaTheme="minorEastAsia"/>
                <w:szCs w:val="21"/>
              </w:rPr>
              <w:t>岗位职责，</w:t>
            </w:r>
            <w:r>
              <w:rPr>
                <w:rFonts w:asciiTheme="minorEastAsia" w:hAnsiTheme="minorEastAsia" w:eastAsiaTheme="minorEastAsia"/>
                <w:szCs w:val="21"/>
              </w:rPr>
              <w:t>并</w:t>
            </w:r>
            <w:r>
              <w:rPr>
                <w:rFonts w:hint="eastAsia" w:asciiTheme="minorEastAsia" w:hAnsiTheme="minorEastAsia" w:eastAsiaTheme="minorEastAsia"/>
                <w:szCs w:val="21"/>
              </w:rPr>
              <w:t>提供资格证明材料（含毕业证书或相关资格证书，需提供从业人员的身份证及劳动合同复印件）</w:t>
            </w:r>
          </w:p>
          <w:p w14:paraId="1F194F3A">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一档（5分）：从业人员6~</w:t>
            </w:r>
            <w:r>
              <w:rPr>
                <w:rFonts w:asciiTheme="minorEastAsia" w:hAnsiTheme="minorEastAsia" w:eastAsiaTheme="minorEastAsia"/>
                <w:szCs w:val="21"/>
              </w:rPr>
              <w:t>10</w:t>
            </w:r>
            <w:r>
              <w:rPr>
                <w:rFonts w:hint="eastAsia" w:asciiTheme="minorEastAsia" w:hAnsiTheme="minorEastAsia" w:eastAsiaTheme="minorEastAsia"/>
                <w:szCs w:val="21"/>
              </w:rPr>
              <w:t>人</w:t>
            </w:r>
            <w:r>
              <w:rPr>
                <w:rFonts w:asciiTheme="minorEastAsia" w:hAnsiTheme="minorEastAsia" w:eastAsiaTheme="minorEastAsia"/>
                <w:szCs w:val="21"/>
              </w:rPr>
              <w:t>，</w:t>
            </w:r>
            <w:r>
              <w:rPr>
                <w:rFonts w:hint="eastAsia" w:asciiTheme="minorEastAsia" w:hAnsiTheme="minorEastAsia" w:eastAsiaTheme="minorEastAsia"/>
                <w:szCs w:val="21"/>
              </w:rPr>
              <w:t>有</w:t>
            </w:r>
            <w:r>
              <w:rPr>
                <w:rFonts w:asciiTheme="minorEastAsia" w:hAnsiTheme="minorEastAsia" w:eastAsiaTheme="minorEastAsia"/>
                <w:szCs w:val="21"/>
              </w:rPr>
              <w:t>明确的</w:t>
            </w:r>
            <w:r>
              <w:rPr>
                <w:rFonts w:hint="eastAsia" w:asciiTheme="minorEastAsia" w:hAnsiTheme="minorEastAsia" w:eastAsiaTheme="minorEastAsia"/>
                <w:szCs w:val="21"/>
              </w:rPr>
              <w:t>项目参与人员</w:t>
            </w:r>
            <w:r>
              <w:rPr>
                <w:rFonts w:asciiTheme="minorEastAsia" w:hAnsiTheme="minorEastAsia" w:eastAsiaTheme="minorEastAsia"/>
                <w:szCs w:val="21"/>
              </w:rPr>
              <w:t>分工计划和</w:t>
            </w:r>
            <w:r>
              <w:rPr>
                <w:rFonts w:hint="eastAsia" w:asciiTheme="minorEastAsia" w:hAnsiTheme="minorEastAsia" w:eastAsiaTheme="minorEastAsia"/>
                <w:szCs w:val="21"/>
              </w:rPr>
              <w:t>岗位职责且，至少</w:t>
            </w:r>
            <w:r>
              <w:rPr>
                <w:rFonts w:asciiTheme="minorEastAsia" w:hAnsiTheme="minorEastAsia" w:eastAsiaTheme="minorEastAsia"/>
                <w:szCs w:val="21"/>
              </w:rPr>
              <w:t>2</w:t>
            </w:r>
            <w:r>
              <w:rPr>
                <w:rFonts w:hint="eastAsia" w:asciiTheme="minorEastAsia" w:hAnsiTheme="minorEastAsia" w:eastAsiaTheme="minorEastAsia"/>
                <w:szCs w:val="21"/>
              </w:rPr>
              <w:t>人持有高级设计师证书，至少</w:t>
            </w:r>
            <w:r>
              <w:rPr>
                <w:rFonts w:asciiTheme="minorEastAsia" w:hAnsiTheme="minorEastAsia" w:eastAsiaTheme="minorEastAsia"/>
                <w:szCs w:val="21"/>
              </w:rPr>
              <w:t>2</w:t>
            </w:r>
            <w:r>
              <w:rPr>
                <w:rFonts w:hint="eastAsia" w:asciiTheme="minorEastAsia" w:hAnsiTheme="minorEastAsia" w:eastAsiaTheme="minorEastAsia"/>
                <w:szCs w:val="21"/>
              </w:rPr>
              <w:t>人持有高级印刷工证书；</w:t>
            </w:r>
          </w:p>
          <w:p w14:paraId="01DCFCFB">
            <w:pPr>
              <w:pStyle w:val="3"/>
              <w:ind w:left="63" w:right="63"/>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kern w:val="2"/>
                <w:sz w:val="21"/>
                <w:szCs w:val="21"/>
              </w:rPr>
              <w:t>二档（</w:t>
            </w:r>
            <w:r>
              <w:rPr>
                <w:rFonts w:asciiTheme="minorEastAsia" w:hAnsiTheme="minorEastAsia" w:eastAsiaTheme="minorEastAsia"/>
                <w:kern w:val="2"/>
                <w:sz w:val="21"/>
                <w:szCs w:val="21"/>
              </w:rPr>
              <w:t>10</w:t>
            </w:r>
            <w:r>
              <w:rPr>
                <w:rFonts w:hint="eastAsia" w:asciiTheme="minorEastAsia" w:hAnsiTheme="minorEastAsia" w:eastAsiaTheme="minorEastAsia"/>
                <w:kern w:val="2"/>
                <w:sz w:val="21"/>
                <w:szCs w:val="21"/>
              </w:rPr>
              <w:t>分）：从业人员</w:t>
            </w:r>
            <w:r>
              <w:rPr>
                <w:rFonts w:asciiTheme="minorEastAsia" w:hAnsiTheme="minorEastAsia" w:eastAsiaTheme="minorEastAsia"/>
                <w:kern w:val="2"/>
                <w:sz w:val="21"/>
                <w:szCs w:val="21"/>
              </w:rPr>
              <w:t>10</w:t>
            </w:r>
            <w:r>
              <w:rPr>
                <w:rFonts w:hint="eastAsia" w:asciiTheme="minorEastAsia" w:hAnsiTheme="minorEastAsia" w:eastAsiaTheme="minorEastAsia"/>
                <w:kern w:val="2"/>
                <w:sz w:val="21"/>
                <w:szCs w:val="21"/>
              </w:rPr>
              <w:t>人以上，</w:t>
            </w:r>
            <w:r>
              <w:rPr>
                <w:rFonts w:asciiTheme="minorEastAsia" w:hAnsiTheme="minorEastAsia" w:eastAsiaTheme="minorEastAsia"/>
                <w:kern w:val="2"/>
                <w:sz w:val="21"/>
                <w:szCs w:val="21"/>
              </w:rPr>
              <w:t>且有较好的从业经验</w:t>
            </w:r>
            <w:r>
              <w:rPr>
                <w:rFonts w:hint="eastAsia" w:asciiTheme="minorEastAsia" w:hAnsiTheme="minorEastAsia" w:eastAsiaTheme="minorEastAsia"/>
                <w:kern w:val="2"/>
                <w:sz w:val="21"/>
                <w:szCs w:val="21"/>
              </w:rPr>
              <w:t>，有</w:t>
            </w:r>
            <w:r>
              <w:rPr>
                <w:rFonts w:asciiTheme="minorEastAsia" w:hAnsiTheme="minorEastAsia" w:eastAsiaTheme="minorEastAsia"/>
                <w:kern w:val="2"/>
                <w:sz w:val="21"/>
                <w:szCs w:val="21"/>
              </w:rPr>
              <w:t>明确的分工计划和</w:t>
            </w:r>
            <w:r>
              <w:rPr>
                <w:rFonts w:hint="eastAsia" w:asciiTheme="minorEastAsia" w:hAnsiTheme="minorEastAsia" w:eastAsiaTheme="minorEastAsia"/>
                <w:kern w:val="2"/>
                <w:sz w:val="21"/>
                <w:szCs w:val="21"/>
              </w:rPr>
              <w:t>岗位职责，</w:t>
            </w:r>
            <w:r>
              <w:rPr>
                <w:rFonts w:asciiTheme="minorEastAsia" w:hAnsiTheme="minorEastAsia" w:eastAsiaTheme="minorEastAsia"/>
                <w:kern w:val="2"/>
                <w:sz w:val="21"/>
                <w:szCs w:val="21"/>
              </w:rPr>
              <w:t>并</w:t>
            </w:r>
            <w:r>
              <w:rPr>
                <w:rFonts w:hint="eastAsia" w:asciiTheme="minorEastAsia" w:hAnsiTheme="minorEastAsia" w:eastAsiaTheme="minorEastAsia"/>
                <w:kern w:val="2"/>
                <w:sz w:val="21"/>
                <w:szCs w:val="21"/>
              </w:rPr>
              <w:t>设置有人员应急方</w:t>
            </w:r>
            <w:r>
              <w:rPr>
                <w:rFonts w:asciiTheme="minorEastAsia" w:hAnsiTheme="minorEastAsia" w:eastAsiaTheme="minorEastAsia"/>
                <w:kern w:val="2"/>
                <w:sz w:val="21"/>
                <w:szCs w:val="21"/>
              </w:rPr>
              <w:t>案</w:t>
            </w:r>
            <w:r>
              <w:rPr>
                <w:rFonts w:hint="eastAsia" w:asciiTheme="minorEastAsia" w:hAnsiTheme="minorEastAsia" w:eastAsiaTheme="minorEastAsia"/>
                <w:kern w:val="2"/>
                <w:sz w:val="21"/>
                <w:szCs w:val="21"/>
              </w:rPr>
              <w:t>。至少</w:t>
            </w:r>
            <w:r>
              <w:rPr>
                <w:rFonts w:asciiTheme="minorEastAsia" w:hAnsiTheme="minorEastAsia" w:eastAsiaTheme="minorEastAsia"/>
                <w:kern w:val="2"/>
                <w:sz w:val="21"/>
                <w:szCs w:val="21"/>
              </w:rPr>
              <w:t>5</w:t>
            </w:r>
            <w:r>
              <w:rPr>
                <w:rFonts w:hint="eastAsia" w:asciiTheme="minorEastAsia" w:hAnsiTheme="minorEastAsia" w:eastAsiaTheme="minorEastAsia"/>
                <w:kern w:val="2"/>
                <w:sz w:val="21"/>
                <w:szCs w:val="21"/>
              </w:rPr>
              <w:t>人持有高级设计师证书，至少</w:t>
            </w:r>
            <w:r>
              <w:rPr>
                <w:rFonts w:asciiTheme="minorEastAsia" w:hAnsiTheme="minorEastAsia" w:eastAsiaTheme="minorEastAsia"/>
                <w:kern w:val="2"/>
                <w:sz w:val="21"/>
                <w:szCs w:val="21"/>
              </w:rPr>
              <w:t>5</w:t>
            </w:r>
            <w:r>
              <w:rPr>
                <w:rFonts w:hint="eastAsia" w:asciiTheme="minorEastAsia" w:hAnsiTheme="minorEastAsia" w:eastAsiaTheme="minorEastAsia"/>
                <w:kern w:val="2"/>
                <w:sz w:val="21"/>
                <w:szCs w:val="21"/>
              </w:rPr>
              <w:t>人持有高级印刷工证书。</w:t>
            </w:r>
          </w:p>
        </w:tc>
      </w:tr>
      <w:tr w14:paraId="6A3D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0B2C12B5">
            <w:pPr>
              <w:spacing w:line="360" w:lineRule="auto"/>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商务分</w:t>
            </w:r>
          </w:p>
          <w:p w14:paraId="1E2ACBE7">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7B5F67C8">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业绩分</w:t>
            </w:r>
          </w:p>
          <w:p w14:paraId="21DFDE28">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0分）</w:t>
            </w:r>
          </w:p>
        </w:tc>
        <w:tc>
          <w:tcPr>
            <w:tcW w:w="7070" w:type="dxa"/>
            <w:tcBorders>
              <w:top w:val="single" w:color="auto" w:sz="4" w:space="0"/>
              <w:left w:val="single" w:color="auto" w:sz="4" w:space="0"/>
              <w:bottom w:val="single" w:color="auto" w:sz="4" w:space="0"/>
              <w:right w:val="single" w:color="auto" w:sz="4" w:space="0"/>
            </w:tcBorders>
            <w:vAlign w:val="center"/>
          </w:tcPr>
          <w:p w14:paraId="7354BD46">
            <w:pPr>
              <w:spacing w:line="400" w:lineRule="exact"/>
              <w:textAlignment w:val="baseline"/>
              <w:rPr>
                <w:rFonts w:cs="Courier New" w:asciiTheme="minorEastAsia" w:hAnsiTheme="minorEastAsia" w:eastAsiaTheme="minorEastAsia"/>
                <w:szCs w:val="21"/>
              </w:rPr>
            </w:pPr>
            <w:r>
              <w:rPr>
                <w:rFonts w:hint="eastAsia" w:cs="Courier New" w:asciiTheme="minorEastAsia" w:hAnsiTheme="minorEastAsia" w:eastAsiaTheme="minorEastAsia"/>
                <w:szCs w:val="21"/>
              </w:rPr>
              <w:t>1、供应商20</w:t>
            </w:r>
            <w:r>
              <w:rPr>
                <w:rFonts w:cs="Courier New" w:asciiTheme="minorEastAsia" w:hAnsiTheme="minorEastAsia" w:eastAsiaTheme="minorEastAsia"/>
                <w:szCs w:val="21"/>
              </w:rPr>
              <w:t>2</w:t>
            </w:r>
            <w:r>
              <w:rPr>
                <w:rFonts w:hint="eastAsia" w:cs="Courier New" w:asciiTheme="minorEastAsia" w:hAnsiTheme="minorEastAsia" w:eastAsiaTheme="minorEastAsia"/>
                <w:szCs w:val="21"/>
                <w:lang w:val="en-US" w:eastAsia="zh-CN"/>
              </w:rPr>
              <w:t>3</w:t>
            </w:r>
            <w:r>
              <w:rPr>
                <w:rFonts w:cs="Courier New" w:asciiTheme="minorEastAsia" w:hAnsiTheme="minorEastAsia" w:eastAsiaTheme="minorEastAsia"/>
                <w:szCs w:val="21"/>
              </w:rPr>
              <w:t>年</w:t>
            </w:r>
            <w:r>
              <w:rPr>
                <w:rFonts w:hint="eastAsia" w:cs="Courier New" w:asciiTheme="minorEastAsia" w:hAnsiTheme="minorEastAsia" w:eastAsiaTheme="minorEastAsia"/>
                <w:szCs w:val="21"/>
              </w:rPr>
              <w:t>1月1日以来承接过同类项目的，每个项目得</w:t>
            </w:r>
            <w:r>
              <w:rPr>
                <w:rFonts w:hint="eastAsia" w:cs="Courier New" w:asciiTheme="minorEastAsia" w:hAnsiTheme="minorEastAsia" w:eastAsiaTheme="minorEastAsia"/>
                <w:szCs w:val="21"/>
                <w:lang w:val="en-US" w:eastAsia="zh-CN"/>
              </w:rPr>
              <w:t>1</w:t>
            </w:r>
            <w:r>
              <w:rPr>
                <w:rFonts w:hint="eastAsia" w:cs="Courier New" w:asciiTheme="minorEastAsia" w:hAnsiTheme="minorEastAsia" w:eastAsiaTheme="minorEastAsia"/>
                <w:szCs w:val="21"/>
              </w:rPr>
              <w:t>分，满分</w:t>
            </w:r>
            <w:r>
              <w:rPr>
                <w:rFonts w:hint="eastAsia" w:cs="Courier New" w:asciiTheme="minorEastAsia" w:hAnsiTheme="minorEastAsia" w:eastAsiaTheme="minorEastAsia"/>
                <w:szCs w:val="21"/>
                <w:lang w:val="en-US" w:eastAsia="zh-CN"/>
              </w:rPr>
              <w:t>7</w:t>
            </w:r>
            <w:r>
              <w:rPr>
                <w:rFonts w:hint="eastAsia" w:cs="Courier New" w:asciiTheme="minorEastAsia" w:hAnsiTheme="minorEastAsia" w:eastAsiaTheme="minorEastAsia"/>
                <w:szCs w:val="21"/>
              </w:rPr>
              <w:t>分。</w:t>
            </w:r>
          </w:p>
          <w:p w14:paraId="73F6645C">
            <w:pPr>
              <w:spacing w:line="360" w:lineRule="auto"/>
              <w:jc w:val="left"/>
              <w:rPr>
                <w:rFonts w:cs="Courier New" w:asciiTheme="minorEastAsia" w:hAnsiTheme="minorEastAsia" w:eastAsiaTheme="minorEastAsia"/>
                <w:szCs w:val="21"/>
              </w:rPr>
            </w:pPr>
            <w:r>
              <w:rPr>
                <w:rFonts w:hint="eastAsia" w:cs="Courier New" w:asciiTheme="minorEastAsia" w:hAnsiTheme="minorEastAsia" w:eastAsiaTheme="minorEastAsia"/>
                <w:szCs w:val="21"/>
              </w:rPr>
              <w:t>注：响应文件中提供中标/成交通知书或合同复印件，不提供不予计分。</w:t>
            </w:r>
          </w:p>
          <w:p w14:paraId="53EBE33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2、供应商获得质量管理体系认证证书、环境管理体系认证证书、职业健康安全管理体系认证证书的每一项得</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分，满分</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分。【注：须提供相关证书复印件，不提供不得分】</w:t>
            </w:r>
          </w:p>
        </w:tc>
      </w:tr>
      <w:tr w14:paraId="0C37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99" w:type="dxa"/>
            <w:gridSpan w:val="3"/>
            <w:tcBorders>
              <w:top w:val="single" w:color="auto" w:sz="4" w:space="0"/>
              <w:left w:val="single" w:color="auto" w:sz="4" w:space="0"/>
              <w:bottom w:val="single" w:color="auto" w:sz="4" w:space="0"/>
              <w:right w:val="single" w:color="auto" w:sz="4" w:space="0"/>
            </w:tcBorders>
            <w:vAlign w:val="center"/>
          </w:tcPr>
          <w:p w14:paraId="3A664521">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总分（100分）</w:t>
            </w:r>
          </w:p>
        </w:tc>
      </w:tr>
    </w:tbl>
    <w:p w14:paraId="00AE39B0">
      <w:pPr>
        <w:pStyle w:val="12"/>
        <w:spacing w:line="400" w:lineRule="exact"/>
        <w:rPr>
          <w:rFonts w:hAnsi="宋体"/>
          <w:bCs/>
        </w:rPr>
      </w:pPr>
      <w:r>
        <w:rPr>
          <w:rFonts w:hint="eastAsia" w:hAnsi="宋体"/>
          <w:bCs/>
        </w:rPr>
        <w:t>注：计分方法按四舍五入取至百分位。</w:t>
      </w:r>
    </w:p>
    <w:p w14:paraId="0EAA75B0">
      <w:pPr>
        <w:pStyle w:val="12"/>
        <w:spacing w:line="400" w:lineRule="exact"/>
        <w:rPr>
          <w:rFonts w:hAnsi="宋体"/>
          <w:bCs/>
        </w:rPr>
      </w:pPr>
    </w:p>
    <w:p w14:paraId="45F3D71B">
      <w:pPr>
        <w:pStyle w:val="5"/>
      </w:pPr>
      <w:r>
        <w:rPr>
          <w:rFonts w:hint="eastAsia"/>
        </w:rPr>
        <w:t>候选人推荐原则：采购小组将根据总得分由高到低排列次序并推荐中标候选人。得分相同的，以投标报价由低到高顺序排列。得分相同且投标报价相同的并列，报价文件满足招标文件全部实质性要求，且按照评审因素的量化指标评审得分最高的投标人为排名第一的中标候选人（另有约定的除外）。</w:t>
      </w:r>
    </w:p>
    <w:p w14:paraId="3ED8111F">
      <w:pPr>
        <w:snapToGrid w:val="0"/>
        <w:spacing w:before="50" w:afterLines="50"/>
        <w:jc w:val="left"/>
        <w:rPr>
          <w:rFonts w:ascii="宋体" w:hAnsi="宋体" w:cs="Courier New"/>
          <w:bCs/>
          <w:szCs w:val="21"/>
        </w:rPr>
      </w:pPr>
    </w:p>
    <w:p w14:paraId="6E5D3348">
      <w:pPr>
        <w:snapToGrid w:val="0"/>
        <w:spacing w:before="50" w:afterLines="50"/>
        <w:jc w:val="center"/>
        <w:rPr>
          <w:rFonts w:ascii="宋体" w:hAnsi="宋体" w:cs="宋体"/>
          <w:b/>
          <w:color w:val="000000"/>
          <w:sz w:val="32"/>
          <w:szCs w:val="32"/>
        </w:rPr>
      </w:pPr>
    </w:p>
    <w:p w14:paraId="226FE3B1">
      <w:pPr>
        <w:spacing w:line="800" w:lineRule="exact"/>
        <w:jc w:val="center"/>
      </w:pPr>
    </w:p>
    <w:p w14:paraId="60669842">
      <w:pPr>
        <w:ind w:firstLine="560" w:firstLineChars="200"/>
        <w:rPr>
          <w:rFonts w:ascii="仿宋" w:hAnsi="仿宋" w:eastAsia="仿宋" w:cs="仿宋"/>
          <w:bCs/>
          <w:sz w:val="28"/>
          <w:szCs w:val="28"/>
        </w:rPr>
      </w:pPr>
    </w:p>
    <w:p w14:paraId="467E3014">
      <w:pPr>
        <w:widowControl/>
        <w:jc w:val="left"/>
        <w:rPr>
          <w:rFonts w:ascii="仿宋" w:hAnsi="仿宋" w:eastAsia="仿宋" w:cs="仿宋"/>
          <w:bCs/>
          <w:sz w:val="28"/>
          <w:szCs w:val="28"/>
        </w:rPr>
      </w:pPr>
      <w:r>
        <w:rPr>
          <w:rFonts w:ascii="仿宋" w:hAnsi="仿宋" w:eastAsia="仿宋" w:cs="仿宋"/>
          <w:bCs/>
          <w:sz w:val="28"/>
          <w:szCs w:val="28"/>
        </w:rPr>
        <w:br w:type="page"/>
      </w:r>
    </w:p>
    <w:p w14:paraId="105DBF17">
      <w:pPr>
        <w:jc w:val="center"/>
        <w:rPr>
          <w:rFonts w:ascii="宋体" w:hAnsi="宋体"/>
          <w:b/>
          <w:sz w:val="44"/>
          <w:szCs w:val="44"/>
        </w:rPr>
      </w:pPr>
      <w:r>
        <w:rPr>
          <w:rFonts w:hint="eastAsia" w:ascii="宋体" w:hAnsi="宋体"/>
          <w:b/>
          <w:sz w:val="44"/>
          <w:szCs w:val="44"/>
        </w:rPr>
        <w:t>信息安全保密协议书</w:t>
      </w:r>
    </w:p>
    <w:p w14:paraId="793508C3">
      <w:pPr>
        <w:rPr>
          <w:rFonts w:ascii="宋体" w:hAnsi="宋体"/>
          <w:b/>
          <w:sz w:val="28"/>
          <w:szCs w:val="28"/>
        </w:rPr>
      </w:pPr>
    </w:p>
    <w:p w14:paraId="0655EFD0">
      <w:pPr>
        <w:spacing w:line="54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广西医科大学第一附属医院           协议编号：</w:t>
      </w:r>
    </w:p>
    <w:p w14:paraId="726A3954">
      <w:pPr>
        <w:spacing w:line="540" w:lineRule="exact"/>
        <w:rPr>
          <w:rFonts w:ascii="宋体" w:hAnsi="宋体"/>
          <w:b/>
          <w:sz w:val="28"/>
          <w:szCs w:val="28"/>
        </w:rPr>
      </w:pPr>
      <w:r>
        <w:rPr>
          <w:rFonts w:hint="eastAsia" w:ascii="宋体" w:hAnsi="宋体"/>
          <w:b/>
          <w:sz w:val="28"/>
          <w:szCs w:val="28"/>
        </w:rPr>
        <w:t>乙方：</w:t>
      </w:r>
      <w:r>
        <w:rPr>
          <w:rFonts w:hint="eastAsia" w:ascii="宋体" w:hAnsi="宋体"/>
          <w:sz w:val="28"/>
          <w:szCs w:val="28"/>
        </w:rPr>
        <w:t xml:space="preserve">                                   签订地点：广西南宁市</w:t>
      </w:r>
    </w:p>
    <w:p w14:paraId="76940651">
      <w:pPr>
        <w:spacing w:line="540" w:lineRule="exact"/>
        <w:ind w:firstLine="560" w:firstLineChars="200"/>
        <w:rPr>
          <w:rFonts w:ascii="宋体" w:hAnsi="宋体"/>
          <w:sz w:val="28"/>
          <w:szCs w:val="28"/>
        </w:rPr>
      </w:pPr>
      <w:r>
        <w:rPr>
          <w:rFonts w:hint="eastAsia" w:ascii="宋体" w:hAnsi="宋体"/>
          <w:sz w:val="28"/>
          <w:szCs w:val="28"/>
        </w:rPr>
        <w:t>根据《中华人民共和国计算机信息网络国际联网管理暂行规定》(国务院令第195号)、《互联网信息服务管理办法》（国务院令第292号）等法律法规的有关规定，为保证乙方所提供医疗器械、信息软件或服务的信息安全，维护国家安全和社会稳定，保障公民、法人和其他组织的合法权益。经甲、乙双方协商，签订本保密协议书并共同遵守：</w:t>
      </w:r>
    </w:p>
    <w:p w14:paraId="51DBBE5B">
      <w:pPr>
        <w:spacing w:line="540" w:lineRule="exact"/>
        <w:ind w:firstLine="562" w:firstLineChars="200"/>
        <w:rPr>
          <w:rFonts w:ascii="宋体" w:hAnsi="宋体"/>
          <w:b/>
          <w:bCs/>
          <w:sz w:val="28"/>
          <w:szCs w:val="28"/>
        </w:rPr>
      </w:pPr>
      <w:r>
        <w:rPr>
          <w:rFonts w:hint="eastAsia" w:ascii="宋体" w:hAnsi="宋体"/>
          <w:b/>
          <w:bCs/>
          <w:sz w:val="28"/>
          <w:szCs w:val="28"/>
        </w:rPr>
        <w:t>一、保密信息范围</w:t>
      </w:r>
    </w:p>
    <w:p w14:paraId="45AF24EA">
      <w:pPr>
        <w:spacing w:line="540" w:lineRule="exact"/>
        <w:ind w:firstLine="560" w:firstLineChars="200"/>
        <w:rPr>
          <w:rFonts w:ascii="宋体" w:hAnsi="宋体"/>
          <w:sz w:val="28"/>
          <w:szCs w:val="28"/>
        </w:rPr>
      </w:pPr>
      <w:r>
        <w:rPr>
          <w:rFonts w:hint="eastAsia" w:ascii="宋体" w:hAnsi="宋体"/>
          <w:sz w:val="28"/>
          <w:szCs w:val="28"/>
        </w:rPr>
        <w:t>1、甲方购进医药器械、信息软件或服务等产品包含的或使用运行过程中收录的全部内容及乙方在合作过程中所知悉的与甲方有关的全部信息，包括但不限于任何载体、媒介、传媒、平台、系统中的各种文件、资料、电子文档、影像、视频、网络、财务报告、技术资料和数据、经营信息、患者信息、检测记录、诊断记录和商业秘密等信息。</w:t>
      </w:r>
    </w:p>
    <w:p w14:paraId="630C5E35">
      <w:pPr>
        <w:spacing w:line="540" w:lineRule="exact"/>
        <w:ind w:firstLine="560" w:firstLineChars="200"/>
        <w:rPr>
          <w:rFonts w:ascii="宋体" w:hAnsi="宋体"/>
          <w:sz w:val="28"/>
          <w:szCs w:val="28"/>
        </w:rPr>
      </w:pPr>
      <w:r>
        <w:rPr>
          <w:rFonts w:hint="eastAsia" w:ascii="宋体" w:hAnsi="宋体"/>
          <w:sz w:val="28"/>
          <w:szCs w:val="28"/>
        </w:rPr>
        <w:t>2、协议双方进行的所有会务内容、会议纪要、传真、电话交流、电报、网络交流、口头情况介绍等信息，不论是否明确标注或指明是保密信息。</w:t>
      </w:r>
    </w:p>
    <w:p w14:paraId="7D0FCDA8">
      <w:pPr>
        <w:spacing w:line="540" w:lineRule="exact"/>
        <w:ind w:firstLine="560" w:firstLineChars="200"/>
        <w:rPr>
          <w:rFonts w:ascii="宋体" w:hAnsi="宋体"/>
          <w:sz w:val="28"/>
          <w:szCs w:val="28"/>
        </w:rPr>
      </w:pPr>
      <w:r>
        <w:rPr>
          <w:rFonts w:hint="eastAsia" w:ascii="宋体" w:hAnsi="宋体"/>
          <w:sz w:val="28"/>
          <w:szCs w:val="28"/>
        </w:rPr>
        <w:t>3、保密范围不包括协议双方通过双方已主动公开，官方机构查询的渠道查询获知的信息。</w:t>
      </w:r>
    </w:p>
    <w:p w14:paraId="001A364B">
      <w:pPr>
        <w:spacing w:line="540" w:lineRule="exact"/>
        <w:ind w:firstLine="562" w:firstLineChars="200"/>
        <w:rPr>
          <w:rFonts w:ascii="宋体" w:hAnsi="宋体"/>
          <w:b/>
          <w:bCs/>
          <w:sz w:val="28"/>
          <w:szCs w:val="28"/>
        </w:rPr>
      </w:pPr>
      <w:r>
        <w:rPr>
          <w:rFonts w:hint="eastAsia" w:ascii="宋体" w:hAnsi="宋体"/>
          <w:b/>
          <w:bCs/>
          <w:sz w:val="28"/>
          <w:szCs w:val="28"/>
        </w:rPr>
        <w:t>二、保密义务</w:t>
      </w:r>
    </w:p>
    <w:p w14:paraId="74D4374E">
      <w:pPr>
        <w:spacing w:line="540" w:lineRule="exact"/>
        <w:ind w:firstLine="560" w:firstLineChars="200"/>
        <w:rPr>
          <w:rFonts w:ascii="宋体" w:hAnsi="宋体"/>
          <w:sz w:val="28"/>
          <w:szCs w:val="28"/>
        </w:rPr>
      </w:pPr>
      <w:r>
        <w:rPr>
          <w:rFonts w:hint="eastAsia" w:ascii="宋体" w:hAnsi="宋体"/>
          <w:sz w:val="28"/>
          <w:szCs w:val="28"/>
        </w:rPr>
        <w:t>1、乙方对于上述保密范围内的信息承担保密义务，乙方应该妥善保管，并且只能用于甲方的工作项目和任务中。</w:t>
      </w:r>
    </w:p>
    <w:p w14:paraId="083C69F6">
      <w:pPr>
        <w:spacing w:line="540" w:lineRule="exact"/>
        <w:ind w:firstLine="560" w:firstLineChars="200"/>
        <w:rPr>
          <w:rFonts w:ascii="宋体" w:hAnsi="宋体"/>
          <w:sz w:val="28"/>
          <w:szCs w:val="28"/>
        </w:rPr>
      </w:pPr>
      <w:r>
        <w:rPr>
          <w:rFonts w:hint="eastAsia" w:ascii="宋体" w:hAnsi="宋体"/>
          <w:sz w:val="28"/>
          <w:szCs w:val="28"/>
        </w:rPr>
        <w:t>2、在未取得甲方书面同意的情况下，乙方不得公开、复印、复制或以任何其它方式让任何第三方（包括但不限于乙方未从事此项目的乙方职员、乙方的上下级公司、其他自然人、公司、企业或单位实体）获知上述保密信息，或公开、披露保密信息，并且不得赠予或者转让上述保密信息。</w:t>
      </w:r>
    </w:p>
    <w:p w14:paraId="5D42B0C7">
      <w:pPr>
        <w:spacing w:line="540" w:lineRule="exact"/>
        <w:ind w:firstLine="560" w:firstLineChars="200"/>
        <w:rPr>
          <w:rFonts w:ascii="宋体" w:hAnsi="宋体"/>
          <w:sz w:val="28"/>
          <w:szCs w:val="28"/>
        </w:rPr>
      </w:pPr>
      <w:r>
        <w:rPr>
          <w:rFonts w:hint="eastAsia" w:ascii="宋体" w:hAnsi="宋体"/>
          <w:sz w:val="28"/>
          <w:szCs w:val="28"/>
        </w:rPr>
        <w:t>3、如甲方发现乙方利用上述保密信息违反以下原则，有权立即终止与乙方的合作，乙方须承担由此造成的一切后果：</w:t>
      </w:r>
    </w:p>
    <w:p w14:paraId="06E660C0">
      <w:pPr>
        <w:spacing w:line="540" w:lineRule="exact"/>
        <w:ind w:firstLine="560" w:firstLineChars="200"/>
        <w:rPr>
          <w:rFonts w:ascii="宋体" w:hAnsi="宋体"/>
          <w:sz w:val="28"/>
          <w:szCs w:val="28"/>
        </w:rPr>
      </w:pPr>
      <w:r>
        <w:rPr>
          <w:rFonts w:hint="eastAsia" w:ascii="宋体" w:hAnsi="宋体"/>
          <w:sz w:val="28"/>
          <w:szCs w:val="28"/>
        </w:rPr>
        <w:t>反对宪法所确定的基本原则；危害中华人民共和国国家安全，泄露国家秘密，颠覆国家政权，破坏国家统一；煽动民族仇恨、民族歧视，破坏民族团结；含有法律、行政法规禁止的其他内容等。</w:t>
      </w:r>
    </w:p>
    <w:p w14:paraId="025306C5">
      <w:pPr>
        <w:spacing w:line="540" w:lineRule="exact"/>
        <w:ind w:firstLine="560" w:firstLineChars="200"/>
        <w:rPr>
          <w:rFonts w:ascii="宋体" w:hAnsi="宋体"/>
          <w:sz w:val="28"/>
          <w:szCs w:val="28"/>
        </w:rPr>
      </w:pPr>
      <w:r>
        <w:rPr>
          <w:rFonts w:hint="eastAsia" w:ascii="宋体" w:hAnsi="宋体"/>
          <w:sz w:val="28"/>
          <w:szCs w:val="28"/>
        </w:rPr>
        <w:t>4、如果由于任何原因甲方和乙方终止合作，甲方可以随时要求乙方退还其所获得的甲方资料和数据，或者销毁其自有的备份和从相关的储存装置中删除所有的保密信息，且不得继续持有和使用此类保密信息。乙方须无条件按甲方要求执行，同时乙方并不因为退还资料而终止其保密责任。</w:t>
      </w:r>
    </w:p>
    <w:p w14:paraId="6B1436F1">
      <w:pPr>
        <w:spacing w:line="540" w:lineRule="exact"/>
        <w:ind w:firstLine="560" w:firstLineChars="200"/>
        <w:rPr>
          <w:rFonts w:ascii="宋体" w:hAnsi="宋体"/>
          <w:sz w:val="28"/>
          <w:szCs w:val="28"/>
        </w:rPr>
      </w:pPr>
      <w:r>
        <w:rPr>
          <w:rFonts w:hint="eastAsia" w:ascii="宋体" w:hAnsi="宋体"/>
          <w:sz w:val="28"/>
          <w:szCs w:val="28"/>
        </w:rPr>
        <w:t>5、乙方承诺：只有从事此项目的乙方职员才能接触上述保密信息，乙方将指示和设法保证其所有相关职员遵守本协议。如乙方任何职员违反了本协议，均属乙方违反本协议。乙方保证其职员以书面形式同意接受本协议条款的约束，确保其职员承担保密责任的程度不低于本协议规定的程度。</w:t>
      </w:r>
    </w:p>
    <w:p w14:paraId="4CEE31CC">
      <w:pPr>
        <w:spacing w:line="540" w:lineRule="exact"/>
        <w:ind w:firstLine="560" w:firstLineChars="200"/>
        <w:rPr>
          <w:rFonts w:ascii="宋体" w:hAnsi="宋体"/>
          <w:sz w:val="28"/>
          <w:szCs w:val="28"/>
        </w:rPr>
      </w:pPr>
      <w:r>
        <w:rPr>
          <w:rFonts w:hint="eastAsia" w:ascii="宋体" w:hAnsi="宋体"/>
          <w:sz w:val="28"/>
          <w:szCs w:val="28"/>
        </w:rPr>
        <w:t>6、本协议对乙方能接触到甲方全部或部分保密信息的乙方员工或代理人或其安排的其他人员都具同等约束力。乙方代理人、由乙方或乙方职员或乙方代理人安排的任何其他人员泄露了甲方的保密信息，均属乙方泄露甲方保密信息，乙方应对此承担违约责任。</w:t>
      </w:r>
    </w:p>
    <w:p w14:paraId="31DBC2BA">
      <w:pPr>
        <w:spacing w:line="540" w:lineRule="exact"/>
        <w:ind w:firstLine="560" w:firstLineChars="200"/>
        <w:rPr>
          <w:rFonts w:ascii="宋体" w:hAnsi="宋体"/>
          <w:sz w:val="28"/>
          <w:szCs w:val="28"/>
        </w:rPr>
      </w:pPr>
      <w:r>
        <w:rPr>
          <w:rFonts w:hint="eastAsia" w:ascii="宋体" w:hAnsi="宋体"/>
          <w:sz w:val="28"/>
          <w:szCs w:val="28"/>
        </w:rPr>
        <w:t>7、本协议对乙方及其受让人均有约束力，乙方受让人承担乙方全部责任。乙方曾知悉甲方保密信息人员的任何职位变动，不影响乙方保密义务的承担。</w:t>
      </w:r>
    </w:p>
    <w:p w14:paraId="01CA0DBE">
      <w:pPr>
        <w:spacing w:line="540" w:lineRule="exact"/>
        <w:ind w:firstLine="560" w:firstLineChars="200"/>
        <w:rPr>
          <w:rFonts w:ascii="宋体" w:hAnsi="宋体"/>
          <w:sz w:val="28"/>
          <w:szCs w:val="28"/>
        </w:rPr>
      </w:pPr>
      <w:r>
        <w:rPr>
          <w:rFonts w:hint="eastAsia" w:ascii="宋体" w:hAnsi="宋体"/>
          <w:sz w:val="28"/>
          <w:szCs w:val="28"/>
        </w:rPr>
        <w:t>8、当乙方不慎泄露甲方的保密信息后，应立即采取措施确保影响不再扩大，并第一时间通知甲方做好相应处理，共同努力将保密资料泄露的危害降至最低。</w:t>
      </w:r>
    </w:p>
    <w:p w14:paraId="73050254">
      <w:pPr>
        <w:spacing w:line="540" w:lineRule="exact"/>
        <w:ind w:firstLine="560" w:firstLineChars="200"/>
        <w:rPr>
          <w:rFonts w:ascii="宋体" w:hAnsi="宋体"/>
          <w:color w:val="FF0000"/>
          <w:sz w:val="28"/>
          <w:szCs w:val="28"/>
        </w:rPr>
      </w:pPr>
      <w:r>
        <w:rPr>
          <w:rFonts w:hint="eastAsia" w:ascii="宋体" w:hAnsi="宋体"/>
          <w:sz w:val="28"/>
          <w:szCs w:val="28"/>
        </w:rPr>
        <w:t>9、如乙方应国内外政务及司法机关的要求必须提供保密信息时，应立即通知甲方，使甲方得以寻求适当措施得以保护保密信息。</w:t>
      </w:r>
    </w:p>
    <w:p w14:paraId="1C4EF358">
      <w:pPr>
        <w:spacing w:line="540" w:lineRule="exact"/>
        <w:ind w:firstLine="562" w:firstLineChars="200"/>
        <w:rPr>
          <w:rFonts w:ascii="宋体" w:hAnsi="宋体"/>
          <w:b/>
          <w:bCs/>
          <w:sz w:val="28"/>
          <w:szCs w:val="28"/>
        </w:rPr>
      </w:pPr>
      <w:r>
        <w:rPr>
          <w:rFonts w:hint="eastAsia" w:ascii="宋体" w:hAnsi="宋体"/>
          <w:b/>
          <w:bCs/>
          <w:sz w:val="28"/>
          <w:szCs w:val="28"/>
        </w:rPr>
        <w:t>三、保密责任的期限</w:t>
      </w:r>
    </w:p>
    <w:p w14:paraId="332F0FFC">
      <w:pPr>
        <w:spacing w:line="540" w:lineRule="exact"/>
        <w:ind w:firstLine="560" w:firstLineChars="200"/>
        <w:rPr>
          <w:rFonts w:ascii="宋体" w:hAnsi="宋体"/>
          <w:sz w:val="28"/>
          <w:szCs w:val="28"/>
        </w:rPr>
      </w:pPr>
      <w:r>
        <w:rPr>
          <w:rFonts w:hint="eastAsia" w:ascii="宋体" w:hAnsi="宋体"/>
          <w:sz w:val="28"/>
          <w:szCs w:val="28"/>
        </w:rPr>
        <w:t>1、本协议的保密期限为长期永久，即乙方对甲方保密信息负有保密义务的期限，为双方谈判期间、合同履行期间以及直至甲方将保密信息公开时止。</w:t>
      </w:r>
    </w:p>
    <w:p w14:paraId="5315AFCA">
      <w:pPr>
        <w:spacing w:line="540" w:lineRule="exact"/>
        <w:ind w:firstLine="560" w:firstLineChars="200"/>
        <w:rPr>
          <w:rFonts w:ascii="宋体" w:hAnsi="宋体"/>
          <w:sz w:val="28"/>
          <w:szCs w:val="28"/>
        </w:rPr>
      </w:pPr>
      <w:r>
        <w:rPr>
          <w:rFonts w:hint="eastAsia" w:ascii="宋体" w:hAnsi="宋体"/>
          <w:sz w:val="28"/>
          <w:szCs w:val="28"/>
        </w:rPr>
        <w:t>2、本协议所述的保密责任并不因本协议的无效、终止、解除而终止。</w:t>
      </w:r>
    </w:p>
    <w:p w14:paraId="51DB5544">
      <w:pPr>
        <w:spacing w:line="540" w:lineRule="exact"/>
        <w:ind w:firstLine="562" w:firstLineChars="200"/>
        <w:rPr>
          <w:rFonts w:ascii="宋体" w:hAnsi="宋体"/>
          <w:b/>
          <w:bCs/>
          <w:sz w:val="28"/>
          <w:szCs w:val="28"/>
        </w:rPr>
      </w:pPr>
      <w:r>
        <w:rPr>
          <w:rFonts w:hint="eastAsia" w:ascii="宋体" w:hAnsi="宋体"/>
          <w:b/>
          <w:bCs/>
          <w:sz w:val="28"/>
          <w:szCs w:val="28"/>
        </w:rPr>
        <w:t>四、违约责任</w:t>
      </w:r>
    </w:p>
    <w:p w14:paraId="1E7F0058">
      <w:pPr>
        <w:spacing w:line="540" w:lineRule="exact"/>
        <w:ind w:firstLine="560" w:firstLineChars="200"/>
        <w:rPr>
          <w:rFonts w:ascii="宋体" w:hAnsi="宋体"/>
          <w:sz w:val="28"/>
          <w:szCs w:val="28"/>
        </w:rPr>
      </w:pPr>
      <w:r>
        <w:rPr>
          <w:rFonts w:hint="eastAsia" w:ascii="宋体" w:hAnsi="宋体"/>
          <w:sz w:val="28"/>
          <w:szCs w:val="28"/>
        </w:rPr>
        <w:t>1、若乙方或其受让人违反本协议约定而使自身获利的或者给甲方造成损失的，乙方或其受让人须承担相关法律责任及赔偿责任。赔偿数额应按照乙方或其受让人获取的利益或者甲方遭受到的损失计算（两者以较高者为准），甲方遭受的损失包括但不限于直接的经济损失、名誉损失、合理利润损失等间接损失。</w:t>
      </w:r>
    </w:p>
    <w:p w14:paraId="449A35F4">
      <w:pPr>
        <w:spacing w:line="540" w:lineRule="exact"/>
        <w:ind w:firstLine="560" w:firstLineChars="200"/>
        <w:rPr>
          <w:rFonts w:ascii="宋体" w:hAnsi="宋体"/>
          <w:sz w:val="28"/>
          <w:szCs w:val="28"/>
        </w:rPr>
      </w:pPr>
      <w:r>
        <w:rPr>
          <w:rFonts w:hint="eastAsia" w:ascii="宋体" w:hAnsi="宋体"/>
          <w:sz w:val="28"/>
          <w:szCs w:val="28"/>
        </w:rPr>
        <w:t>2、若乙方及其职员、代理人、由乙方或其职员或其代理人安排的任何其他人员违反本协议，甲方除追究乙方责任外，还可直接追究乙方职员或代理人的责任。</w:t>
      </w:r>
    </w:p>
    <w:p w14:paraId="230611D3">
      <w:pPr>
        <w:spacing w:line="540" w:lineRule="exact"/>
        <w:ind w:firstLine="560" w:firstLineChars="200"/>
        <w:rPr>
          <w:rFonts w:ascii="宋体" w:hAnsi="宋体"/>
          <w:sz w:val="28"/>
          <w:szCs w:val="28"/>
        </w:rPr>
      </w:pPr>
      <w:r>
        <w:rPr>
          <w:rFonts w:hint="eastAsia" w:ascii="宋体" w:hAnsi="宋体"/>
          <w:sz w:val="28"/>
          <w:szCs w:val="28"/>
        </w:rPr>
        <w:t>3、乙方若造成甲方重大医药资源流失和国家科学技术秘密泄露，情节严重，构成犯罪的，依法追究乙方刑事责任。</w:t>
      </w:r>
      <w:r>
        <w:rPr>
          <w:rFonts w:hint="eastAsia" w:ascii="宋体" w:hAnsi="宋体"/>
          <w:sz w:val="28"/>
          <w:szCs w:val="28"/>
        </w:rPr>
        <w:br w:type="textWrapping"/>
      </w:r>
      <w:r>
        <w:rPr>
          <w:rFonts w:hint="eastAsia" w:ascii="宋体" w:hAnsi="宋体"/>
          <w:sz w:val="28"/>
          <w:szCs w:val="28"/>
        </w:rPr>
        <w:t>　　4、乙方违反本协议约定的，甲方有权单方解除与乙方签订的全部相关合同，乙方除返还甲方已支付的全部款项外，还应向甲方支付与乙方签订的全部合同总金额的10%的违约金。</w:t>
      </w:r>
    </w:p>
    <w:p w14:paraId="6BDB8693">
      <w:pPr>
        <w:spacing w:line="540" w:lineRule="exact"/>
        <w:ind w:firstLine="562" w:firstLineChars="200"/>
        <w:rPr>
          <w:rFonts w:ascii="宋体" w:hAnsi="宋体"/>
          <w:b/>
          <w:bCs/>
          <w:sz w:val="28"/>
          <w:szCs w:val="28"/>
        </w:rPr>
      </w:pPr>
      <w:r>
        <w:rPr>
          <w:rFonts w:hint="eastAsia" w:ascii="宋体" w:hAnsi="宋体"/>
          <w:b/>
          <w:bCs/>
          <w:sz w:val="28"/>
          <w:szCs w:val="28"/>
        </w:rPr>
        <w:t>五、本协议的补充</w:t>
      </w:r>
    </w:p>
    <w:p w14:paraId="0A458FB2">
      <w:pPr>
        <w:spacing w:line="540" w:lineRule="exact"/>
        <w:ind w:firstLine="560" w:firstLineChars="200"/>
        <w:rPr>
          <w:rFonts w:ascii="宋体" w:hAnsi="宋体"/>
          <w:sz w:val="28"/>
          <w:szCs w:val="28"/>
        </w:rPr>
      </w:pPr>
      <w:r>
        <w:rPr>
          <w:rFonts w:hint="eastAsia" w:ascii="宋体" w:hAnsi="宋体"/>
          <w:sz w:val="28"/>
          <w:szCs w:val="28"/>
        </w:rPr>
        <w:t>双方可以就本协议的有关约定事项进行修改或补充，可以对保密内容进行具体的约定。</w:t>
      </w:r>
    </w:p>
    <w:p w14:paraId="249C7AED">
      <w:pPr>
        <w:spacing w:line="540" w:lineRule="exact"/>
        <w:ind w:firstLine="562" w:firstLineChars="200"/>
        <w:rPr>
          <w:rFonts w:ascii="宋体" w:hAnsi="宋体"/>
          <w:b/>
          <w:bCs/>
          <w:sz w:val="28"/>
          <w:szCs w:val="28"/>
        </w:rPr>
      </w:pPr>
      <w:r>
        <w:rPr>
          <w:rFonts w:hint="eastAsia" w:ascii="宋体" w:hAnsi="宋体"/>
          <w:b/>
          <w:bCs/>
          <w:sz w:val="28"/>
          <w:szCs w:val="28"/>
        </w:rPr>
        <w:t>六、争议的解决</w:t>
      </w:r>
    </w:p>
    <w:p w14:paraId="3876975B">
      <w:pPr>
        <w:spacing w:line="540" w:lineRule="exact"/>
        <w:ind w:firstLine="560" w:firstLineChars="200"/>
        <w:rPr>
          <w:rFonts w:ascii="宋体" w:hAnsi="宋体"/>
          <w:sz w:val="28"/>
          <w:szCs w:val="28"/>
        </w:rPr>
      </w:pPr>
      <w:r>
        <w:rPr>
          <w:rFonts w:hint="eastAsia" w:ascii="宋体" w:hAnsi="宋体"/>
          <w:sz w:val="28"/>
          <w:szCs w:val="28"/>
        </w:rPr>
        <w:t>本协议受中华人民共和国法律管辖并按中华人民共和国法律解释。凡因本协议引起的或与本协议有关的任何争议，各方应友好协商解决；如协商不成，任何一方均有权向甲方所在地有管辖权的地人民法院提起诉讼。</w:t>
      </w:r>
    </w:p>
    <w:p w14:paraId="4A4723AB">
      <w:pPr>
        <w:spacing w:line="540" w:lineRule="exact"/>
        <w:ind w:firstLine="562" w:firstLineChars="200"/>
        <w:rPr>
          <w:rFonts w:ascii="宋体" w:hAnsi="宋体"/>
          <w:b/>
          <w:bCs/>
          <w:sz w:val="28"/>
          <w:szCs w:val="28"/>
        </w:rPr>
      </w:pPr>
      <w:r>
        <w:rPr>
          <w:rFonts w:hint="eastAsia" w:ascii="宋体" w:hAnsi="宋体"/>
          <w:b/>
          <w:bCs/>
          <w:sz w:val="28"/>
          <w:szCs w:val="28"/>
        </w:rPr>
        <w:t>七、其他</w:t>
      </w:r>
    </w:p>
    <w:p w14:paraId="791AC5E9">
      <w:pPr>
        <w:spacing w:line="540" w:lineRule="exact"/>
        <w:ind w:firstLine="560" w:firstLineChars="200"/>
        <w:rPr>
          <w:rFonts w:ascii="宋体" w:hAnsi="宋体"/>
          <w:sz w:val="28"/>
          <w:szCs w:val="28"/>
        </w:rPr>
      </w:pPr>
      <w:r>
        <w:rPr>
          <w:rFonts w:hint="eastAsia" w:ascii="宋体" w:hAnsi="宋体"/>
          <w:sz w:val="28"/>
          <w:szCs w:val="28"/>
        </w:rPr>
        <w:t>1、本协议作为与乙方签订的全部相关合同的附件，一式二份，甲、乙双方各执一份，具有同等法律效力。</w:t>
      </w:r>
    </w:p>
    <w:p w14:paraId="32A6394A">
      <w:pPr>
        <w:spacing w:line="540" w:lineRule="exact"/>
        <w:ind w:firstLine="560" w:firstLineChars="200"/>
        <w:rPr>
          <w:rFonts w:ascii="宋体" w:hAnsi="宋体"/>
          <w:sz w:val="28"/>
          <w:szCs w:val="28"/>
        </w:rPr>
      </w:pPr>
      <w:r>
        <w:rPr>
          <w:rFonts w:hint="eastAsia" w:ascii="宋体" w:hAnsi="宋体"/>
          <w:sz w:val="28"/>
          <w:szCs w:val="28"/>
        </w:rPr>
        <w:t>2、本协议自协议双方签章之日起生效。</w:t>
      </w:r>
    </w:p>
    <w:p w14:paraId="1B0C2E7D">
      <w:pPr>
        <w:spacing w:line="540" w:lineRule="exact"/>
        <w:ind w:firstLine="560" w:firstLineChars="200"/>
        <w:rPr>
          <w:rFonts w:ascii="宋体" w:hAnsi="宋体"/>
          <w:sz w:val="28"/>
          <w:szCs w:val="28"/>
        </w:rPr>
      </w:pPr>
      <w:r>
        <w:rPr>
          <w:rFonts w:hint="eastAsia" w:ascii="宋体" w:hAnsi="宋体"/>
          <w:sz w:val="28"/>
          <w:szCs w:val="28"/>
        </w:rPr>
        <w:t>以下无正文</w:t>
      </w:r>
    </w:p>
    <w:p w14:paraId="2039B27A">
      <w:pPr>
        <w:spacing w:line="540" w:lineRule="exact"/>
        <w:ind w:firstLine="560" w:firstLineChars="200"/>
        <w:rPr>
          <w:rFonts w:ascii="宋体" w:hAnsi="宋体"/>
          <w:sz w:val="28"/>
          <w:szCs w:val="28"/>
        </w:rPr>
      </w:pPr>
    </w:p>
    <w:p w14:paraId="310EDF46">
      <w:pPr>
        <w:spacing w:line="540" w:lineRule="exact"/>
        <w:ind w:firstLine="560" w:firstLineChars="200"/>
        <w:rPr>
          <w:rFonts w:ascii="宋体" w:hAnsi="宋体"/>
          <w:sz w:val="28"/>
          <w:szCs w:val="28"/>
        </w:rPr>
      </w:pPr>
    </w:p>
    <w:p w14:paraId="1E0F6D40">
      <w:pPr>
        <w:spacing w:line="540" w:lineRule="exact"/>
        <w:ind w:firstLine="570"/>
        <w:rPr>
          <w:rFonts w:ascii="宋体" w:hAnsi="宋体"/>
          <w:sz w:val="28"/>
          <w:szCs w:val="28"/>
        </w:rPr>
      </w:pPr>
      <w:r>
        <w:rPr>
          <w:rFonts w:hint="eastAsia" w:ascii="宋体" w:hAnsi="宋体"/>
          <w:b/>
          <w:sz w:val="28"/>
          <w:szCs w:val="28"/>
        </w:rPr>
        <w:t>甲方</w:t>
      </w:r>
      <w:r>
        <w:rPr>
          <w:rFonts w:hint="eastAsia" w:ascii="宋体" w:hAnsi="宋体"/>
          <w:sz w:val="28"/>
          <w:szCs w:val="28"/>
        </w:rPr>
        <w:t xml:space="preserve">（单位盖章）：                   </w:t>
      </w:r>
      <w:r>
        <w:rPr>
          <w:rFonts w:hint="eastAsia" w:ascii="宋体" w:hAnsi="宋体"/>
          <w:b/>
          <w:sz w:val="28"/>
          <w:szCs w:val="28"/>
        </w:rPr>
        <w:t>乙方</w:t>
      </w:r>
      <w:r>
        <w:rPr>
          <w:rFonts w:hint="eastAsia" w:ascii="宋体" w:hAnsi="宋体"/>
          <w:sz w:val="28"/>
          <w:szCs w:val="28"/>
        </w:rPr>
        <w:t>（单位盖章）：</w:t>
      </w:r>
    </w:p>
    <w:p w14:paraId="40296496">
      <w:pPr>
        <w:spacing w:line="540" w:lineRule="exact"/>
        <w:ind w:firstLine="570"/>
        <w:rPr>
          <w:rFonts w:ascii="宋体" w:hAnsi="宋体"/>
          <w:sz w:val="28"/>
          <w:szCs w:val="28"/>
        </w:rPr>
      </w:pPr>
      <w:r>
        <w:rPr>
          <w:rFonts w:hint="eastAsia" w:ascii="宋体" w:hAnsi="宋体"/>
          <w:b/>
          <w:sz w:val="28"/>
          <w:szCs w:val="28"/>
        </w:rPr>
        <w:t>法人代表</w:t>
      </w:r>
      <w:r>
        <w:rPr>
          <w:rFonts w:hint="eastAsia" w:ascii="宋体" w:hAnsi="宋体"/>
          <w:sz w:val="28"/>
          <w:szCs w:val="28"/>
        </w:rPr>
        <w:t xml:space="preserve">（签字）：                  </w:t>
      </w:r>
      <w:r>
        <w:rPr>
          <w:rFonts w:hint="eastAsia" w:ascii="宋体" w:hAnsi="宋体"/>
          <w:b/>
          <w:sz w:val="28"/>
          <w:szCs w:val="28"/>
        </w:rPr>
        <w:t xml:space="preserve"> 法人代表</w:t>
      </w:r>
      <w:r>
        <w:rPr>
          <w:rFonts w:hint="eastAsia" w:ascii="宋体" w:hAnsi="宋体"/>
          <w:sz w:val="28"/>
          <w:szCs w:val="28"/>
        </w:rPr>
        <w:t>（签字）：</w:t>
      </w:r>
    </w:p>
    <w:p w14:paraId="71FE702A">
      <w:pPr>
        <w:spacing w:line="540" w:lineRule="exact"/>
        <w:ind w:firstLine="570"/>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7CEADDE">
      <w:pPr>
        <w:spacing w:line="540" w:lineRule="exact"/>
        <w:ind w:firstLine="562" w:firstLineChars="200"/>
        <w:rPr>
          <w:rFonts w:ascii="宋体" w:hAnsi="宋体"/>
          <w:b/>
          <w:bCs/>
          <w:sz w:val="28"/>
          <w:szCs w:val="28"/>
        </w:rPr>
      </w:pPr>
    </w:p>
    <w:p w14:paraId="308F0B7E">
      <w:pPr>
        <w:spacing w:line="540" w:lineRule="exact"/>
        <w:ind w:firstLine="562" w:firstLineChars="200"/>
        <w:rPr>
          <w:rFonts w:ascii="宋体" w:hAnsi="宋体"/>
          <w:b/>
          <w:bCs/>
          <w:sz w:val="28"/>
          <w:szCs w:val="28"/>
        </w:rPr>
      </w:pPr>
    </w:p>
    <w:p w14:paraId="04609B00">
      <w:pPr>
        <w:spacing w:line="540" w:lineRule="exact"/>
        <w:ind w:firstLine="562" w:firstLineChars="200"/>
        <w:rPr>
          <w:rFonts w:ascii="宋体" w:hAnsi="宋体"/>
          <w:b/>
          <w:bCs/>
          <w:sz w:val="28"/>
          <w:szCs w:val="28"/>
        </w:rPr>
      </w:pPr>
    </w:p>
    <w:p w14:paraId="140D7B79">
      <w:pPr>
        <w:spacing w:line="540" w:lineRule="exact"/>
      </w:pPr>
    </w:p>
    <w:p w14:paraId="59F47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before="60" w:line="560" w:lineRule="exact"/>
        <w:ind w:firstLine="540" w:firstLineChars="200"/>
        <w:jc w:val="center"/>
        <w:rPr>
          <w:rFonts w:ascii="方正小标宋简体" w:hAnsi="宋体" w:eastAsia="方正小标宋简体"/>
          <w:color w:val="000000"/>
          <w:spacing w:val="-5"/>
          <w:kern w:val="0"/>
          <w:sz w:val="28"/>
          <w:szCs w:val="28"/>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72EC">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444526F">
                <w:pPr>
                  <w:pStyle w:val="1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3F9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34047">
    <w:pPr>
      <w:pStyle w:val="14"/>
      <w:jc w:val="center"/>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82B4019">
                <w:pPr>
                  <w:pStyle w:val="14"/>
                  <w:jc w:val="cente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9</w:t>
                </w:r>
                <w:r>
                  <w:rPr>
                    <w:rFonts w:ascii="Times New Roman" w:hAnsi="Times New Roman" w:eastAsia="仿宋_GB2312"/>
                    <w:sz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4988">
    <w:pPr>
      <w:pStyle w:val="14"/>
    </w:pPr>
    <w:r>
      <w:rPr>
        <w:sz w:val="18"/>
      </w:rPr>
      <w:pict>
        <v:shape id="_x0000_s4098" o:spid="_x0000_s4098" o:spt="202" type="#_x0000_t202" style="position:absolute;left:0pt;margin-left:181.25pt;margin-top:-12pt;height:18pt;width:62.5pt;mso-position-horizontal-relative:margin;z-index:251661312;mso-width-relative:page;mso-height-relative:page;" filled="f" stroked="f" coordsize="21600,21600">
          <v:path/>
          <v:fill on="f" focussize="0,0"/>
          <v:stroke on="f"/>
          <v:imagedata o:title=""/>
          <o:lock v:ext="edit" aspectratio="f"/>
          <v:textbox inset="0mm,0mm,0mm,0mm">
            <w:txbxContent>
              <w:p w14:paraId="20F11A9C">
                <w:pPr>
                  <w:pStyle w:val="14"/>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837CC"/>
    <w:multiLevelType w:val="singleLevel"/>
    <w:tmpl w:val="907837CC"/>
    <w:lvl w:ilvl="0" w:tentative="0">
      <w:start w:val="1"/>
      <w:numFmt w:val="decimal"/>
      <w:lvlText w:val="%1."/>
      <w:lvlJc w:val="left"/>
      <w:pPr>
        <w:tabs>
          <w:tab w:val="left" w:pos="397"/>
        </w:tabs>
        <w:ind w:left="0" w:firstLine="0"/>
      </w:pPr>
      <w:rPr>
        <w:rFonts w:hint="default"/>
      </w:rPr>
    </w:lvl>
  </w:abstractNum>
  <w:abstractNum w:abstractNumId="1">
    <w:nsid w:val="3F4D9D69"/>
    <w:multiLevelType w:val="singleLevel"/>
    <w:tmpl w:val="3F4D9D69"/>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g0YjRlNWU1MTNmNTNlNDQ0NGVhYTdmNzNlMjllYTEifQ=="/>
  </w:docVars>
  <w:rsids>
    <w:rsidRoot w:val="7DC52EA5"/>
    <w:rsid w:val="0000508C"/>
    <w:rsid w:val="0001182B"/>
    <w:rsid w:val="00014122"/>
    <w:rsid w:val="00043EDC"/>
    <w:rsid w:val="00045C7B"/>
    <w:rsid w:val="00054B27"/>
    <w:rsid w:val="00071A4F"/>
    <w:rsid w:val="00081AE6"/>
    <w:rsid w:val="00082772"/>
    <w:rsid w:val="000A2E09"/>
    <w:rsid w:val="000C5FB1"/>
    <w:rsid w:val="000C6217"/>
    <w:rsid w:val="000C6C70"/>
    <w:rsid w:val="000E30E1"/>
    <w:rsid w:val="001062E2"/>
    <w:rsid w:val="00107A7E"/>
    <w:rsid w:val="00111C68"/>
    <w:rsid w:val="0012320E"/>
    <w:rsid w:val="00125313"/>
    <w:rsid w:val="0014620B"/>
    <w:rsid w:val="00146B80"/>
    <w:rsid w:val="0015387F"/>
    <w:rsid w:val="00164BDA"/>
    <w:rsid w:val="00174EA1"/>
    <w:rsid w:val="001833F7"/>
    <w:rsid w:val="00184C68"/>
    <w:rsid w:val="00187489"/>
    <w:rsid w:val="001B21C5"/>
    <w:rsid w:val="001B60F8"/>
    <w:rsid w:val="001C076D"/>
    <w:rsid w:val="001D4C6A"/>
    <w:rsid w:val="001E16AD"/>
    <w:rsid w:val="001F37DE"/>
    <w:rsid w:val="001F4643"/>
    <w:rsid w:val="00202775"/>
    <w:rsid w:val="00226726"/>
    <w:rsid w:val="00240444"/>
    <w:rsid w:val="00261511"/>
    <w:rsid w:val="0029093F"/>
    <w:rsid w:val="00291795"/>
    <w:rsid w:val="00297180"/>
    <w:rsid w:val="002A3088"/>
    <w:rsid w:val="002A7EFD"/>
    <w:rsid w:val="002B4DB6"/>
    <w:rsid w:val="002C258B"/>
    <w:rsid w:val="002D3B8F"/>
    <w:rsid w:val="002F487E"/>
    <w:rsid w:val="0030745F"/>
    <w:rsid w:val="003210BE"/>
    <w:rsid w:val="00322F04"/>
    <w:rsid w:val="00362F88"/>
    <w:rsid w:val="00381ECF"/>
    <w:rsid w:val="00386FF7"/>
    <w:rsid w:val="00393FB3"/>
    <w:rsid w:val="003975A1"/>
    <w:rsid w:val="003A2758"/>
    <w:rsid w:val="004076FC"/>
    <w:rsid w:val="00415F05"/>
    <w:rsid w:val="00422B7B"/>
    <w:rsid w:val="0043007C"/>
    <w:rsid w:val="00432596"/>
    <w:rsid w:val="00432E9A"/>
    <w:rsid w:val="00435EA6"/>
    <w:rsid w:val="00441693"/>
    <w:rsid w:val="0044211D"/>
    <w:rsid w:val="00442CFB"/>
    <w:rsid w:val="00472F26"/>
    <w:rsid w:val="00473145"/>
    <w:rsid w:val="00484B3D"/>
    <w:rsid w:val="004857B7"/>
    <w:rsid w:val="004951A6"/>
    <w:rsid w:val="004A1324"/>
    <w:rsid w:val="004B5B81"/>
    <w:rsid w:val="004C6BAB"/>
    <w:rsid w:val="004E2EB6"/>
    <w:rsid w:val="004F25A9"/>
    <w:rsid w:val="004F5233"/>
    <w:rsid w:val="0051111A"/>
    <w:rsid w:val="00522D62"/>
    <w:rsid w:val="0053134B"/>
    <w:rsid w:val="005435D4"/>
    <w:rsid w:val="005638E0"/>
    <w:rsid w:val="0057666D"/>
    <w:rsid w:val="005A6ADD"/>
    <w:rsid w:val="005F1C0C"/>
    <w:rsid w:val="00600B42"/>
    <w:rsid w:val="0061446B"/>
    <w:rsid w:val="006172F2"/>
    <w:rsid w:val="00620DB4"/>
    <w:rsid w:val="006251E3"/>
    <w:rsid w:val="00633FC7"/>
    <w:rsid w:val="006356B5"/>
    <w:rsid w:val="00655A94"/>
    <w:rsid w:val="00674576"/>
    <w:rsid w:val="006818C8"/>
    <w:rsid w:val="0068704D"/>
    <w:rsid w:val="006930AF"/>
    <w:rsid w:val="00693A10"/>
    <w:rsid w:val="006978BC"/>
    <w:rsid w:val="006A23BB"/>
    <w:rsid w:val="006B0D15"/>
    <w:rsid w:val="006D3BD1"/>
    <w:rsid w:val="006E6E7D"/>
    <w:rsid w:val="006F25F7"/>
    <w:rsid w:val="00711A98"/>
    <w:rsid w:val="00715362"/>
    <w:rsid w:val="00730CB5"/>
    <w:rsid w:val="00760394"/>
    <w:rsid w:val="00763219"/>
    <w:rsid w:val="00784913"/>
    <w:rsid w:val="00786A28"/>
    <w:rsid w:val="00794BDC"/>
    <w:rsid w:val="00795C07"/>
    <w:rsid w:val="007A163C"/>
    <w:rsid w:val="007A5AE3"/>
    <w:rsid w:val="007B0362"/>
    <w:rsid w:val="007B5C09"/>
    <w:rsid w:val="007C65D1"/>
    <w:rsid w:val="007E01DF"/>
    <w:rsid w:val="007E0476"/>
    <w:rsid w:val="007E2623"/>
    <w:rsid w:val="007E507F"/>
    <w:rsid w:val="008068E5"/>
    <w:rsid w:val="00850557"/>
    <w:rsid w:val="00864780"/>
    <w:rsid w:val="00865D1D"/>
    <w:rsid w:val="00882A1B"/>
    <w:rsid w:val="008C1C7E"/>
    <w:rsid w:val="008D2E66"/>
    <w:rsid w:val="008E032E"/>
    <w:rsid w:val="008E0E6C"/>
    <w:rsid w:val="008E5264"/>
    <w:rsid w:val="008E7FCE"/>
    <w:rsid w:val="008F2652"/>
    <w:rsid w:val="008F6B5F"/>
    <w:rsid w:val="00904C72"/>
    <w:rsid w:val="00920ABE"/>
    <w:rsid w:val="00921224"/>
    <w:rsid w:val="00926C26"/>
    <w:rsid w:val="00956B38"/>
    <w:rsid w:val="00966A5D"/>
    <w:rsid w:val="00977A56"/>
    <w:rsid w:val="0098529B"/>
    <w:rsid w:val="00990679"/>
    <w:rsid w:val="00990B9C"/>
    <w:rsid w:val="009C563C"/>
    <w:rsid w:val="009E2EB2"/>
    <w:rsid w:val="00A128E1"/>
    <w:rsid w:val="00A27176"/>
    <w:rsid w:val="00A31684"/>
    <w:rsid w:val="00A525B8"/>
    <w:rsid w:val="00AB3939"/>
    <w:rsid w:val="00AB3997"/>
    <w:rsid w:val="00AB3CF9"/>
    <w:rsid w:val="00AC6369"/>
    <w:rsid w:val="00AC6406"/>
    <w:rsid w:val="00AC6B4E"/>
    <w:rsid w:val="00AF024F"/>
    <w:rsid w:val="00B03B65"/>
    <w:rsid w:val="00B10502"/>
    <w:rsid w:val="00B2573F"/>
    <w:rsid w:val="00B3440F"/>
    <w:rsid w:val="00B36373"/>
    <w:rsid w:val="00B442C9"/>
    <w:rsid w:val="00B6066D"/>
    <w:rsid w:val="00B65A4F"/>
    <w:rsid w:val="00B75D70"/>
    <w:rsid w:val="00B82B0F"/>
    <w:rsid w:val="00BA6B53"/>
    <w:rsid w:val="00BA7184"/>
    <w:rsid w:val="00BC1D75"/>
    <w:rsid w:val="00BD64FC"/>
    <w:rsid w:val="00BE72A1"/>
    <w:rsid w:val="00BF367B"/>
    <w:rsid w:val="00C06477"/>
    <w:rsid w:val="00C06A1E"/>
    <w:rsid w:val="00C20F98"/>
    <w:rsid w:val="00C21B93"/>
    <w:rsid w:val="00C24472"/>
    <w:rsid w:val="00C27931"/>
    <w:rsid w:val="00C307AE"/>
    <w:rsid w:val="00C55902"/>
    <w:rsid w:val="00C571A7"/>
    <w:rsid w:val="00C62041"/>
    <w:rsid w:val="00C87E5D"/>
    <w:rsid w:val="00C93C68"/>
    <w:rsid w:val="00C941BC"/>
    <w:rsid w:val="00C943E5"/>
    <w:rsid w:val="00CA299B"/>
    <w:rsid w:val="00CC11B0"/>
    <w:rsid w:val="00CC1F4A"/>
    <w:rsid w:val="00CC60EA"/>
    <w:rsid w:val="00CD0B82"/>
    <w:rsid w:val="00CD33F9"/>
    <w:rsid w:val="00D0011A"/>
    <w:rsid w:val="00D0305B"/>
    <w:rsid w:val="00D04FFA"/>
    <w:rsid w:val="00D07BEC"/>
    <w:rsid w:val="00D16F98"/>
    <w:rsid w:val="00D30840"/>
    <w:rsid w:val="00D3288F"/>
    <w:rsid w:val="00D42FF9"/>
    <w:rsid w:val="00D50A59"/>
    <w:rsid w:val="00D566D7"/>
    <w:rsid w:val="00D57EB3"/>
    <w:rsid w:val="00D60039"/>
    <w:rsid w:val="00D62EA4"/>
    <w:rsid w:val="00D709EE"/>
    <w:rsid w:val="00D73CF6"/>
    <w:rsid w:val="00DB290D"/>
    <w:rsid w:val="00DB6DF2"/>
    <w:rsid w:val="00DD5202"/>
    <w:rsid w:val="00DD6948"/>
    <w:rsid w:val="00DE0EFF"/>
    <w:rsid w:val="00E03DBB"/>
    <w:rsid w:val="00E04D6D"/>
    <w:rsid w:val="00E05796"/>
    <w:rsid w:val="00E20177"/>
    <w:rsid w:val="00E35AA4"/>
    <w:rsid w:val="00E37ECF"/>
    <w:rsid w:val="00E51ED7"/>
    <w:rsid w:val="00E91AD9"/>
    <w:rsid w:val="00E9366A"/>
    <w:rsid w:val="00E978CC"/>
    <w:rsid w:val="00EA014B"/>
    <w:rsid w:val="00F2244A"/>
    <w:rsid w:val="00F22A1E"/>
    <w:rsid w:val="00F26369"/>
    <w:rsid w:val="00F328CD"/>
    <w:rsid w:val="00F435E1"/>
    <w:rsid w:val="00F4610D"/>
    <w:rsid w:val="00F71BF6"/>
    <w:rsid w:val="00F82AAF"/>
    <w:rsid w:val="00F9168F"/>
    <w:rsid w:val="00FA067F"/>
    <w:rsid w:val="00FA460F"/>
    <w:rsid w:val="00FC4C02"/>
    <w:rsid w:val="00FC7C32"/>
    <w:rsid w:val="00FD06E9"/>
    <w:rsid w:val="00FD3B7D"/>
    <w:rsid w:val="00FD4BB4"/>
    <w:rsid w:val="00FE5CCE"/>
    <w:rsid w:val="00FF47F4"/>
    <w:rsid w:val="010F2C79"/>
    <w:rsid w:val="014852B3"/>
    <w:rsid w:val="0180460C"/>
    <w:rsid w:val="023B042D"/>
    <w:rsid w:val="029307AF"/>
    <w:rsid w:val="02B04C50"/>
    <w:rsid w:val="02D2724D"/>
    <w:rsid w:val="033B2485"/>
    <w:rsid w:val="03593C27"/>
    <w:rsid w:val="03850F0A"/>
    <w:rsid w:val="041651F4"/>
    <w:rsid w:val="046C6C7F"/>
    <w:rsid w:val="04DD7D0E"/>
    <w:rsid w:val="04EF0EBA"/>
    <w:rsid w:val="050F15EC"/>
    <w:rsid w:val="05146811"/>
    <w:rsid w:val="055A7363"/>
    <w:rsid w:val="05692B22"/>
    <w:rsid w:val="05E07758"/>
    <w:rsid w:val="067F6A05"/>
    <w:rsid w:val="06B036DE"/>
    <w:rsid w:val="077948BA"/>
    <w:rsid w:val="085B1D6F"/>
    <w:rsid w:val="08D710E1"/>
    <w:rsid w:val="0932260E"/>
    <w:rsid w:val="09497E1A"/>
    <w:rsid w:val="09771111"/>
    <w:rsid w:val="09CB082F"/>
    <w:rsid w:val="0A01263D"/>
    <w:rsid w:val="0A48692C"/>
    <w:rsid w:val="0A613847"/>
    <w:rsid w:val="0A667025"/>
    <w:rsid w:val="0A6C2705"/>
    <w:rsid w:val="0B73117E"/>
    <w:rsid w:val="0B7A5D95"/>
    <w:rsid w:val="0C7C6B22"/>
    <w:rsid w:val="0D192328"/>
    <w:rsid w:val="0D742DF1"/>
    <w:rsid w:val="0D811BCF"/>
    <w:rsid w:val="0DB241E0"/>
    <w:rsid w:val="0DEF3C89"/>
    <w:rsid w:val="0E9F5658"/>
    <w:rsid w:val="0EE303C9"/>
    <w:rsid w:val="0F283D96"/>
    <w:rsid w:val="0F8B2784"/>
    <w:rsid w:val="105351A2"/>
    <w:rsid w:val="10577F97"/>
    <w:rsid w:val="1154173C"/>
    <w:rsid w:val="11C25632"/>
    <w:rsid w:val="11D96D94"/>
    <w:rsid w:val="122B3102"/>
    <w:rsid w:val="12F069E9"/>
    <w:rsid w:val="12F11027"/>
    <w:rsid w:val="13754D82"/>
    <w:rsid w:val="13AE1F3B"/>
    <w:rsid w:val="13B73411"/>
    <w:rsid w:val="13CC3E1E"/>
    <w:rsid w:val="13E17686"/>
    <w:rsid w:val="143C28F6"/>
    <w:rsid w:val="14436EA8"/>
    <w:rsid w:val="14591A0E"/>
    <w:rsid w:val="147306A9"/>
    <w:rsid w:val="14860BF1"/>
    <w:rsid w:val="15AA3169"/>
    <w:rsid w:val="15FF306C"/>
    <w:rsid w:val="169F2025"/>
    <w:rsid w:val="1765105F"/>
    <w:rsid w:val="17C70110"/>
    <w:rsid w:val="17EA631D"/>
    <w:rsid w:val="180D7890"/>
    <w:rsid w:val="18D524FF"/>
    <w:rsid w:val="18DA283C"/>
    <w:rsid w:val="19294C0B"/>
    <w:rsid w:val="19A4072D"/>
    <w:rsid w:val="1A2A2FFC"/>
    <w:rsid w:val="1AA03612"/>
    <w:rsid w:val="1AA7482F"/>
    <w:rsid w:val="1AB74248"/>
    <w:rsid w:val="1AEA05DF"/>
    <w:rsid w:val="1B0555B5"/>
    <w:rsid w:val="1B1C538E"/>
    <w:rsid w:val="1BBA70EA"/>
    <w:rsid w:val="1C485D0F"/>
    <w:rsid w:val="1DB80A1F"/>
    <w:rsid w:val="1DCD6828"/>
    <w:rsid w:val="1E962E2C"/>
    <w:rsid w:val="1EA731C1"/>
    <w:rsid w:val="1F364065"/>
    <w:rsid w:val="1FC72E9A"/>
    <w:rsid w:val="200F5F18"/>
    <w:rsid w:val="206718C3"/>
    <w:rsid w:val="208D7F5E"/>
    <w:rsid w:val="210D2CB1"/>
    <w:rsid w:val="215A237F"/>
    <w:rsid w:val="219C4485"/>
    <w:rsid w:val="21B55BF5"/>
    <w:rsid w:val="23832C42"/>
    <w:rsid w:val="238C68D9"/>
    <w:rsid w:val="25227EA9"/>
    <w:rsid w:val="25283D1B"/>
    <w:rsid w:val="25286BFC"/>
    <w:rsid w:val="25700B6C"/>
    <w:rsid w:val="25CD4E9E"/>
    <w:rsid w:val="2610789E"/>
    <w:rsid w:val="265A1BB4"/>
    <w:rsid w:val="26DA3033"/>
    <w:rsid w:val="28AD40F4"/>
    <w:rsid w:val="28ED60D4"/>
    <w:rsid w:val="28F9175A"/>
    <w:rsid w:val="28FC7C1A"/>
    <w:rsid w:val="291A4E2F"/>
    <w:rsid w:val="29606D8E"/>
    <w:rsid w:val="296930F2"/>
    <w:rsid w:val="2A227790"/>
    <w:rsid w:val="2A4C3A21"/>
    <w:rsid w:val="2A580712"/>
    <w:rsid w:val="2B0459C6"/>
    <w:rsid w:val="2B6B072A"/>
    <w:rsid w:val="2C520C10"/>
    <w:rsid w:val="2CA50EF2"/>
    <w:rsid w:val="2CDC2B8B"/>
    <w:rsid w:val="2CE6368C"/>
    <w:rsid w:val="2DDB7DBD"/>
    <w:rsid w:val="2EE930F3"/>
    <w:rsid w:val="2F363FD6"/>
    <w:rsid w:val="2F745341"/>
    <w:rsid w:val="2FE204FD"/>
    <w:rsid w:val="2FED67F0"/>
    <w:rsid w:val="30371842"/>
    <w:rsid w:val="30FD2F75"/>
    <w:rsid w:val="31086BD1"/>
    <w:rsid w:val="315D0ECD"/>
    <w:rsid w:val="321A1044"/>
    <w:rsid w:val="32425B98"/>
    <w:rsid w:val="32FA1C32"/>
    <w:rsid w:val="330427FC"/>
    <w:rsid w:val="332D2A48"/>
    <w:rsid w:val="341C5D39"/>
    <w:rsid w:val="343D58A1"/>
    <w:rsid w:val="3457130E"/>
    <w:rsid w:val="34A46413"/>
    <w:rsid w:val="34D83C7C"/>
    <w:rsid w:val="37137350"/>
    <w:rsid w:val="37756AB3"/>
    <w:rsid w:val="37764CBD"/>
    <w:rsid w:val="378C30BB"/>
    <w:rsid w:val="37E170D4"/>
    <w:rsid w:val="3841400E"/>
    <w:rsid w:val="384B7486"/>
    <w:rsid w:val="389F5BCA"/>
    <w:rsid w:val="39BA1BA2"/>
    <w:rsid w:val="3A0073A2"/>
    <w:rsid w:val="3A3C784F"/>
    <w:rsid w:val="3BB571BF"/>
    <w:rsid w:val="3BC56053"/>
    <w:rsid w:val="3C30228F"/>
    <w:rsid w:val="3C6957BF"/>
    <w:rsid w:val="3CA50EEA"/>
    <w:rsid w:val="3CF47533"/>
    <w:rsid w:val="3D605157"/>
    <w:rsid w:val="3D6E6BA4"/>
    <w:rsid w:val="3DAD3FBE"/>
    <w:rsid w:val="3E6D7B0C"/>
    <w:rsid w:val="3F0E7575"/>
    <w:rsid w:val="3F2C7B93"/>
    <w:rsid w:val="3F5E2DF9"/>
    <w:rsid w:val="3F815008"/>
    <w:rsid w:val="40147B22"/>
    <w:rsid w:val="409B1A96"/>
    <w:rsid w:val="415B1B90"/>
    <w:rsid w:val="41742367"/>
    <w:rsid w:val="41CE6B33"/>
    <w:rsid w:val="425B0980"/>
    <w:rsid w:val="42BE5066"/>
    <w:rsid w:val="433D7A78"/>
    <w:rsid w:val="4349216B"/>
    <w:rsid w:val="43B64C47"/>
    <w:rsid w:val="463336E0"/>
    <w:rsid w:val="46C16C66"/>
    <w:rsid w:val="46D04693"/>
    <w:rsid w:val="478D6A3C"/>
    <w:rsid w:val="482B4558"/>
    <w:rsid w:val="487526CC"/>
    <w:rsid w:val="49521DF7"/>
    <w:rsid w:val="495F27A1"/>
    <w:rsid w:val="49C34D17"/>
    <w:rsid w:val="4A8915B8"/>
    <w:rsid w:val="4A944A26"/>
    <w:rsid w:val="4A995804"/>
    <w:rsid w:val="4B101774"/>
    <w:rsid w:val="4B975426"/>
    <w:rsid w:val="4C397865"/>
    <w:rsid w:val="4CCC3B4A"/>
    <w:rsid w:val="4D81330C"/>
    <w:rsid w:val="4DAD6D49"/>
    <w:rsid w:val="4DDD4E6D"/>
    <w:rsid w:val="4E2A50F1"/>
    <w:rsid w:val="4E594465"/>
    <w:rsid w:val="4F464194"/>
    <w:rsid w:val="4F510757"/>
    <w:rsid w:val="4F946E6D"/>
    <w:rsid w:val="4FDB37F4"/>
    <w:rsid w:val="502649D0"/>
    <w:rsid w:val="50B603AB"/>
    <w:rsid w:val="50BC5616"/>
    <w:rsid w:val="50FA67BE"/>
    <w:rsid w:val="5215447D"/>
    <w:rsid w:val="522474FD"/>
    <w:rsid w:val="53E72A96"/>
    <w:rsid w:val="54A232F5"/>
    <w:rsid w:val="56A833F9"/>
    <w:rsid w:val="575104C8"/>
    <w:rsid w:val="57F347A6"/>
    <w:rsid w:val="58715890"/>
    <w:rsid w:val="59A33A0D"/>
    <w:rsid w:val="5AB77983"/>
    <w:rsid w:val="5B9A4115"/>
    <w:rsid w:val="5B9F1982"/>
    <w:rsid w:val="5D0B4EFB"/>
    <w:rsid w:val="5D1C0BD9"/>
    <w:rsid w:val="5D373C4B"/>
    <w:rsid w:val="5D75771C"/>
    <w:rsid w:val="5DAB1E3A"/>
    <w:rsid w:val="5DD24E5D"/>
    <w:rsid w:val="5DDE5553"/>
    <w:rsid w:val="5F805BD9"/>
    <w:rsid w:val="5F8454CE"/>
    <w:rsid w:val="5FC07EA8"/>
    <w:rsid w:val="5FE115EF"/>
    <w:rsid w:val="60367B2B"/>
    <w:rsid w:val="61500960"/>
    <w:rsid w:val="61734BA9"/>
    <w:rsid w:val="61B722C3"/>
    <w:rsid w:val="61D01DD2"/>
    <w:rsid w:val="62046A6B"/>
    <w:rsid w:val="62257D7B"/>
    <w:rsid w:val="62BC60DF"/>
    <w:rsid w:val="62C2643F"/>
    <w:rsid w:val="631A4D27"/>
    <w:rsid w:val="634E142A"/>
    <w:rsid w:val="63E105CA"/>
    <w:rsid w:val="64F67EE8"/>
    <w:rsid w:val="65402D12"/>
    <w:rsid w:val="658147AB"/>
    <w:rsid w:val="65AA7E46"/>
    <w:rsid w:val="65EE70DA"/>
    <w:rsid w:val="661A232A"/>
    <w:rsid w:val="6632293D"/>
    <w:rsid w:val="6686173D"/>
    <w:rsid w:val="66D11982"/>
    <w:rsid w:val="67386806"/>
    <w:rsid w:val="675D094C"/>
    <w:rsid w:val="67B61CC7"/>
    <w:rsid w:val="68B91D73"/>
    <w:rsid w:val="690B4321"/>
    <w:rsid w:val="699A7177"/>
    <w:rsid w:val="69AD6A82"/>
    <w:rsid w:val="6A162A44"/>
    <w:rsid w:val="6A243D68"/>
    <w:rsid w:val="6A455DFD"/>
    <w:rsid w:val="6A48378D"/>
    <w:rsid w:val="6B091F05"/>
    <w:rsid w:val="6BF85B87"/>
    <w:rsid w:val="6C1D55C6"/>
    <w:rsid w:val="6CCC5F78"/>
    <w:rsid w:val="6D26555E"/>
    <w:rsid w:val="6D697D36"/>
    <w:rsid w:val="6E8D052E"/>
    <w:rsid w:val="6E982293"/>
    <w:rsid w:val="6EC54776"/>
    <w:rsid w:val="6EC66318"/>
    <w:rsid w:val="6EC97FDE"/>
    <w:rsid w:val="6EE1655E"/>
    <w:rsid w:val="6F063E1D"/>
    <w:rsid w:val="6F6A1399"/>
    <w:rsid w:val="70A1528F"/>
    <w:rsid w:val="70AA1185"/>
    <w:rsid w:val="70F040A8"/>
    <w:rsid w:val="722001CA"/>
    <w:rsid w:val="73921146"/>
    <w:rsid w:val="73DB4E1F"/>
    <w:rsid w:val="73DC3430"/>
    <w:rsid w:val="740B13C3"/>
    <w:rsid w:val="745C422F"/>
    <w:rsid w:val="74A751D7"/>
    <w:rsid w:val="74A83D3F"/>
    <w:rsid w:val="74B9039C"/>
    <w:rsid w:val="757575F0"/>
    <w:rsid w:val="75B66837"/>
    <w:rsid w:val="761A7171"/>
    <w:rsid w:val="762F4835"/>
    <w:rsid w:val="763D3A86"/>
    <w:rsid w:val="76E210CD"/>
    <w:rsid w:val="77737AF1"/>
    <w:rsid w:val="77F35E7A"/>
    <w:rsid w:val="781A3F3B"/>
    <w:rsid w:val="78C132E5"/>
    <w:rsid w:val="792E7917"/>
    <w:rsid w:val="793F363C"/>
    <w:rsid w:val="797252E7"/>
    <w:rsid w:val="79EC1FD7"/>
    <w:rsid w:val="7AF0727B"/>
    <w:rsid w:val="7C617072"/>
    <w:rsid w:val="7CE5463C"/>
    <w:rsid w:val="7D2124A7"/>
    <w:rsid w:val="7D6F41A2"/>
    <w:rsid w:val="7DC52EA5"/>
    <w:rsid w:val="7DF02012"/>
    <w:rsid w:val="7E510534"/>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5">
    <w:name w:val="heading 3"/>
    <w:basedOn w:val="1"/>
    <w:autoRedefine/>
    <w:qFormat/>
    <w:uiPriority w:val="0"/>
    <w:pPr>
      <w:spacing w:line="413" w:lineRule="auto"/>
      <w:ind w:firstLine="480" w:firstLineChars="200"/>
      <w:jc w:val="left"/>
      <w:outlineLvl w:val="2"/>
    </w:pPr>
    <w:rPr>
      <w:bCs/>
      <w:sz w:val="24"/>
      <w:szCs w:val="24"/>
    </w:rPr>
  </w:style>
  <w:style w:type="paragraph" w:styleId="6">
    <w:name w:val="heading 4"/>
    <w:basedOn w:val="1"/>
    <w:autoRedefine/>
    <w:qFormat/>
    <w:uiPriority w:val="0"/>
    <w:pPr>
      <w:keepNext/>
      <w:keepLines/>
      <w:spacing w:line="372" w:lineRule="auto"/>
      <w:outlineLvl w:val="3"/>
    </w:pPr>
    <w:rPr>
      <w:rFonts w:ascii="Cambria" w:hAnsi="Cambria"/>
      <w:b/>
      <w:bCs/>
      <w:sz w:val="28"/>
      <w:szCs w:val="28"/>
    </w:rPr>
  </w:style>
  <w:style w:type="paragraph" w:styleId="7">
    <w:name w:val="heading 5"/>
    <w:basedOn w:val="1"/>
    <w:autoRedefine/>
    <w:qFormat/>
    <w:uiPriority w:val="0"/>
    <w:pPr>
      <w:keepNext/>
      <w:keepLines/>
      <w:spacing w:line="372" w:lineRule="auto"/>
      <w:outlineLvl w:val="4"/>
    </w:pPr>
    <w:rPr>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link w:val="39"/>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8">
    <w:name w:val="annotation text"/>
    <w:basedOn w:val="1"/>
    <w:link w:val="29"/>
    <w:autoRedefine/>
    <w:qFormat/>
    <w:uiPriority w:val="0"/>
    <w:pPr>
      <w:jc w:val="left"/>
    </w:pPr>
  </w:style>
  <w:style w:type="paragraph" w:styleId="9">
    <w:name w:val="Body Text Indent"/>
    <w:basedOn w:val="1"/>
    <w:link w:val="34"/>
    <w:autoRedefine/>
    <w:qFormat/>
    <w:uiPriority w:val="0"/>
    <w:pPr>
      <w:ind w:firstLine="830" w:firstLineChars="352"/>
    </w:pPr>
    <w:rPr>
      <w:rFonts w:ascii="仿宋_GB2312" w:eastAsia="仿宋_GB2312"/>
      <w:kern w:val="0"/>
      <w:sz w:val="32"/>
      <w:szCs w:val="20"/>
    </w:rPr>
  </w:style>
  <w:style w:type="paragraph" w:styleId="10">
    <w:name w:val="toc 5"/>
    <w:basedOn w:val="1"/>
    <w:autoRedefine/>
    <w:qFormat/>
    <w:uiPriority w:val="0"/>
    <w:pPr>
      <w:tabs>
        <w:tab w:val="right" w:leader="dot" w:pos="8296"/>
      </w:tabs>
      <w:ind w:left="1050" w:leftChars="500"/>
    </w:pPr>
  </w:style>
  <w:style w:type="paragraph" w:styleId="11">
    <w:name w:val="toc 3"/>
    <w:basedOn w:val="1"/>
    <w:autoRedefine/>
    <w:qFormat/>
    <w:uiPriority w:val="0"/>
    <w:pPr>
      <w:ind w:left="840" w:leftChars="400"/>
    </w:pPr>
  </w:style>
  <w:style w:type="paragraph" w:styleId="12">
    <w:name w:val="Plain Text"/>
    <w:basedOn w:val="1"/>
    <w:link w:val="37"/>
    <w:autoRedefine/>
    <w:qFormat/>
    <w:uiPriority w:val="0"/>
    <w:rPr>
      <w:rFonts w:ascii="宋体" w:hAnsi="Courier New" w:cs="Courier New"/>
      <w:szCs w:val="21"/>
    </w:rPr>
  </w:style>
  <w:style w:type="paragraph" w:styleId="13">
    <w:name w:val="Balloon Text"/>
    <w:basedOn w:val="1"/>
    <w:link w:val="31"/>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4"/>
    <w:basedOn w:val="1"/>
    <w:autoRedefine/>
    <w:qFormat/>
    <w:uiPriority w:val="0"/>
    <w:pPr>
      <w:tabs>
        <w:tab w:val="left" w:pos="1890"/>
        <w:tab w:val="right" w:leader="dot" w:pos="8296"/>
      </w:tabs>
      <w:ind w:left="630" w:leftChars="300"/>
    </w:pPr>
  </w:style>
  <w:style w:type="paragraph" w:styleId="17">
    <w:name w:val="Normal (Web)"/>
    <w:basedOn w:val="1"/>
    <w:autoRedefine/>
    <w:qFormat/>
    <w:uiPriority w:val="0"/>
    <w:rPr>
      <w:sz w:val="24"/>
    </w:rPr>
  </w:style>
  <w:style w:type="paragraph" w:styleId="18">
    <w:name w:val="annotation subject"/>
    <w:basedOn w:val="8"/>
    <w:link w:val="30"/>
    <w:autoRedefine/>
    <w:qFormat/>
    <w:uiPriority w:val="0"/>
    <w:rPr>
      <w:b/>
      <w:bCs/>
    </w:rPr>
  </w:style>
  <w:style w:type="paragraph" w:styleId="19">
    <w:name w:val="Body Text First Indent 2"/>
    <w:basedOn w:val="9"/>
    <w:link w:val="35"/>
    <w:autoRedefine/>
    <w:qFormat/>
    <w:uiPriority w:val="0"/>
    <w:pPr>
      <w:spacing w:after="120"/>
      <w:ind w:left="420" w:leftChars="200" w:firstLine="210" w:firstLineChars="200"/>
    </w:pPr>
    <w:rPr>
      <w:rFonts w:ascii="宋体" w:hAnsi="宋体"/>
      <w:kern w:val="2"/>
      <w:sz w:val="28"/>
    </w:rPr>
  </w:style>
  <w:style w:type="character" w:styleId="22">
    <w:name w:val="Hyperlink"/>
    <w:qFormat/>
    <w:uiPriority w:val="0"/>
    <w:rPr>
      <w:rFonts w:cs="Times New Roman"/>
      <w:color w:val="0000FF"/>
      <w:u w:val="single"/>
    </w:rPr>
  </w:style>
  <w:style w:type="character" w:styleId="23">
    <w:name w:val="annotation reference"/>
    <w:basedOn w:val="21"/>
    <w:qFormat/>
    <w:uiPriority w:val="0"/>
    <w:rPr>
      <w:sz w:val="21"/>
      <w:szCs w:val="21"/>
    </w:rPr>
  </w:style>
  <w:style w:type="paragraph" w:customStyle="1" w:styleId="24">
    <w:name w:val="正文1"/>
    <w:qFormat/>
    <w:uiPriority w:val="0"/>
    <w:rPr>
      <w:rFonts w:ascii="Times New Roman" w:hAnsi="Times New Roman" w:eastAsia="Times New Roman" w:cs="Times New Roman"/>
      <w:sz w:val="24"/>
      <w:szCs w:val="24"/>
      <w:lang w:val="en-US" w:eastAsia="zh-CN" w:bidi="ar-SA"/>
    </w:rPr>
  </w:style>
  <w:style w:type="paragraph" w:customStyle="1" w:styleId="25">
    <w:name w:val="Div_MsoNormal ParagraphIndent"/>
    <w:basedOn w:val="24"/>
    <w:qFormat/>
    <w:uiPriority w:val="0"/>
    <w:rPr>
      <w:rFonts w:ascii="宋体" w:hAnsi="宋体" w:eastAsia="宋体" w:cs="宋体"/>
      <w:sz w:val="21"/>
    </w:rPr>
  </w:style>
  <w:style w:type="paragraph" w:customStyle="1" w:styleId="26">
    <w:name w:val="Div_MsoNormal  ParagraphIndent"/>
    <w:basedOn w:val="24"/>
    <w:qFormat/>
    <w:uiPriority w:val="0"/>
    <w:rPr>
      <w:rFonts w:ascii="宋体" w:hAnsi="宋体" w:eastAsia="宋体" w:cs="宋体"/>
      <w:sz w:val="21"/>
    </w:rPr>
  </w:style>
  <w:style w:type="paragraph" w:customStyle="1" w:styleId="27">
    <w:name w:val="_Style 6"/>
    <w:basedOn w:val="4"/>
    <w:autoRedefine/>
    <w:qFormat/>
    <w:uiPriority w:val="0"/>
    <w:pPr>
      <w:outlineLvl w:val="9"/>
    </w:pPr>
  </w:style>
  <w:style w:type="paragraph" w:customStyle="1" w:styleId="28">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29">
    <w:name w:val="批注文字 Char"/>
    <w:basedOn w:val="21"/>
    <w:link w:val="8"/>
    <w:qFormat/>
    <w:uiPriority w:val="0"/>
    <w:rPr>
      <w:rFonts w:ascii="Calibri" w:hAnsi="Calibri"/>
      <w:kern w:val="2"/>
      <w:sz w:val="21"/>
      <w:szCs w:val="22"/>
    </w:rPr>
  </w:style>
  <w:style w:type="character" w:customStyle="1" w:styleId="30">
    <w:name w:val="批注主题 Char"/>
    <w:basedOn w:val="29"/>
    <w:link w:val="18"/>
    <w:qFormat/>
    <w:uiPriority w:val="0"/>
    <w:rPr>
      <w:rFonts w:ascii="Calibri" w:hAnsi="Calibri"/>
      <w:kern w:val="2"/>
      <w:sz w:val="21"/>
      <w:szCs w:val="22"/>
    </w:rPr>
  </w:style>
  <w:style w:type="character" w:customStyle="1" w:styleId="31">
    <w:name w:val="批注框文本 Char"/>
    <w:basedOn w:val="21"/>
    <w:link w:val="13"/>
    <w:qFormat/>
    <w:uiPriority w:val="0"/>
    <w:rPr>
      <w:rFonts w:ascii="Calibri" w:hAnsi="Calibri"/>
      <w:kern w:val="2"/>
      <w:sz w:val="18"/>
      <w:szCs w:val="18"/>
    </w:rPr>
  </w:style>
  <w:style w:type="paragraph" w:styleId="32">
    <w:name w:val="List Paragraph"/>
    <w:basedOn w:val="1"/>
    <w:unhideWhenUsed/>
    <w:qFormat/>
    <w:uiPriority w:val="99"/>
    <w:pPr>
      <w:ind w:firstLine="420" w:firstLineChars="200"/>
    </w:pPr>
  </w:style>
  <w:style w:type="paragraph" w:customStyle="1" w:styleId="33">
    <w:name w:val="表格文字"/>
    <w:basedOn w:val="1"/>
    <w:qFormat/>
    <w:uiPriority w:val="99"/>
    <w:pPr>
      <w:spacing w:before="25" w:after="25"/>
      <w:jc w:val="left"/>
    </w:pPr>
    <w:rPr>
      <w:bCs/>
      <w:spacing w:val="10"/>
      <w:kern w:val="0"/>
      <w:sz w:val="24"/>
    </w:rPr>
  </w:style>
  <w:style w:type="character" w:customStyle="1" w:styleId="34">
    <w:name w:val="正文文本缩进 Char"/>
    <w:basedOn w:val="21"/>
    <w:link w:val="9"/>
    <w:qFormat/>
    <w:uiPriority w:val="0"/>
    <w:rPr>
      <w:rFonts w:hint="default" w:ascii="Calibri" w:hAnsi="Calibri" w:cs="Calibri"/>
      <w:kern w:val="2"/>
      <w:sz w:val="21"/>
      <w:szCs w:val="22"/>
    </w:rPr>
  </w:style>
  <w:style w:type="character" w:customStyle="1" w:styleId="35">
    <w:name w:val="正文首行缩进 2 Char"/>
    <w:basedOn w:val="34"/>
    <w:link w:val="19"/>
    <w:qFormat/>
    <w:uiPriority w:val="0"/>
    <w:rPr>
      <w:rFonts w:hint="default" w:ascii="Calibri" w:hAnsi="Calibri" w:cs="Calibri"/>
      <w:kern w:val="2"/>
      <w:sz w:val="21"/>
      <w:szCs w:val="22"/>
    </w:rPr>
  </w:style>
  <w:style w:type="paragraph" w:customStyle="1" w:styleId="36">
    <w:name w:val="_Style 1"/>
    <w:basedOn w:val="1"/>
    <w:qFormat/>
    <w:uiPriority w:val="99"/>
    <w:pPr>
      <w:ind w:firstLine="420" w:firstLineChars="200"/>
    </w:pPr>
    <w:rPr>
      <w:rFonts w:ascii="Times New Roman" w:hAnsi="Times New Roman"/>
      <w:szCs w:val="20"/>
    </w:rPr>
  </w:style>
  <w:style w:type="character" w:customStyle="1" w:styleId="37">
    <w:name w:val="纯文本 Char"/>
    <w:link w:val="12"/>
    <w:qFormat/>
    <w:uiPriority w:val="99"/>
    <w:rPr>
      <w:rFonts w:ascii="宋体" w:hAnsi="Courier New" w:cs="Courier New"/>
      <w:kern w:val="2"/>
      <w:sz w:val="21"/>
      <w:szCs w:val="21"/>
    </w:rPr>
  </w:style>
  <w:style w:type="character" w:customStyle="1" w:styleId="38">
    <w:name w:val="font11"/>
    <w:basedOn w:val="21"/>
    <w:qFormat/>
    <w:uiPriority w:val="0"/>
    <w:rPr>
      <w:rFonts w:hint="eastAsia" w:ascii="宋体" w:hAnsi="宋体" w:eastAsia="宋体"/>
      <w:color w:val="000000"/>
      <w:sz w:val="22"/>
      <w:szCs w:val="22"/>
      <w:u w:val="none"/>
    </w:rPr>
  </w:style>
  <w:style w:type="character" w:customStyle="1" w:styleId="39">
    <w:name w:val="正文文本 Char"/>
    <w:basedOn w:val="21"/>
    <w:link w:val="3"/>
    <w:qFormat/>
    <w:uiPriority w:val="0"/>
  </w:style>
  <w:style w:type="character" w:customStyle="1" w:styleId="40">
    <w:name w:val="font2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9"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7206</Words>
  <Characters>7777</Characters>
  <Lines>71</Lines>
  <Paragraphs>20</Paragraphs>
  <TotalTime>5</TotalTime>
  <ScaleCrop>false</ScaleCrop>
  <LinksUpToDate>false</LinksUpToDate>
  <CharactersWithSpaces>8514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2025-11-14T10:01:54Z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5D8CE5C05E3148A0B068E9933CE5D18E</vt:lpwstr>
  </property>
  <property fmtid="{D5CDD505-2E9C-101B-9397-08002B2CF9AE}" pid="4" name="KSOTemplateDocerSaveRecord">
    <vt:lpwstr>eyJoZGlkIjoiNjg0YjRlNWU1MTNmNTNlNDQ0NGVhYTdmNzNlMjllYTEiLCJ1c2VySWQiOiI2MzkwMTA2NDYifQ==</vt:lpwstr>
  </property>
</Properties>
</file>