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2F56">
      <w:pPr>
        <w:pStyle w:val="27"/>
        <w:spacing w:line="360" w:lineRule="auto"/>
        <w:jc w:val="center"/>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东盟楼空调交换机房蒸汽进气阀组、疏水阀组安装工程</w:t>
      </w:r>
    </w:p>
    <w:p w14:paraId="0DD46D2F">
      <w:pPr>
        <w:pStyle w:val="27"/>
        <w:spacing w:line="360" w:lineRule="auto"/>
        <w:jc w:val="center"/>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lang w:val="zh-CN"/>
        </w:rPr>
        <w:t>采购需求</w:t>
      </w:r>
    </w:p>
    <w:p w14:paraId="1779DE1B">
      <w:pPr>
        <w:pStyle w:val="27"/>
        <w:spacing w:line="360" w:lineRule="auto"/>
        <w:rPr>
          <w:rFonts w:asciiTheme="minorEastAsia" w:hAnsiTheme="minorEastAsia" w:eastAsiaTheme="minorEastAsia"/>
          <w:szCs w:val="21"/>
          <w:lang w:val="zh-CN"/>
        </w:rPr>
      </w:pPr>
    </w:p>
    <w:p w14:paraId="62C919FA">
      <w:pPr>
        <w:pStyle w:val="27"/>
        <w:spacing w:line="360" w:lineRule="auto"/>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一、项目概况</w:t>
      </w:r>
    </w:p>
    <w:p w14:paraId="1093BDC7">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上限控制价:</w:t>
      </w:r>
      <w:r>
        <w:rPr>
          <w:rFonts w:hint="eastAsia" w:ascii="宋体" w:hAnsi="宋体" w:cs="宋体"/>
          <w:color w:val="000000"/>
          <w:kern w:val="0"/>
          <w:szCs w:val="21"/>
          <w:highlight w:val="none"/>
        </w:rPr>
        <w:t>202236.29</w:t>
      </w:r>
      <w:r>
        <w:rPr>
          <w:rFonts w:hint="eastAsia" w:ascii="宋体" w:hAnsi="宋体" w:cs="宋体"/>
          <w:color w:val="000000"/>
          <w:kern w:val="0"/>
          <w:szCs w:val="21"/>
          <w:highlight w:val="none"/>
          <w:lang w:eastAsia="zh-CN"/>
        </w:rPr>
        <w:t>元</w:t>
      </w:r>
    </w:p>
    <w:p w14:paraId="2320EED5">
      <w:pPr>
        <w:pStyle w:val="27"/>
        <w:keepNext w:val="0"/>
        <w:keepLines w:val="0"/>
        <w:pageBreakBefore w:val="0"/>
        <w:numPr>
          <w:ilvl w:val="0"/>
          <w:numId w:val="1"/>
        </w:numPr>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工期：</w:t>
      </w:r>
      <w:r>
        <w:rPr>
          <w:rFonts w:hint="eastAsia" w:cs="宋体"/>
          <w:sz w:val="21"/>
          <w:szCs w:val="21"/>
          <w:highlight w:val="none"/>
          <w:lang w:val="en-US" w:eastAsia="zh-CN"/>
        </w:rPr>
        <w:t>20</w:t>
      </w:r>
      <w:r>
        <w:rPr>
          <w:rFonts w:hint="eastAsia" w:ascii="宋体" w:hAnsi="宋体" w:eastAsia="宋体" w:cs="宋体"/>
          <w:sz w:val="21"/>
          <w:szCs w:val="21"/>
          <w:highlight w:val="none"/>
          <w:lang w:val="zh-CN"/>
        </w:rPr>
        <w:t xml:space="preserve">日历天。 </w:t>
      </w:r>
    </w:p>
    <w:p w14:paraId="71B40A7B">
      <w:pPr>
        <w:pStyle w:val="2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sz w:val="21"/>
          <w:szCs w:val="21"/>
          <w:highlight w:val="none"/>
          <w:lang w:val="zh-CN"/>
        </w:rPr>
      </w:pPr>
      <w:r>
        <w:rPr>
          <w:rFonts w:hint="eastAsia" w:ascii="宋体" w:hAnsi="宋体" w:eastAsia="宋体" w:cs="宋体"/>
          <w:b/>
          <w:bCs/>
          <w:sz w:val="21"/>
          <w:szCs w:val="21"/>
          <w:highlight w:val="none"/>
          <w:lang w:val="zh-CN"/>
        </w:rPr>
        <w:t xml:space="preserve">二、供应商资格要求 </w:t>
      </w:r>
    </w:p>
    <w:p w14:paraId="5EC6DF65">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1 、参与供应商必须具有独立承担民事责任的能力，具有有效的《营业执照》，市场监督管理部门有特定资格要求的， 应满足特定资格要求；供应商具备 【机电安装专业承包二级（含）以上】资质，具备有效的安全生产许可证，并在人员、设备、资金等方面具备相应的施工能力。</w:t>
      </w:r>
    </w:p>
    <w:p w14:paraId="037989C4">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 xml:space="preserve">2、对在“信用中国”网站(www.creditchina.gov.cn )、中国政府采购网(www.ccgp.gov.cn )等渠道列入失信被执行人、重大税收违法案件当事人名单、政府采购严重违法失信行为记录名单的供应商，将被拒绝参与本次比选活动。根据最高人民法院等9部门《关于在招标投标活动中对失信被执行人实施联合惩戒的通知》（法〔2016〕285号）规定，承包人不得为失信被执行人（以评标阶段通过“信用中国”网站（www.creditchina.gov.cn）查询的结果为准）。 </w:t>
      </w:r>
    </w:p>
    <w:p w14:paraId="46A7F71A">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kern w:val="0"/>
          <w:sz w:val="21"/>
          <w:szCs w:val="21"/>
          <w:highlight w:val="yellow"/>
          <w:lang w:val="zh-CN" w:eastAsia="zh-CN" w:bidi="ar-SA"/>
        </w:rPr>
      </w:pPr>
      <w:r>
        <w:rPr>
          <w:rFonts w:hint="eastAsia" w:ascii="宋体" w:hAnsi="宋体" w:eastAsia="宋体" w:cs="宋体"/>
          <w:kern w:val="0"/>
          <w:sz w:val="21"/>
          <w:szCs w:val="21"/>
          <w:highlight w:val="none"/>
          <w:lang w:val="zh-CN" w:eastAsia="zh-CN" w:bidi="ar-SA"/>
        </w:rPr>
        <w:t>3、不接受联合体参与。</w:t>
      </w:r>
    </w:p>
    <w:p w14:paraId="705BDA42">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w:t>
      </w:r>
      <w:r>
        <w:rPr>
          <w:rFonts w:hint="eastAsia" w:ascii="宋体" w:hAnsi="宋体" w:cs="宋体"/>
          <w:b/>
          <w:bCs/>
          <w:sz w:val="21"/>
          <w:szCs w:val="21"/>
          <w:lang w:eastAsia="zh-CN"/>
        </w:rPr>
        <w:t>工程要求</w:t>
      </w:r>
      <w:r>
        <w:rPr>
          <w:rFonts w:hint="eastAsia" w:ascii="宋体" w:hAnsi="宋体" w:eastAsia="宋体" w:cs="宋体"/>
          <w:b/>
          <w:bCs/>
          <w:sz w:val="21"/>
          <w:szCs w:val="21"/>
        </w:rPr>
        <w:t>：</w:t>
      </w:r>
    </w:p>
    <w:p w14:paraId="398B72F3">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lang w:val="zh-CN" w:eastAsia="zh-CN" w:bidi="ar-SA"/>
        </w:rPr>
        <w:t>建设地点: 南宁市青秀区双拥路6号广西医科大学第一附属医院内。</w:t>
      </w:r>
    </w:p>
    <w:p w14:paraId="0024BD8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项目建设内容</w:t>
      </w:r>
      <w:r>
        <w:rPr>
          <w:rFonts w:hint="eastAsia" w:ascii="宋体" w:hAnsi="宋体" w:eastAsia="宋体" w:cs="宋体"/>
          <w:kern w:val="0"/>
          <w:sz w:val="21"/>
          <w:szCs w:val="21"/>
          <w:highlight w:val="none"/>
          <w:lang w:val="en-US" w:eastAsia="zh-CN" w:bidi="ar-SA"/>
        </w:rPr>
        <w:t>及</w:t>
      </w:r>
      <w:r>
        <w:rPr>
          <w:rFonts w:hint="eastAsia" w:ascii="宋体" w:hAnsi="宋体" w:eastAsia="宋体" w:cs="宋体"/>
          <w:kern w:val="0"/>
          <w:sz w:val="21"/>
          <w:szCs w:val="21"/>
          <w:highlight w:val="none"/>
          <w:lang w:val="zh-CN" w:eastAsia="zh-CN" w:bidi="ar-SA"/>
        </w:rPr>
        <w:t>规模: 东盟楼空调交换机房蒸汽进气阀组、疏水阀组安装工程，工程量见工程量清单。</w:t>
      </w:r>
    </w:p>
    <w:p w14:paraId="2B62B0A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工程项承包范围：经审定的施工图、工程量清单、工程变更及与本工程有关所有包含的内容。</w:t>
      </w:r>
    </w:p>
    <w:p w14:paraId="22A62DCC">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标段划分: 1个标段 </w:t>
      </w:r>
    </w:p>
    <w:p w14:paraId="5BA0ECE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5、</w:t>
      </w:r>
      <w:r>
        <w:rPr>
          <w:rFonts w:hint="eastAsia" w:ascii="宋体" w:hAnsi="宋体" w:eastAsia="宋体" w:cs="宋体"/>
          <w:kern w:val="0"/>
          <w:sz w:val="21"/>
          <w:szCs w:val="21"/>
          <w:highlight w:val="none"/>
          <w:lang w:val="zh-CN" w:eastAsia="zh-CN" w:bidi="ar-SA"/>
        </w:rPr>
        <w:t xml:space="preserve">设计单位: 无 </w:t>
      </w:r>
    </w:p>
    <w:p w14:paraId="59992F70">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勘察单位: 无</w:t>
      </w:r>
    </w:p>
    <w:p w14:paraId="6C643781">
      <w:pPr>
        <w:pStyle w:val="27"/>
        <w:numPr>
          <w:ilvl w:val="0"/>
          <w:numId w:val="0"/>
        </w:numPr>
        <w:spacing w:line="360" w:lineRule="auto"/>
        <w:ind w:leftChars="0"/>
        <w:rPr>
          <w:rFonts w:hint="eastAsia" w:cs="宋体"/>
          <w:kern w:val="0"/>
          <w:sz w:val="21"/>
          <w:szCs w:val="21"/>
          <w:highlight w:val="none"/>
          <w:lang w:val="en-US" w:eastAsia="zh-CN" w:bidi="ar-SA"/>
        </w:rPr>
      </w:pPr>
      <w:r>
        <w:rPr>
          <w:rFonts w:hint="eastAsia" w:cs="宋体"/>
          <w:kern w:val="0"/>
          <w:sz w:val="21"/>
          <w:szCs w:val="21"/>
          <w:highlight w:val="none"/>
          <w:lang w:val="en-US" w:eastAsia="zh-CN" w:bidi="ar-SA"/>
        </w:rPr>
        <w:t>7、施工内容：东盟楼空调交换机房蒸汽进气阀组疏水阀组安装工程，包括原安装的减压阀组升级改造；进气阀组与原有减压阀组联接；进气阀组、疏水阀组所有阀体安装，调试；按设计及甲方要求配制智能控制柜；配合空调机组运行调试；负责培训操作人员。</w:t>
      </w:r>
      <w:r>
        <w:rPr>
          <w:rFonts w:hint="eastAsia" w:cs="宋体"/>
          <w:kern w:val="0"/>
          <w:sz w:val="21"/>
          <w:szCs w:val="21"/>
          <w:highlight w:val="none"/>
          <w:lang w:val="en-US" w:eastAsia="zh-CN" w:bidi="ar-SA"/>
        </w:rPr>
        <w:tab/>
      </w:r>
      <w:r>
        <w:rPr>
          <w:rFonts w:hint="eastAsia" w:cs="宋体"/>
          <w:kern w:val="0"/>
          <w:sz w:val="21"/>
          <w:szCs w:val="21"/>
          <w:highlight w:val="none"/>
          <w:lang w:val="en-US" w:eastAsia="zh-CN" w:bidi="ar-SA"/>
        </w:rPr>
        <w:tab/>
      </w:r>
    </w:p>
    <w:p w14:paraId="7DDE5963">
      <w:pPr>
        <w:pStyle w:val="27"/>
        <w:numPr>
          <w:ilvl w:val="0"/>
          <w:numId w:val="0"/>
        </w:numPr>
        <w:spacing w:line="360" w:lineRule="auto"/>
        <w:ind w:leftChars="0"/>
        <w:rPr>
          <w:rFonts w:hint="default" w:ascii="宋体" w:hAnsi="宋体" w:eastAsia="宋体" w:cs="宋体"/>
          <w:kern w:val="0"/>
          <w:sz w:val="21"/>
          <w:szCs w:val="21"/>
          <w:highlight w:val="none"/>
          <w:lang w:val="en-US" w:eastAsia="zh-CN" w:bidi="ar-SA"/>
        </w:rPr>
      </w:pPr>
      <w:r>
        <w:rPr>
          <w:rFonts w:hint="eastAsia" w:cs="宋体"/>
          <w:kern w:val="0"/>
          <w:sz w:val="21"/>
          <w:szCs w:val="21"/>
          <w:highlight w:val="none"/>
          <w:lang w:val="en-US" w:eastAsia="zh-CN" w:bidi="ar-SA"/>
        </w:rPr>
        <w:t>8、质量要求：按清单要求采购相应品牌的合格产品，特殊工种需操作人员持证上岗，工程安装质量达到国家施工验收合格标准。</w:t>
      </w:r>
    </w:p>
    <w:p w14:paraId="2A0BA4AA">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9</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lang w:val="zh-CN" w:eastAsia="zh-CN" w:bidi="ar-SA"/>
        </w:rPr>
        <w:t>其他需要说明的问题：</w:t>
      </w:r>
    </w:p>
    <w:p w14:paraId="24EB2B91">
      <w:pPr>
        <w:pStyle w:val="27"/>
        <w:spacing w:line="360" w:lineRule="auto"/>
        <w:ind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无。</w:t>
      </w:r>
    </w:p>
    <w:p w14:paraId="4C371025">
      <w:pPr>
        <w:keepNext w:val="0"/>
        <w:keepLines w:val="0"/>
        <w:pageBreakBefore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、商务条款:</w:t>
      </w:r>
    </w:p>
    <w:p w14:paraId="2347460F">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1、</w:t>
      </w:r>
      <w:r>
        <w:rPr>
          <w:rFonts w:hint="eastAsia" w:ascii="宋体" w:hAnsi="宋体" w:eastAsia="宋体" w:cs="宋体"/>
          <w:kern w:val="0"/>
          <w:sz w:val="21"/>
          <w:szCs w:val="21"/>
          <w:highlight w:val="none"/>
          <w:lang w:val="zh-CN" w:eastAsia="zh-CN" w:bidi="ar-SA"/>
        </w:rPr>
        <w:t>工期：</w:t>
      </w:r>
      <w:r>
        <w:rPr>
          <w:rFonts w:hint="eastAsia" w:ascii="宋体" w:hAnsi="宋体" w:eastAsia="宋体" w:cs="宋体"/>
          <w:kern w:val="0"/>
          <w:sz w:val="21"/>
          <w:szCs w:val="21"/>
          <w:highlight w:val="none"/>
          <w:lang w:val="en-US" w:eastAsia="zh-CN" w:bidi="ar-SA"/>
        </w:rPr>
        <w:t>2</w:t>
      </w:r>
      <w:r>
        <w:rPr>
          <w:rFonts w:hint="eastAsia" w:cs="宋体"/>
          <w:kern w:val="0"/>
          <w:sz w:val="21"/>
          <w:szCs w:val="21"/>
          <w:highlight w:val="none"/>
          <w:lang w:val="en-US" w:eastAsia="zh-CN" w:bidi="ar-SA"/>
        </w:rPr>
        <w:t>0</w:t>
      </w:r>
      <w:r>
        <w:rPr>
          <w:rFonts w:hint="eastAsia" w:ascii="宋体" w:hAnsi="宋体" w:eastAsia="宋体" w:cs="宋体"/>
          <w:kern w:val="0"/>
          <w:sz w:val="21"/>
          <w:szCs w:val="21"/>
          <w:highlight w:val="none"/>
          <w:lang w:val="zh-CN" w:eastAsia="zh-CN" w:bidi="ar-SA"/>
        </w:rPr>
        <w:t>日历天。</w:t>
      </w:r>
    </w:p>
    <w:p w14:paraId="1C4BCEC7">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质保期：电子阀厂家质保1年，管道连接安装</w:t>
      </w:r>
      <w:r>
        <w:rPr>
          <w:rFonts w:hint="eastAsia" w:ascii="宋体" w:hAnsi="宋体" w:eastAsia="宋体" w:cs="宋体"/>
          <w:kern w:val="0"/>
          <w:sz w:val="21"/>
          <w:szCs w:val="21"/>
          <w:highlight w:val="none"/>
          <w:lang w:val="en-US" w:eastAsia="zh-CN" w:bidi="ar-SA"/>
        </w:rPr>
        <w:t>2</w:t>
      </w:r>
      <w:r>
        <w:rPr>
          <w:rFonts w:hint="eastAsia" w:ascii="宋体" w:hAnsi="宋体" w:eastAsia="宋体" w:cs="宋体"/>
          <w:kern w:val="0"/>
          <w:sz w:val="21"/>
          <w:szCs w:val="21"/>
          <w:highlight w:val="none"/>
          <w:lang w:val="zh-CN" w:eastAsia="zh-CN" w:bidi="ar-SA"/>
        </w:rPr>
        <w:t>年。</w:t>
      </w:r>
    </w:p>
    <w:p w14:paraId="1FB165BE">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履行期限:直至竣工验收合格。</w:t>
      </w:r>
    </w:p>
    <w:p w14:paraId="5C3440A6">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en-US" w:eastAsia="zh-CN" w:bidi="ar-SA"/>
        </w:rPr>
        <w:t>4、</w:t>
      </w:r>
      <w:r>
        <w:rPr>
          <w:rFonts w:hint="eastAsia" w:ascii="宋体" w:hAnsi="宋体" w:eastAsia="宋体" w:cs="宋体"/>
          <w:kern w:val="0"/>
          <w:sz w:val="21"/>
          <w:szCs w:val="21"/>
          <w:highlight w:val="none"/>
          <w:lang w:val="zh-CN" w:eastAsia="zh-CN" w:bidi="ar-SA"/>
        </w:rPr>
        <w:t xml:space="preserve">付款方式: </w:t>
      </w:r>
    </w:p>
    <w:p w14:paraId="5E45D24E">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bookmarkStart w:id="0" w:name="OLE_LINK20"/>
      <w:r>
        <w:rPr>
          <w:rFonts w:hint="eastAsia" w:ascii="宋体" w:hAnsi="宋体" w:eastAsia="宋体" w:cs="宋体"/>
          <w:kern w:val="0"/>
          <w:sz w:val="21"/>
          <w:szCs w:val="21"/>
          <w:highlight w:val="none"/>
          <w:lang w:val="zh-CN" w:eastAsia="zh-CN" w:bidi="ar-SA"/>
        </w:rPr>
        <w:t>完成所有</w:t>
      </w:r>
      <w:bookmarkStart w:id="1" w:name="OLE_LINK32"/>
      <w:r>
        <w:rPr>
          <w:rFonts w:hint="eastAsia" w:ascii="宋体" w:hAnsi="宋体" w:eastAsia="宋体" w:cs="宋体"/>
          <w:kern w:val="0"/>
          <w:sz w:val="21"/>
          <w:szCs w:val="21"/>
          <w:highlight w:val="none"/>
          <w:lang w:val="zh-CN" w:eastAsia="zh-CN" w:bidi="ar-SA"/>
        </w:rPr>
        <w:t>工程量，验收合格结算审定后支付至审定结算总价的</w:t>
      </w:r>
      <w:r>
        <w:rPr>
          <w:rFonts w:hint="eastAsia" w:ascii="宋体" w:hAnsi="宋体" w:eastAsia="宋体" w:cs="宋体"/>
          <w:kern w:val="0"/>
          <w:sz w:val="21"/>
          <w:szCs w:val="21"/>
          <w:highlight w:val="none"/>
          <w:lang w:val="en-US" w:eastAsia="zh-CN" w:bidi="ar-SA"/>
        </w:rPr>
        <w:t>97</w:t>
      </w:r>
      <w:r>
        <w:rPr>
          <w:rFonts w:hint="eastAsia" w:ascii="宋体" w:hAnsi="宋体" w:eastAsia="宋体" w:cs="宋体"/>
          <w:kern w:val="0"/>
          <w:sz w:val="21"/>
          <w:szCs w:val="21"/>
          <w:highlight w:val="none"/>
          <w:lang w:val="zh-CN" w:eastAsia="zh-CN" w:bidi="ar-SA"/>
        </w:rPr>
        <w:t>%，发包人按结算总额的</w:t>
      </w:r>
      <w:r>
        <w:rPr>
          <w:rFonts w:hint="eastAsia" w:ascii="宋体" w:hAnsi="宋体" w:eastAsia="宋体" w:cs="宋体"/>
          <w:kern w:val="0"/>
          <w:sz w:val="21"/>
          <w:szCs w:val="21"/>
          <w:highlight w:val="none"/>
          <w:lang w:val="en-US" w:eastAsia="zh-CN" w:bidi="ar-SA"/>
        </w:rPr>
        <w:t>3</w:t>
      </w:r>
      <w:r>
        <w:rPr>
          <w:rFonts w:hint="eastAsia" w:ascii="宋体" w:hAnsi="宋体" w:eastAsia="宋体" w:cs="宋体"/>
          <w:kern w:val="0"/>
          <w:sz w:val="21"/>
          <w:szCs w:val="21"/>
          <w:highlight w:val="none"/>
          <w:lang w:val="zh-CN" w:eastAsia="zh-CN" w:bidi="ar-SA"/>
        </w:rPr>
        <w:t>%预留工程质</w:t>
      </w:r>
      <w:bookmarkEnd w:id="1"/>
      <w:r>
        <w:rPr>
          <w:rFonts w:hint="eastAsia" w:ascii="宋体" w:hAnsi="宋体" w:eastAsia="宋体" w:cs="宋体"/>
          <w:kern w:val="0"/>
          <w:sz w:val="21"/>
          <w:szCs w:val="21"/>
          <w:highlight w:val="none"/>
          <w:lang w:val="zh-CN" w:eastAsia="zh-CN" w:bidi="ar-SA"/>
        </w:rPr>
        <w:t>量保证金。</w:t>
      </w:r>
      <w:bookmarkEnd w:id="0"/>
    </w:p>
    <w:p w14:paraId="0060321F">
      <w:pPr>
        <w:pStyle w:val="27"/>
        <w:numPr>
          <w:ilvl w:val="0"/>
          <w:numId w:val="0"/>
        </w:numPr>
        <w:spacing w:line="360" w:lineRule="auto"/>
        <w:ind w:leftChars="0" w:firstLine="420" w:firstLineChars="200"/>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bidi="ar-SA"/>
        </w:rPr>
        <w:t>质保期满后，由承包人向发包人提出返还质量保证金的申请，发包人在接到承包人返还保证金申请后，于14天内会同承包人按照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353C9DB1">
      <w:pPr>
        <w:pStyle w:val="27"/>
        <w:numPr>
          <w:ilvl w:val="0"/>
          <w:numId w:val="0"/>
        </w:numPr>
        <w:spacing w:line="360" w:lineRule="auto"/>
        <w:ind w:left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5、竣工违约金</w:t>
      </w:r>
      <w:r>
        <w:rPr>
          <w:rFonts w:hint="eastAsia"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因承包人原因造成工期延误，逾期竣工违约金的计算方法为：承包人不能按合同约定的时间竣工，承包人应承担违约责任。应向发包人支付误期赔偿费（赔偿费按逾期竣工的单栋（段）工程罚款，每延误一天,按该栋（段）工程结算造价的</w:t>
      </w:r>
      <w:r>
        <w:rPr>
          <w:rFonts w:hint="eastAsia" w:cs="宋体"/>
          <w:kern w:val="0"/>
          <w:sz w:val="21"/>
          <w:szCs w:val="21"/>
          <w:highlight w:val="none"/>
          <w:lang w:val="en-US" w:eastAsia="zh-CN" w:bidi="ar-SA"/>
        </w:rPr>
        <w:t>百</w:t>
      </w:r>
      <w:r>
        <w:rPr>
          <w:rFonts w:hint="eastAsia" w:ascii="宋体" w:hAnsi="宋体" w:eastAsia="宋体" w:cs="宋体"/>
          <w:kern w:val="0"/>
          <w:sz w:val="21"/>
          <w:szCs w:val="21"/>
          <w:highlight w:val="none"/>
          <w:lang w:val="en-US" w:eastAsia="zh-CN" w:bidi="ar-SA"/>
        </w:rPr>
        <w:t>分之</w:t>
      </w:r>
      <w:r>
        <w:rPr>
          <w:rFonts w:hint="eastAsia" w:cs="宋体"/>
          <w:kern w:val="0"/>
          <w:sz w:val="21"/>
          <w:szCs w:val="21"/>
          <w:highlight w:val="none"/>
          <w:lang w:val="en-US" w:eastAsia="zh-CN" w:bidi="ar-SA"/>
        </w:rPr>
        <w:t>一</w:t>
      </w:r>
      <w:r>
        <w:rPr>
          <w:rFonts w:hint="eastAsia" w:ascii="宋体" w:hAnsi="宋体" w:eastAsia="宋体" w:cs="宋体"/>
          <w:kern w:val="0"/>
          <w:sz w:val="21"/>
          <w:szCs w:val="21"/>
          <w:highlight w:val="none"/>
          <w:lang w:val="en-US" w:eastAsia="zh-CN" w:bidi="ar-SA"/>
        </w:rPr>
        <w:t>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因承包人原因造成工期延误，逾期竣工违约金的上限：逾期竣工的单位工程结算造价的30%。</w:t>
      </w:r>
    </w:p>
    <w:p w14:paraId="684DCA78">
      <w:pPr>
        <w:pStyle w:val="27"/>
        <w:numPr>
          <w:ilvl w:val="0"/>
          <w:numId w:val="0"/>
        </w:numPr>
        <w:spacing w:line="360" w:lineRule="auto"/>
        <w:ind w:leftChars="0"/>
        <w:rPr>
          <w:rFonts w:hint="eastAsia" w:ascii="宋体" w:hAnsi="宋体" w:eastAsia="宋体" w:cs="宋体"/>
          <w:kern w:val="0"/>
          <w:sz w:val="21"/>
          <w:szCs w:val="21"/>
          <w:highlight w:val="none"/>
          <w:lang w:val="zh-CN" w:eastAsia="zh-CN" w:bidi="ar-SA"/>
        </w:rPr>
      </w:pPr>
      <w:r>
        <w:rPr>
          <w:rFonts w:hint="eastAsia" w:cs="宋体"/>
          <w:kern w:val="0"/>
          <w:sz w:val="21"/>
          <w:szCs w:val="21"/>
          <w:highlight w:val="none"/>
          <w:lang w:val="en-US" w:eastAsia="zh-CN" w:bidi="ar-SA"/>
        </w:rPr>
        <w:t>6、</w:t>
      </w:r>
      <w:r>
        <w:rPr>
          <w:rFonts w:hint="eastAsia" w:ascii="宋体" w:hAnsi="宋体" w:eastAsia="宋体" w:cs="宋体"/>
          <w:kern w:val="0"/>
          <w:sz w:val="21"/>
          <w:szCs w:val="21"/>
          <w:highlight w:val="none"/>
          <w:lang w:val="zh-CN" w:eastAsia="zh-CN" w:bidi="ar-SA"/>
        </w:rPr>
        <w:t>验收标准：符合现行国家相关标准、行业标准、地方标准或者其他标准、规范。</w:t>
      </w:r>
    </w:p>
    <w:p w14:paraId="0712C68A">
      <w:pPr>
        <w:keepNext w:val="0"/>
        <w:keepLines w:val="0"/>
        <w:pageBreakBefore w:val="0"/>
        <w:widowControl w:val="0"/>
        <w:tabs>
          <w:tab w:val="left" w:pos="180"/>
          <w:tab w:val="left" w:pos="1620"/>
        </w:tabs>
        <w:kinsoku/>
        <w:wordWrap/>
        <w:overflowPunct/>
        <w:topLinePunct w:val="0"/>
        <w:autoSpaceDE/>
        <w:autoSpaceDN/>
        <w:bidi w:val="0"/>
        <w:spacing w:line="500" w:lineRule="exact"/>
        <w:jc w:val="left"/>
        <w:textAlignment w:val="auto"/>
        <w:rPr>
          <w:rFonts w:hint="eastAsia" w:ascii="宋体" w:hAnsi="宋体" w:eastAsia="宋体" w:cs="宋体"/>
          <w:b/>
          <w:bCs/>
          <w:sz w:val="21"/>
          <w:szCs w:val="21"/>
        </w:rPr>
      </w:pPr>
      <w:r>
        <w:rPr>
          <w:rFonts w:hint="eastAsia" w:ascii="宋体" w:hAnsi="宋体" w:cs="宋体"/>
          <w:b/>
          <w:bCs/>
          <w:sz w:val="21"/>
          <w:szCs w:val="21"/>
          <w:highlight w:val="none"/>
          <w:lang w:eastAsia="zh-CN"/>
        </w:rPr>
        <w:t>五</w:t>
      </w:r>
      <w:r>
        <w:rPr>
          <w:rFonts w:hint="eastAsia" w:ascii="宋体" w:hAnsi="宋体" w:eastAsia="宋体" w:cs="宋体"/>
          <w:b/>
          <w:bCs/>
          <w:sz w:val="21"/>
          <w:szCs w:val="21"/>
          <w:highlight w:val="none"/>
        </w:rPr>
        <w:t>、采购人联系方式</w:t>
      </w:r>
    </w:p>
    <w:p w14:paraId="7E6ACBEA">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称：广西医科大学第一附属医院</w:t>
      </w:r>
    </w:p>
    <w:p w14:paraId="4410805E">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    址：广西南宁市双拥路6号</w:t>
      </w:r>
    </w:p>
    <w:p w14:paraId="7A9604B1">
      <w:pPr>
        <w:pStyle w:val="15"/>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联系方式：黄工，07715356589</w:t>
      </w:r>
    </w:p>
    <w:p w14:paraId="163152B3">
      <w:pPr>
        <w:keepNext w:val="0"/>
        <w:keepLines w:val="0"/>
        <w:pageBreakBefore w:val="0"/>
        <w:widowControl w:val="0"/>
        <w:kinsoku/>
        <w:wordWrap/>
        <w:overflowPunct/>
        <w:topLinePunct w:val="0"/>
        <w:autoSpaceDE/>
        <w:autoSpaceDN/>
        <w:bidi w:val="0"/>
        <w:spacing w:after="120" w:line="500" w:lineRule="exact"/>
        <w:textAlignment w:val="auto"/>
        <w:rPr>
          <w:rFonts w:hint="eastAsia" w:ascii="宋体" w:hAnsi="宋体" w:eastAsia="宋体" w:cs="宋体"/>
          <w:b/>
          <w:bCs/>
          <w:sz w:val="21"/>
          <w:szCs w:val="21"/>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7D268763">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531913EB">
      <w:pPr>
        <w:pStyle w:val="20"/>
        <w:spacing w:line="360" w:lineRule="auto"/>
        <w:ind w:firstLine="562"/>
        <w:rPr>
          <w:rFonts w:ascii="仿宋" w:hAnsi="仿宋" w:eastAsia="仿宋" w:cs="仿宋"/>
          <w:b/>
          <w:szCs w:val="28"/>
        </w:rPr>
      </w:pPr>
    </w:p>
    <w:p w14:paraId="4FAC77B4">
      <w:pPr>
        <w:pStyle w:val="20"/>
        <w:numPr>
          <w:ilvl w:val="0"/>
          <w:numId w:val="2"/>
        </w:numPr>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rPr>
        <w:t>营业执照复印件</w:t>
      </w:r>
      <w:r>
        <w:rPr>
          <w:rFonts w:hint="eastAsia" w:ascii="仿宋" w:hAnsi="仿宋" w:eastAsia="仿宋" w:cs="仿宋"/>
          <w:bCs/>
          <w:szCs w:val="28"/>
          <w:lang w:eastAsia="zh-CN"/>
        </w:rPr>
        <w:t>；</w:t>
      </w:r>
    </w:p>
    <w:p w14:paraId="53B13524">
      <w:pPr>
        <w:pStyle w:val="20"/>
        <w:numPr>
          <w:ilvl w:val="0"/>
          <w:numId w:val="2"/>
        </w:numPr>
        <w:spacing w:line="360" w:lineRule="auto"/>
        <w:ind w:firstLine="560"/>
        <w:jc w:val="left"/>
        <w:rPr>
          <w:rFonts w:hint="eastAsia" w:ascii="仿宋" w:hAnsi="仿宋" w:eastAsia="仿宋" w:cs="仿宋"/>
          <w:bCs/>
          <w:szCs w:val="28"/>
          <w:lang w:eastAsia="zh-CN"/>
        </w:rPr>
      </w:pPr>
      <w:r>
        <w:rPr>
          <w:rFonts w:hint="eastAsia" w:ascii="仿宋" w:hAnsi="仿宋" w:eastAsia="仿宋" w:cs="仿宋"/>
          <w:bCs/>
          <w:szCs w:val="28"/>
          <w:lang w:eastAsia="zh-CN"/>
        </w:rPr>
        <w:t>【机电安装专业承包二级（含）以上】资质，具备有效的安全生产许可证；</w:t>
      </w:r>
    </w:p>
    <w:p w14:paraId="5D91914A">
      <w:pPr>
        <w:pStyle w:val="20"/>
        <w:numPr>
          <w:ilvl w:val="0"/>
          <w:numId w:val="2"/>
        </w:numPr>
        <w:spacing w:line="360" w:lineRule="auto"/>
        <w:ind w:firstLine="560"/>
        <w:jc w:val="left"/>
        <w:rPr>
          <w:rFonts w:ascii="仿宋" w:hAnsi="仿宋" w:eastAsia="仿宋" w:cs="仿宋"/>
          <w:bCs/>
          <w:szCs w:val="28"/>
        </w:rPr>
      </w:pPr>
      <w:r>
        <w:rPr>
          <w:rFonts w:hint="eastAsia" w:ascii="仿宋" w:hAnsi="仿宋" w:eastAsia="仿宋" w:cs="仿宋"/>
          <w:bCs/>
          <w:szCs w:val="28"/>
        </w:rPr>
        <w:t>法定代表人身份证明或法人授权委托书及被授权人身份证明和联系方式</w:t>
      </w:r>
      <w:r>
        <w:rPr>
          <w:rFonts w:hint="eastAsia" w:ascii="仿宋" w:hAnsi="仿宋" w:eastAsia="仿宋" w:cs="仿宋"/>
          <w:bCs/>
          <w:szCs w:val="28"/>
          <w:lang w:eastAsia="zh-CN"/>
        </w:rPr>
        <w:t>；</w:t>
      </w:r>
    </w:p>
    <w:p w14:paraId="1127AAE7">
      <w:pPr>
        <w:pStyle w:val="20"/>
        <w:numPr>
          <w:ilvl w:val="0"/>
          <w:numId w:val="2"/>
        </w:numPr>
        <w:spacing w:line="360" w:lineRule="auto"/>
        <w:ind w:firstLine="560"/>
        <w:jc w:val="left"/>
        <w:rPr>
          <w:rFonts w:ascii="仿宋" w:hAnsi="仿宋" w:eastAsia="仿宋" w:cs="仿宋"/>
          <w:bCs/>
          <w:szCs w:val="28"/>
        </w:rPr>
      </w:pPr>
      <w:r>
        <w:rPr>
          <w:rFonts w:hint="eastAsia" w:ascii="仿宋" w:hAnsi="仿宋" w:eastAsia="仿宋" w:cs="仿宋"/>
          <w:bCs/>
          <w:szCs w:val="28"/>
        </w:rPr>
        <w:t>报价表【报价不得高于</w:t>
      </w:r>
      <w:r>
        <w:rPr>
          <w:rFonts w:hint="eastAsia" w:ascii="仿宋" w:hAnsi="仿宋" w:eastAsia="仿宋" w:cs="仿宋"/>
          <w:bCs/>
          <w:szCs w:val="28"/>
          <w:lang w:eastAsia="zh-CN"/>
        </w:rPr>
        <w:t>控制价</w:t>
      </w:r>
      <w:r>
        <w:rPr>
          <w:rFonts w:hint="eastAsia" w:ascii="仿宋" w:hAnsi="仿宋" w:eastAsia="仿宋" w:cs="仿宋"/>
          <w:bCs/>
          <w:szCs w:val="28"/>
        </w:rPr>
        <w:t>，仅一次报价】；</w:t>
      </w:r>
    </w:p>
    <w:p w14:paraId="0A9185B9">
      <w:pPr>
        <w:pStyle w:val="20"/>
        <w:numPr>
          <w:ilvl w:val="0"/>
          <w:numId w:val="2"/>
        </w:numPr>
        <w:spacing w:line="360" w:lineRule="auto"/>
        <w:ind w:firstLine="560"/>
        <w:jc w:val="left"/>
        <w:rPr>
          <w:rFonts w:hint="default" w:ascii="仿宋" w:hAnsi="仿宋" w:eastAsia="仿宋" w:cs="仿宋"/>
          <w:bCs/>
          <w:szCs w:val="28"/>
          <w:highlight w:val="none"/>
          <w:lang w:val="en-US" w:eastAsia="zh-CN"/>
        </w:rPr>
      </w:pPr>
      <w:r>
        <w:rPr>
          <w:rFonts w:hint="eastAsia" w:ascii="仿宋" w:hAnsi="仿宋" w:eastAsia="仿宋" w:cs="仿宋"/>
          <w:bCs/>
          <w:szCs w:val="28"/>
        </w:rPr>
        <w:t>声明函、公司直接控股股东信息表、公司直接管理关系信息表</w:t>
      </w:r>
    </w:p>
    <w:p w14:paraId="46470419">
      <w:pPr>
        <w:pStyle w:val="20"/>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6F06FC05">
      <w:pPr>
        <w:ind w:firstLine="560" w:firstLineChars="200"/>
        <w:rPr>
          <w:rFonts w:ascii="仿宋" w:hAnsi="仿宋" w:eastAsia="仿宋" w:cs="仿宋"/>
          <w:bCs/>
          <w:sz w:val="28"/>
          <w:szCs w:val="28"/>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备注：资料要求密封并加盖单位公章，所提交资</w:t>
      </w:r>
      <w:r>
        <w:rPr>
          <w:rFonts w:hint="eastAsia" w:ascii="仿宋" w:hAnsi="仿宋" w:eastAsia="仿宋" w:cs="仿宋"/>
          <w:bCs/>
          <w:sz w:val="28"/>
          <w:szCs w:val="28"/>
          <w:highlight w:val="none"/>
        </w:rPr>
        <w:t>料恕不退回，请按要求准备文件，如未按要求提供资料，视为不能响</w:t>
      </w:r>
      <w:bookmarkStart w:id="4" w:name="_GoBack"/>
      <w:bookmarkEnd w:id="4"/>
      <w:r>
        <w:rPr>
          <w:rFonts w:hint="eastAsia" w:ascii="仿宋" w:hAnsi="仿宋" w:eastAsia="仿宋" w:cs="仿宋"/>
          <w:bCs/>
          <w:sz w:val="28"/>
          <w:szCs w:val="28"/>
          <w:highlight w:val="none"/>
        </w:rPr>
        <w:t>应需求。提交时间为2025年12月11日上午8:00—9:00，逾期不予受理（可提前提交）。递</w:t>
      </w:r>
      <w:r>
        <w:rPr>
          <w:rFonts w:hint="eastAsia" w:ascii="仿宋" w:hAnsi="仿宋" w:eastAsia="仿宋" w:cs="仿宋"/>
          <w:bCs/>
          <w:sz w:val="28"/>
          <w:szCs w:val="28"/>
        </w:rPr>
        <w:t>交或邮寄地址：广西南宁市青秀区中山街道广西医科大学附属小学对面培训中心办公区，黄工</w:t>
      </w:r>
      <w:r>
        <w:rPr>
          <w:rFonts w:ascii="仿宋" w:hAnsi="仿宋" w:eastAsia="仿宋" w:cs="仿宋"/>
          <w:bCs/>
          <w:sz w:val="28"/>
          <w:szCs w:val="28"/>
        </w:rPr>
        <w:t>0771</w:t>
      </w:r>
      <w:r>
        <w:rPr>
          <w:rFonts w:hint="eastAsia" w:ascii="仿宋" w:hAnsi="仿宋" w:eastAsia="仿宋" w:cs="仿宋"/>
          <w:bCs/>
          <w:sz w:val="28"/>
          <w:szCs w:val="28"/>
          <w:lang w:val="en-US" w:eastAsia="zh-CN"/>
        </w:rPr>
        <w:t>-</w:t>
      </w:r>
      <w:r>
        <w:rPr>
          <w:rFonts w:ascii="仿宋" w:hAnsi="仿宋" w:eastAsia="仿宋" w:cs="仿宋"/>
          <w:bCs/>
          <w:sz w:val="28"/>
          <w:szCs w:val="28"/>
        </w:rPr>
        <w:t>5356589</w:t>
      </w:r>
      <w:r>
        <w:rPr>
          <w:rFonts w:hint="eastAsia" w:ascii="仿宋" w:hAnsi="仿宋" w:eastAsia="仿宋" w:cs="仿宋"/>
          <w:bCs/>
          <w:sz w:val="28"/>
          <w:szCs w:val="28"/>
        </w:rPr>
        <w:t>。</w:t>
      </w:r>
    </w:p>
    <w:p w14:paraId="46878E2E">
      <w:pPr>
        <w:tabs>
          <w:tab w:val="left" w:pos="3479"/>
        </w:tabs>
        <w:spacing w:line="520" w:lineRule="exact"/>
        <w:jc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lang w:eastAsia="zh-CN"/>
        </w:rPr>
        <w:t>文件格式</w:t>
      </w:r>
    </w:p>
    <w:p w14:paraId="3399E8F3">
      <w:pPr>
        <w:tabs>
          <w:tab w:val="left" w:pos="3479"/>
        </w:tabs>
        <w:spacing w:line="520" w:lineRule="exact"/>
        <w:jc w:val="center"/>
        <w:rPr>
          <w:rFonts w:hint="eastAsia" w:ascii="方正小标宋简体" w:hAnsi="方正小标宋简体" w:eastAsia="方正小标宋简体" w:cs="方正小标宋简体"/>
          <w:bCs/>
          <w:color w:val="000000"/>
          <w:sz w:val="44"/>
          <w:szCs w:val="44"/>
          <w:lang w:eastAsia="zh-CN"/>
        </w:rPr>
      </w:pPr>
    </w:p>
    <w:p w14:paraId="5E15A835">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1.营业执照复印件；</w:t>
      </w:r>
      <w:r>
        <w:rPr>
          <w:rFonts w:hint="eastAsia" w:ascii="宋体" w:hAnsi="宋体" w:cs="宋体"/>
          <w:bCs/>
          <w:color w:val="000000"/>
          <w:sz w:val="21"/>
          <w:szCs w:val="21"/>
          <w:lang w:eastAsia="zh-CN"/>
        </w:rPr>
        <w:t>（格式自拟）</w:t>
      </w:r>
    </w:p>
    <w:p w14:paraId="077E40F1">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2.【机电安装专业承包二级（含）以上】资质，具备有效的安全生产许可证；</w:t>
      </w:r>
      <w:r>
        <w:rPr>
          <w:rFonts w:hint="eastAsia" w:ascii="宋体" w:hAnsi="宋体" w:cs="宋体"/>
          <w:bCs/>
          <w:color w:val="000000"/>
          <w:sz w:val="21"/>
          <w:szCs w:val="21"/>
          <w:lang w:eastAsia="zh-CN"/>
        </w:rPr>
        <w:t>（格式自拟）</w:t>
      </w:r>
    </w:p>
    <w:p w14:paraId="52004CDA">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3.法定代表人身份证明或法人授权委托书及被授权人身份证明和联系方式；</w:t>
      </w:r>
      <w:r>
        <w:rPr>
          <w:rFonts w:hint="eastAsia" w:ascii="宋体" w:hAnsi="宋体" w:cs="宋体"/>
          <w:bCs/>
          <w:color w:val="000000"/>
          <w:sz w:val="21"/>
          <w:szCs w:val="21"/>
          <w:lang w:eastAsia="zh-CN"/>
        </w:rPr>
        <w:t>（格式自拟）</w:t>
      </w:r>
    </w:p>
    <w:p w14:paraId="6FA2FEEF">
      <w:pPr>
        <w:tabs>
          <w:tab w:val="left" w:pos="3479"/>
        </w:tabs>
        <w:spacing w:line="520" w:lineRule="exact"/>
        <w:jc w:val="left"/>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4.报价表【报价不得高于控制价，仅一次报价】；</w:t>
      </w:r>
      <w:r>
        <w:rPr>
          <w:rFonts w:hint="eastAsia" w:ascii="宋体" w:hAnsi="宋体" w:cs="宋体"/>
          <w:bCs/>
          <w:color w:val="000000"/>
          <w:sz w:val="21"/>
          <w:szCs w:val="21"/>
          <w:lang w:eastAsia="zh-CN"/>
        </w:rPr>
        <w:t>（格式详见附件</w:t>
      </w:r>
      <w:r>
        <w:rPr>
          <w:rFonts w:hint="eastAsia" w:ascii="宋体" w:hAnsi="宋体" w:cs="宋体"/>
          <w:bCs/>
          <w:color w:val="000000"/>
          <w:sz w:val="21"/>
          <w:szCs w:val="21"/>
          <w:lang w:val="en-US" w:eastAsia="zh-CN"/>
        </w:rPr>
        <w:t>2：工程量清单</w:t>
      </w:r>
      <w:r>
        <w:rPr>
          <w:rFonts w:hint="eastAsia" w:ascii="宋体" w:hAnsi="宋体" w:cs="宋体"/>
          <w:bCs/>
          <w:color w:val="000000"/>
          <w:sz w:val="21"/>
          <w:szCs w:val="21"/>
          <w:lang w:eastAsia="zh-CN"/>
        </w:rPr>
        <w:t>）</w:t>
      </w:r>
    </w:p>
    <w:p w14:paraId="5A111DC5">
      <w:pPr>
        <w:tabs>
          <w:tab w:val="left" w:pos="3479"/>
        </w:tabs>
        <w:spacing w:line="520" w:lineRule="exact"/>
        <w:jc w:val="left"/>
        <w:rPr>
          <w:rFonts w:hint="eastAsia" w:ascii="宋体" w:hAnsi="宋体" w:eastAsia="宋体" w:cs="宋体"/>
          <w:bCs/>
          <w:color w:val="000000"/>
          <w:sz w:val="21"/>
          <w:szCs w:val="21"/>
          <w:lang w:eastAsia="zh-CN"/>
        </w:rPr>
        <w:sectPr>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bCs/>
          <w:color w:val="000000"/>
          <w:sz w:val="21"/>
          <w:szCs w:val="21"/>
          <w:lang w:eastAsia="zh-CN"/>
        </w:rPr>
        <w:t>5.声明函、公司直接控股股东信息表、公司直接管理关系信息表</w:t>
      </w:r>
      <w:r>
        <w:rPr>
          <w:rFonts w:hint="eastAsia" w:ascii="宋体" w:hAnsi="宋体" w:cs="宋体"/>
          <w:bCs/>
          <w:color w:val="000000"/>
          <w:sz w:val="21"/>
          <w:szCs w:val="21"/>
          <w:lang w:eastAsia="zh-CN"/>
        </w:rPr>
        <w:t>（固定格式）</w:t>
      </w:r>
    </w:p>
    <w:p w14:paraId="0F69B548">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41AC0277">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7FB23DAA">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ascii="宋体" w:hAnsi="宋体" w:cs="宋体"/>
          <w:color w:val="000000"/>
          <w:kern w:val="0"/>
          <w:szCs w:val="21"/>
          <w:highlight w:val="none"/>
          <w:u w:val="single"/>
          <w:lang w:eastAsia="zh-CN"/>
        </w:rPr>
        <w:t>东盟楼空调交换机房蒸汽进气阀组、疏水阀组安装工程</w:t>
      </w:r>
      <w:r>
        <w:rPr>
          <w:rFonts w:hint="eastAsia" w:ascii="宋体" w:hAnsi="宋体" w:cs="宋体"/>
          <w:color w:val="000000"/>
          <w:szCs w:val="21"/>
          <w:u w:val="single"/>
        </w:rPr>
        <w:t>项目</w:t>
      </w:r>
      <w:r>
        <w:rPr>
          <w:rFonts w:hint="eastAsia" w:ascii="宋体" w:hAnsi="宋体" w:cs="宋体"/>
          <w:color w:val="000000"/>
          <w:szCs w:val="21"/>
        </w:rPr>
        <w:t>的竞标，为便于贵方公正、择优地确定</w:t>
      </w:r>
      <w:r>
        <w:rPr>
          <w:rFonts w:hint="eastAsia" w:ascii="宋体" w:hAnsi="宋体" w:cs="宋体"/>
          <w:color w:val="000000"/>
          <w:szCs w:val="21"/>
          <w:lang w:eastAsia="zh-CN"/>
        </w:rPr>
        <w:t>供应商</w:t>
      </w:r>
      <w:r>
        <w:rPr>
          <w:rFonts w:hint="eastAsia" w:ascii="宋体" w:hAnsi="宋体" w:cs="宋体"/>
          <w:color w:val="000000"/>
          <w:szCs w:val="21"/>
        </w:rPr>
        <w:t>，我方声明如下：</w:t>
      </w:r>
    </w:p>
    <w:p w14:paraId="2C16B8C9">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51FAC03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2A284CAE">
      <w:pPr>
        <w:pStyle w:val="18"/>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694B18FE">
      <w:pPr>
        <w:pStyle w:val="18"/>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49632361">
      <w:pPr>
        <w:pStyle w:val="18"/>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6E8F6EFE">
      <w:pPr>
        <w:pStyle w:val="18"/>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609FCECC">
      <w:pPr>
        <w:pStyle w:val="18"/>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66D77C1F">
      <w:pPr>
        <w:pStyle w:val="18"/>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2E8FB5F6">
      <w:pPr>
        <w:pStyle w:val="18"/>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31B05D1B">
      <w:pPr>
        <w:pStyle w:val="18"/>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w:t>
      </w:r>
      <w:r>
        <w:rPr>
          <w:rFonts w:hint="eastAsia" w:cs="宋体"/>
          <w:color w:val="000000"/>
          <w:sz w:val="21"/>
          <w:szCs w:val="21"/>
          <w:lang w:eastAsia="zh-CN"/>
        </w:rPr>
        <w:t>评审小组</w:t>
      </w:r>
      <w:r>
        <w:rPr>
          <w:rFonts w:hint="eastAsia" w:cs="宋体"/>
          <w:color w:val="000000"/>
          <w:sz w:val="21"/>
          <w:szCs w:val="21"/>
        </w:rPr>
        <w:t>成员行贿或者提供其他不正当利益。</w:t>
      </w:r>
      <w:r>
        <w:rPr>
          <w:rFonts w:cs="宋体"/>
          <w:color w:val="000000"/>
          <w:sz w:val="21"/>
          <w:szCs w:val="21"/>
        </w:rPr>
        <w:t xml:space="preserve"> </w:t>
      </w:r>
    </w:p>
    <w:p w14:paraId="69CD0740">
      <w:pPr>
        <w:pStyle w:val="18"/>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48E3CBEF">
      <w:pPr>
        <w:pStyle w:val="18"/>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60F8CEFE">
      <w:pPr>
        <w:pStyle w:val="18"/>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0051B4A7">
      <w:pPr>
        <w:pStyle w:val="18"/>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1B7BFAE5">
      <w:pPr>
        <w:pStyle w:val="18"/>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供应商擅自变更、中止或者终止采购合同。</w:t>
      </w:r>
      <w:r>
        <w:rPr>
          <w:rFonts w:cs="宋体"/>
          <w:color w:val="000000"/>
          <w:sz w:val="21"/>
          <w:szCs w:val="21"/>
        </w:rPr>
        <w:t xml:space="preserve"> </w:t>
      </w:r>
    </w:p>
    <w:p w14:paraId="4D136635">
      <w:pPr>
        <w:pStyle w:val="18"/>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1FB79315">
      <w:pPr>
        <w:pStyle w:val="18"/>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016DD7E7">
      <w:pPr>
        <w:pStyle w:val="18"/>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2D8FC242">
      <w:pPr>
        <w:pStyle w:val="18"/>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1088462F">
      <w:pPr>
        <w:pStyle w:val="18"/>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5FE2B90D">
      <w:pPr>
        <w:pStyle w:val="18"/>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C4A6A35">
      <w:pPr>
        <w:pStyle w:val="18"/>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0B49BC2F">
      <w:pPr>
        <w:pStyle w:val="18"/>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5CD4D5AA">
      <w:pPr>
        <w:pStyle w:val="18"/>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46E75807">
      <w:pPr>
        <w:pStyle w:val="18"/>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36D7FB0D">
      <w:pPr>
        <w:pStyle w:val="18"/>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E869C45">
      <w:pPr>
        <w:pStyle w:val="18"/>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5F7B9937">
      <w:pPr>
        <w:pStyle w:val="18"/>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28A23C4F">
      <w:pPr>
        <w:pStyle w:val="18"/>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91B0A1E">
      <w:pPr>
        <w:pStyle w:val="18"/>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12439DF7">
      <w:pPr>
        <w:pStyle w:val="18"/>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3F4FC7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2124C75">
      <w:pPr>
        <w:snapToGrid w:val="0"/>
        <w:spacing w:before="50" w:afterLines="100" w:line="360" w:lineRule="auto"/>
        <w:ind w:left="7428" w:leftChars="2223" w:hanging="2760" w:hangingChars="1150"/>
        <w:jc w:val="left"/>
        <w:rPr>
          <w:rFonts w:ascii="宋体" w:hAnsi="宋体" w:cs="宋体"/>
          <w:color w:val="000000"/>
          <w:sz w:val="24"/>
        </w:rPr>
      </w:pPr>
    </w:p>
    <w:p w14:paraId="670E30E4">
      <w:pPr>
        <w:snapToGrid w:val="0"/>
        <w:spacing w:before="50" w:afterLines="100" w:line="360" w:lineRule="auto"/>
        <w:ind w:left="7428" w:leftChars="2223" w:hanging="2760" w:hangingChars="1150"/>
        <w:jc w:val="left"/>
        <w:rPr>
          <w:rFonts w:ascii="宋体" w:hAnsi="宋体" w:cs="宋体"/>
          <w:color w:val="000000"/>
          <w:sz w:val="24"/>
        </w:rPr>
      </w:pPr>
    </w:p>
    <w:p w14:paraId="7E3A73B4">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21DF31CD">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A04F47B">
      <w:pPr>
        <w:snapToGrid w:val="0"/>
        <w:spacing w:before="50" w:afterLines="50" w:line="360" w:lineRule="auto"/>
        <w:jc w:val="center"/>
        <w:rPr>
          <w:rFonts w:ascii="宋体" w:hAnsi="宋体" w:cs="宋体"/>
          <w:b/>
          <w:color w:val="000000"/>
          <w:kern w:val="0"/>
          <w:sz w:val="32"/>
          <w:szCs w:val="32"/>
        </w:rPr>
      </w:pPr>
    </w:p>
    <w:p w14:paraId="3BDEE264">
      <w:pPr>
        <w:snapToGrid w:val="0"/>
        <w:spacing w:before="50" w:afterLines="50" w:line="360" w:lineRule="auto"/>
        <w:jc w:val="center"/>
        <w:rPr>
          <w:rFonts w:ascii="宋体" w:hAnsi="宋体" w:cs="宋体"/>
          <w:b/>
          <w:color w:val="000000"/>
          <w:kern w:val="0"/>
          <w:sz w:val="32"/>
          <w:szCs w:val="32"/>
        </w:rPr>
      </w:pPr>
    </w:p>
    <w:p w14:paraId="58AB165D">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FC66D6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1883A">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55BBE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714E46">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F3237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7DC55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75BBC7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63FB34">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1633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6CA5C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ADF6C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76D4D">
            <w:pPr>
              <w:spacing w:line="360" w:lineRule="auto"/>
              <w:jc w:val="center"/>
              <w:rPr>
                <w:rFonts w:ascii="宋体" w:hAnsi="宋体" w:cs="宋体"/>
                <w:color w:val="000000"/>
                <w:kern w:val="0"/>
                <w:sz w:val="24"/>
              </w:rPr>
            </w:pPr>
          </w:p>
        </w:tc>
      </w:tr>
      <w:tr w14:paraId="67D0378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C05185">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4C429">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B47B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AD49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64F2C">
            <w:pPr>
              <w:spacing w:line="360" w:lineRule="auto"/>
              <w:jc w:val="center"/>
              <w:rPr>
                <w:rFonts w:ascii="宋体" w:hAnsi="宋体" w:cs="宋体"/>
                <w:color w:val="000000"/>
                <w:kern w:val="0"/>
                <w:sz w:val="24"/>
              </w:rPr>
            </w:pPr>
          </w:p>
        </w:tc>
      </w:tr>
      <w:tr w14:paraId="31BA70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14143">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D7D14C">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E99DDE">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751F0">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7F7422">
            <w:pPr>
              <w:spacing w:line="360" w:lineRule="auto"/>
              <w:jc w:val="center"/>
              <w:rPr>
                <w:rFonts w:ascii="宋体" w:hAnsi="宋体" w:cs="宋体"/>
                <w:color w:val="000000"/>
                <w:kern w:val="0"/>
                <w:sz w:val="24"/>
              </w:rPr>
            </w:pPr>
          </w:p>
        </w:tc>
      </w:tr>
      <w:tr w14:paraId="70264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310826">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D0E607">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45DB3">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AC9A95">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41AC2B">
            <w:pPr>
              <w:spacing w:line="360" w:lineRule="auto"/>
              <w:jc w:val="center"/>
              <w:rPr>
                <w:rFonts w:ascii="宋体" w:hAnsi="宋体" w:cs="宋体"/>
                <w:color w:val="000000"/>
                <w:kern w:val="0"/>
                <w:sz w:val="24"/>
              </w:rPr>
            </w:pPr>
          </w:p>
        </w:tc>
      </w:tr>
    </w:tbl>
    <w:p w14:paraId="7250B878">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0BFE2D6C">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4194F0">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2210EA3C">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0DAC3DBE">
      <w:pPr>
        <w:snapToGrid w:val="0"/>
        <w:spacing w:line="360" w:lineRule="auto"/>
        <w:jc w:val="left"/>
        <w:rPr>
          <w:rFonts w:ascii="宋体" w:hAnsi="宋体" w:cs="宋体"/>
          <w:color w:val="000000"/>
          <w:sz w:val="24"/>
        </w:rPr>
      </w:pPr>
    </w:p>
    <w:p w14:paraId="65EC5BD2">
      <w:pPr>
        <w:snapToGrid w:val="0"/>
        <w:spacing w:line="360" w:lineRule="auto"/>
        <w:jc w:val="left"/>
        <w:rPr>
          <w:rFonts w:ascii="宋体" w:hAnsi="宋体" w:cs="宋体"/>
          <w:color w:val="000000"/>
          <w:sz w:val="24"/>
        </w:rPr>
      </w:pPr>
    </w:p>
    <w:p w14:paraId="0DFB335E">
      <w:pPr>
        <w:snapToGrid w:val="0"/>
        <w:spacing w:line="360" w:lineRule="auto"/>
        <w:jc w:val="left"/>
        <w:rPr>
          <w:rFonts w:ascii="宋体" w:hAnsi="宋体" w:cs="宋体"/>
          <w:color w:val="000000"/>
          <w:sz w:val="24"/>
        </w:rPr>
      </w:pPr>
    </w:p>
    <w:p w14:paraId="2DDCED75">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05FCE45">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2BF3516E">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28BE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FA8DB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7DD3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D60FB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14B51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01CAA5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21EDC2">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1D41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C882A7">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33F405">
            <w:pPr>
              <w:spacing w:line="360" w:lineRule="auto"/>
              <w:jc w:val="center"/>
              <w:rPr>
                <w:rFonts w:ascii="宋体" w:hAnsi="宋体" w:cs="宋体"/>
                <w:color w:val="000000"/>
                <w:kern w:val="0"/>
                <w:sz w:val="24"/>
              </w:rPr>
            </w:pPr>
          </w:p>
        </w:tc>
      </w:tr>
      <w:tr w14:paraId="3DE8F9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77613F">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4EDF1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6DAA0D">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AE33">
            <w:pPr>
              <w:spacing w:line="360" w:lineRule="auto"/>
              <w:jc w:val="center"/>
              <w:rPr>
                <w:rFonts w:ascii="宋体" w:hAnsi="宋体" w:cs="宋体"/>
                <w:color w:val="000000"/>
                <w:kern w:val="0"/>
                <w:sz w:val="24"/>
              </w:rPr>
            </w:pPr>
          </w:p>
        </w:tc>
      </w:tr>
      <w:tr w14:paraId="27BF39C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4D13EB">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457BF">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1908">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D978AE">
            <w:pPr>
              <w:spacing w:line="360" w:lineRule="auto"/>
              <w:jc w:val="center"/>
              <w:rPr>
                <w:rFonts w:ascii="宋体" w:hAnsi="宋体" w:cs="宋体"/>
                <w:color w:val="000000"/>
                <w:kern w:val="0"/>
                <w:sz w:val="24"/>
              </w:rPr>
            </w:pPr>
          </w:p>
        </w:tc>
      </w:tr>
      <w:tr w14:paraId="52739B1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477EB">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12CDD9">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E3E20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3FEA4A">
            <w:pPr>
              <w:spacing w:line="360" w:lineRule="auto"/>
              <w:jc w:val="center"/>
              <w:rPr>
                <w:rFonts w:ascii="宋体" w:hAnsi="宋体" w:cs="宋体"/>
                <w:color w:val="000000"/>
                <w:kern w:val="0"/>
                <w:sz w:val="24"/>
              </w:rPr>
            </w:pPr>
          </w:p>
        </w:tc>
      </w:tr>
    </w:tbl>
    <w:p w14:paraId="28F66591">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49BDFB92">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CEE9F2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69DC5BE8">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69DFCA63">
      <w:pPr>
        <w:snapToGrid w:val="0"/>
        <w:spacing w:line="360" w:lineRule="auto"/>
        <w:jc w:val="left"/>
        <w:rPr>
          <w:rFonts w:ascii="宋体" w:hAnsi="宋体" w:cs="宋体"/>
          <w:color w:val="000000"/>
          <w:sz w:val="24"/>
        </w:rPr>
      </w:pPr>
    </w:p>
    <w:p w14:paraId="1775CD1C">
      <w:pPr>
        <w:snapToGrid w:val="0"/>
        <w:spacing w:line="360" w:lineRule="auto"/>
        <w:jc w:val="left"/>
        <w:rPr>
          <w:rFonts w:ascii="宋体" w:hAnsi="宋体" w:cs="宋体"/>
          <w:color w:val="000000"/>
          <w:sz w:val="24"/>
        </w:rPr>
      </w:pPr>
    </w:p>
    <w:p w14:paraId="4BF46407">
      <w:pPr>
        <w:snapToGrid w:val="0"/>
        <w:spacing w:line="360" w:lineRule="auto"/>
        <w:jc w:val="left"/>
        <w:rPr>
          <w:rFonts w:ascii="宋体" w:hAnsi="宋体" w:cs="宋体"/>
          <w:color w:val="000000"/>
          <w:sz w:val="24"/>
        </w:rPr>
      </w:pPr>
    </w:p>
    <w:p w14:paraId="4EB8F5C3">
      <w:pPr>
        <w:snapToGrid w:val="0"/>
        <w:spacing w:line="360" w:lineRule="auto"/>
        <w:jc w:val="left"/>
        <w:rPr>
          <w:rFonts w:ascii="宋体" w:hAnsi="宋体" w:cs="宋体"/>
          <w:color w:val="000000"/>
          <w:sz w:val="24"/>
        </w:rPr>
      </w:pPr>
    </w:p>
    <w:p w14:paraId="7745E4C7">
      <w:pPr>
        <w:snapToGrid w:val="0"/>
        <w:spacing w:line="360" w:lineRule="auto"/>
        <w:jc w:val="left"/>
        <w:rPr>
          <w:rFonts w:ascii="宋体" w:hAnsi="宋体" w:cs="宋体"/>
          <w:color w:val="000000"/>
          <w:sz w:val="24"/>
        </w:rPr>
      </w:pPr>
    </w:p>
    <w:p w14:paraId="7B0AA6C8">
      <w:pPr>
        <w:snapToGrid w:val="0"/>
        <w:spacing w:line="360" w:lineRule="auto"/>
        <w:jc w:val="left"/>
        <w:rPr>
          <w:rFonts w:ascii="宋体" w:hAnsi="宋体" w:cs="宋体"/>
          <w:color w:val="000000"/>
          <w:sz w:val="24"/>
        </w:rPr>
      </w:pPr>
    </w:p>
    <w:p w14:paraId="78A223F1">
      <w:pPr>
        <w:snapToGrid w:val="0"/>
        <w:spacing w:line="360" w:lineRule="auto"/>
        <w:jc w:val="left"/>
        <w:rPr>
          <w:rFonts w:ascii="宋体" w:hAnsi="宋体" w:cs="宋体"/>
          <w:color w:val="000000"/>
          <w:sz w:val="24"/>
        </w:rPr>
      </w:pPr>
    </w:p>
    <w:p w14:paraId="0FF5E3B2">
      <w:pPr>
        <w:snapToGrid w:val="0"/>
        <w:spacing w:line="360" w:lineRule="auto"/>
        <w:jc w:val="left"/>
        <w:rPr>
          <w:rFonts w:ascii="宋体" w:hAnsi="宋体" w:cs="宋体"/>
          <w:color w:val="000000"/>
          <w:sz w:val="24"/>
        </w:rPr>
      </w:pPr>
    </w:p>
    <w:p w14:paraId="5A43F533">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08EBB4C">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2BFB2C5E">
      <w:pPr>
        <w:snapToGrid w:val="0"/>
        <w:spacing w:before="50" w:afterLines="50"/>
        <w:jc w:val="right"/>
        <w:rPr>
          <w:rFonts w:ascii="宋体" w:hAnsi="宋体" w:cs="宋体"/>
          <w:color w:val="000000"/>
          <w:szCs w:val="21"/>
        </w:rPr>
      </w:pPr>
    </w:p>
    <w:p w14:paraId="01A53636">
      <w:pPr>
        <w:snapToGrid w:val="0"/>
        <w:spacing w:before="50" w:afterLines="50"/>
        <w:jc w:val="right"/>
        <w:rPr>
          <w:rFonts w:ascii="宋体" w:hAnsi="宋体" w:cs="宋体"/>
          <w:color w:val="000000"/>
          <w:szCs w:val="21"/>
        </w:rPr>
      </w:pPr>
    </w:p>
    <w:p w14:paraId="50F392B8">
      <w:pPr>
        <w:snapToGrid w:val="0"/>
        <w:spacing w:before="50" w:afterLines="50"/>
        <w:jc w:val="right"/>
        <w:rPr>
          <w:rFonts w:ascii="宋体" w:hAnsi="宋体" w:cs="宋体"/>
          <w:color w:val="000000"/>
          <w:szCs w:val="21"/>
        </w:rPr>
      </w:pPr>
    </w:p>
    <w:p w14:paraId="3295E2AE">
      <w:pPr>
        <w:snapToGrid w:val="0"/>
        <w:spacing w:before="50" w:afterLines="50"/>
        <w:jc w:val="right"/>
        <w:rPr>
          <w:rFonts w:ascii="宋体" w:hAnsi="宋体" w:cs="宋体"/>
          <w:color w:val="000000"/>
          <w:szCs w:val="21"/>
        </w:rPr>
      </w:pPr>
    </w:p>
    <w:p w14:paraId="623DA1C2">
      <w:pPr>
        <w:snapToGrid w:val="0"/>
        <w:spacing w:before="50" w:afterLines="50"/>
        <w:jc w:val="right"/>
        <w:rPr>
          <w:rFonts w:ascii="宋体" w:hAnsi="宋体" w:cs="宋体"/>
          <w:color w:val="000000"/>
          <w:szCs w:val="21"/>
        </w:rPr>
      </w:pPr>
    </w:p>
    <w:p w14:paraId="4387A90C">
      <w:pPr>
        <w:snapToGrid w:val="0"/>
        <w:spacing w:before="50" w:afterLines="50"/>
        <w:jc w:val="right"/>
        <w:rPr>
          <w:rFonts w:ascii="宋体" w:hAnsi="宋体" w:cs="宋体"/>
          <w:color w:val="000000"/>
          <w:szCs w:val="21"/>
        </w:rPr>
      </w:pPr>
    </w:p>
    <w:p w14:paraId="5E9F6704">
      <w:pPr>
        <w:snapToGrid w:val="0"/>
        <w:spacing w:before="50" w:afterLines="50"/>
        <w:jc w:val="center"/>
        <w:rPr>
          <w:rFonts w:hint="eastAsia" w:ascii="宋体" w:hAnsi="宋体" w:cs="宋体"/>
          <w:b/>
          <w:color w:val="000000"/>
          <w:sz w:val="36"/>
          <w:szCs w:val="36"/>
        </w:rPr>
        <w:sectPr>
          <w:pgSz w:w="11906" w:h="16838"/>
          <w:pgMar w:top="1418" w:right="1555" w:bottom="1418" w:left="1531" w:header="851" w:footer="992" w:gutter="0"/>
          <w:pgNumType w:fmt="decimal"/>
          <w:cols w:space="720" w:num="1"/>
          <w:titlePg/>
          <w:docGrid w:type="lines" w:linePitch="312" w:charSpace="0"/>
        </w:sectPr>
      </w:pPr>
    </w:p>
    <w:p w14:paraId="1119A3FD">
      <w:pPr>
        <w:pStyle w:val="13"/>
        <w:snapToGrid/>
        <w:spacing w:before="0" w:after="0" w:line="240" w:lineRule="auto"/>
        <w:jc w:val="center"/>
        <w:outlineLvl w:val="9"/>
        <w:rPr>
          <w:rFonts w:ascii="Times New Roman" w:hAnsi="Times New Roman" w:cs="Times New Roman"/>
          <w:sz w:val="32"/>
          <w:szCs w:val="32"/>
        </w:rPr>
      </w:pPr>
      <w:r>
        <w:rPr>
          <w:rFonts w:ascii="Times New Roman" w:hAnsi="Times New Roman" w:cs="Times New Roman"/>
          <w:sz w:val="32"/>
          <w:szCs w:val="32"/>
        </w:rPr>
        <w:t>评审方法及评审标准</w:t>
      </w:r>
    </w:p>
    <w:p w14:paraId="14D4F111">
      <w:pPr>
        <w:spacing w:before="120" w:line="320" w:lineRule="atLeast"/>
        <w:ind w:firstLine="413" w:firstLineChars="196"/>
        <w:outlineLvl w:val="9"/>
        <w:rPr>
          <w:b/>
          <w:bCs/>
          <w:kern w:val="0"/>
          <w:szCs w:val="21"/>
        </w:rPr>
      </w:pPr>
      <w:r>
        <w:rPr>
          <w:b/>
          <w:bCs/>
          <w:kern w:val="0"/>
          <w:szCs w:val="21"/>
        </w:rPr>
        <w:t>一、评审总则</w:t>
      </w:r>
    </w:p>
    <w:p w14:paraId="74DC52C4">
      <w:pPr>
        <w:suppressAutoHyphens/>
        <w:spacing w:before="120" w:line="320" w:lineRule="atLeast"/>
        <w:ind w:firstLine="420" w:firstLineChars="200"/>
        <w:rPr>
          <w:bCs/>
          <w:kern w:val="1"/>
          <w:szCs w:val="21"/>
        </w:rPr>
      </w:pPr>
      <w:r>
        <w:rPr>
          <w:rFonts w:hint="eastAsia"/>
          <w:kern w:val="1"/>
          <w:szCs w:val="21"/>
        </w:rPr>
        <w:t>1、</w:t>
      </w:r>
      <w:r>
        <w:rPr>
          <w:bCs/>
          <w:kern w:val="1"/>
          <w:szCs w:val="21"/>
        </w:rPr>
        <w:t>评审方法</w:t>
      </w:r>
    </w:p>
    <w:p w14:paraId="1AA04526">
      <w:pPr>
        <w:suppressAutoHyphens/>
        <w:spacing w:before="120" w:line="320" w:lineRule="atLeast"/>
        <w:ind w:firstLine="420" w:firstLineChars="200"/>
        <w:rPr>
          <w:kern w:val="1"/>
          <w:szCs w:val="21"/>
        </w:rPr>
      </w:pPr>
      <w:r>
        <w:rPr>
          <w:szCs w:val="21"/>
        </w:rPr>
        <w:t>本项目采用</w:t>
      </w:r>
      <w:r>
        <w:rPr>
          <w:bCs/>
          <w:color w:val="auto"/>
          <w:kern w:val="1"/>
          <w:szCs w:val="21"/>
        </w:rPr>
        <w:t>最低评标价法</w:t>
      </w:r>
      <w:r>
        <w:rPr>
          <w:color w:val="auto"/>
          <w:szCs w:val="21"/>
        </w:rPr>
        <w:t>进</w:t>
      </w:r>
      <w:r>
        <w:rPr>
          <w:szCs w:val="21"/>
        </w:rPr>
        <w:t>行评审。</w:t>
      </w:r>
      <w:r>
        <w:rPr>
          <w:bCs/>
          <w:kern w:val="1"/>
          <w:szCs w:val="21"/>
        </w:rPr>
        <w:t>最低评标价法</w:t>
      </w:r>
      <w:r>
        <w:rPr>
          <w:szCs w:val="21"/>
        </w:rPr>
        <w:t>，是指以价格为主要因素确定成交供应商的评审方法，即在全部满足询价通知书实质性要求前提下，依据统一的价格要素评定最低报价，以提出最低报价的供应商作为成交候选供应商或者成交供应商的评审方法。</w:t>
      </w:r>
    </w:p>
    <w:p w14:paraId="3AA2143C">
      <w:pPr>
        <w:suppressAutoHyphens/>
        <w:spacing w:before="120" w:line="320" w:lineRule="atLeast"/>
        <w:ind w:firstLine="420" w:firstLineChars="200"/>
        <w:rPr>
          <w:bCs/>
          <w:kern w:val="1"/>
          <w:szCs w:val="21"/>
          <w:lang w:eastAsia="ar-SA"/>
        </w:rPr>
      </w:pPr>
      <w:r>
        <w:rPr>
          <w:kern w:val="1"/>
          <w:szCs w:val="21"/>
        </w:rPr>
        <w:t>2．</w:t>
      </w:r>
      <w:r>
        <w:rPr>
          <w:bCs/>
          <w:kern w:val="1"/>
          <w:szCs w:val="21"/>
        </w:rPr>
        <w:t>评审</w:t>
      </w:r>
      <w:r>
        <w:rPr>
          <w:bCs/>
          <w:kern w:val="1"/>
          <w:szCs w:val="21"/>
          <w:lang w:eastAsia="ar-SA"/>
        </w:rPr>
        <w:t>依据</w:t>
      </w:r>
      <w:bookmarkStart w:id="2" w:name="_Hlk19051732"/>
    </w:p>
    <w:p w14:paraId="48751004">
      <w:pPr>
        <w:suppressAutoHyphens/>
        <w:spacing w:before="120" w:line="320" w:lineRule="atLeast"/>
        <w:ind w:firstLine="420" w:firstLineChars="200"/>
        <w:rPr>
          <w:kern w:val="1"/>
          <w:szCs w:val="21"/>
        </w:rPr>
      </w:pPr>
      <w:r>
        <w:rPr>
          <w:rFonts w:hint="eastAsia"/>
          <w:bCs/>
          <w:kern w:val="1"/>
          <w:szCs w:val="21"/>
          <w:lang w:eastAsia="zh-CN"/>
        </w:rPr>
        <w:t>评审小组</w:t>
      </w:r>
      <w:r>
        <w:rPr>
          <w:bCs/>
          <w:kern w:val="1"/>
          <w:szCs w:val="21"/>
          <w:lang w:eastAsia="ar-SA"/>
        </w:rPr>
        <w:t>以</w:t>
      </w:r>
      <w:r>
        <w:rPr>
          <w:rFonts w:hint="eastAsia"/>
          <w:bCs/>
          <w:kern w:val="1"/>
          <w:szCs w:val="21"/>
          <w:lang w:eastAsia="zh-CN"/>
        </w:rPr>
        <w:t>项目需求</w:t>
      </w:r>
      <w:r>
        <w:rPr>
          <w:kern w:val="1"/>
          <w:szCs w:val="21"/>
        </w:rPr>
        <w:t>、补充文件、响应文件、澄清及答复</w:t>
      </w:r>
      <w:r>
        <w:rPr>
          <w:bCs/>
          <w:kern w:val="1"/>
          <w:szCs w:val="21"/>
          <w:lang w:eastAsia="ar-SA"/>
        </w:rPr>
        <w:t>为评</w:t>
      </w:r>
      <w:r>
        <w:rPr>
          <w:bCs/>
          <w:kern w:val="1"/>
          <w:szCs w:val="21"/>
        </w:rPr>
        <w:t>审</w:t>
      </w:r>
      <w:r>
        <w:rPr>
          <w:bCs/>
          <w:kern w:val="1"/>
          <w:szCs w:val="21"/>
          <w:lang w:eastAsia="ar-SA"/>
        </w:rPr>
        <w:t>依据。</w:t>
      </w:r>
      <w:bookmarkEnd w:id="2"/>
    </w:p>
    <w:p w14:paraId="3BCAE53E">
      <w:pPr>
        <w:suppressAutoHyphens/>
        <w:spacing w:before="120" w:line="320" w:lineRule="atLeast"/>
        <w:ind w:firstLine="420" w:firstLineChars="200"/>
        <w:rPr>
          <w:kern w:val="1"/>
          <w:szCs w:val="21"/>
        </w:rPr>
      </w:pPr>
      <w:r>
        <w:rPr>
          <w:kern w:val="1"/>
          <w:szCs w:val="21"/>
        </w:rPr>
        <w:t>3</w:t>
      </w:r>
      <w:r>
        <w:rPr>
          <w:rFonts w:hint="eastAsia"/>
          <w:kern w:val="1"/>
          <w:szCs w:val="21"/>
        </w:rPr>
        <w:t>、</w:t>
      </w:r>
      <w:r>
        <w:rPr>
          <w:rFonts w:hint="eastAsia"/>
          <w:kern w:val="1"/>
          <w:szCs w:val="21"/>
          <w:lang w:eastAsia="zh-CN"/>
        </w:rPr>
        <w:t>评审</w:t>
      </w:r>
      <w:r>
        <w:rPr>
          <w:rFonts w:hint="eastAsia"/>
          <w:kern w:val="1"/>
          <w:szCs w:val="21"/>
        </w:rPr>
        <w:t>小组</w:t>
      </w:r>
    </w:p>
    <w:p w14:paraId="3D52AE12">
      <w:pPr>
        <w:suppressAutoHyphens/>
        <w:spacing w:before="120" w:line="320" w:lineRule="atLeast"/>
        <w:ind w:firstLine="420" w:firstLineChars="200"/>
      </w:pPr>
      <w:r>
        <w:rPr>
          <w:bCs/>
          <w:kern w:val="1"/>
          <w:szCs w:val="21"/>
          <w:lang w:eastAsia="ar-SA"/>
        </w:rPr>
        <w:t>本采购项目</w:t>
      </w:r>
      <w:r>
        <w:rPr>
          <w:rFonts w:hint="eastAsia"/>
          <w:bCs/>
          <w:kern w:val="1"/>
          <w:szCs w:val="21"/>
          <w:lang w:eastAsia="ar-SA"/>
        </w:rPr>
        <w:t>根据医院相关规定选取评审</w:t>
      </w:r>
      <w:r>
        <w:rPr>
          <w:rFonts w:hint="eastAsia"/>
          <w:bCs/>
          <w:kern w:val="1"/>
          <w:szCs w:val="21"/>
          <w:lang w:eastAsia="zh-CN"/>
        </w:rPr>
        <w:t>小组</w:t>
      </w:r>
      <w:r>
        <w:rPr>
          <w:rFonts w:hint="eastAsia"/>
          <w:bCs/>
          <w:kern w:val="1"/>
          <w:szCs w:val="21"/>
          <w:lang w:eastAsia="ar-SA"/>
        </w:rPr>
        <w:t>，开展评标工作。</w:t>
      </w:r>
      <w:r>
        <w:t>小组成员应当按照客观、公正、审慎的原则，根据采购文件规定的评审程序、评审方法和评审标准进行独立评审。小组在</w:t>
      </w:r>
      <w:r>
        <w:rPr>
          <w:rFonts w:hint="eastAsia"/>
          <w:lang w:eastAsia="zh-CN"/>
        </w:rPr>
        <w:t>评审</w:t>
      </w:r>
      <w:r>
        <w:t>过程中，不得改变</w:t>
      </w:r>
      <w:r>
        <w:rPr>
          <w:rFonts w:hint="eastAsia"/>
          <w:lang w:eastAsia="zh-CN"/>
        </w:rPr>
        <w:t>项目需求</w:t>
      </w:r>
      <w:r>
        <w:t>所确定的技术和服务等要求、评审程序、评定成交的标准和合同文本等事项。</w:t>
      </w:r>
    </w:p>
    <w:p w14:paraId="45BFDE2F">
      <w:pPr>
        <w:suppressAutoHyphens/>
        <w:spacing w:before="120" w:line="320" w:lineRule="atLeast"/>
        <w:ind w:firstLine="422" w:firstLineChars="200"/>
        <w:rPr>
          <w:b/>
          <w:kern w:val="1"/>
          <w:szCs w:val="21"/>
        </w:rPr>
      </w:pPr>
      <w:r>
        <w:rPr>
          <w:rFonts w:hint="eastAsia"/>
          <w:b/>
          <w:kern w:val="1"/>
          <w:szCs w:val="21"/>
        </w:rPr>
        <w:t>二、</w:t>
      </w:r>
      <w:r>
        <w:rPr>
          <w:b/>
          <w:kern w:val="1"/>
          <w:szCs w:val="21"/>
        </w:rPr>
        <w:t>评审程序</w:t>
      </w:r>
    </w:p>
    <w:p w14:paraId="7A891F2D">
      <w:pPr>
        <w:suppressAutoHyphens/>
        <w:spacing w:before="120" w:line="320" w:lineRule="atLeast"/>
        <w:ind w:firstLine="420" w:firstLineChars="200"/>
        <w:rPr>
          <w:bCs/>
          <w:kern w:val="1"/>
          <w:szCs w:val="21"/>
        </w:rPr>
      </w:pPr>
      <w:r>
        <w:rPr>
          <w:rFonts w:hint="eastAsia"/>
          <w:bCs/>
          <w:kern w:val="1"/>
          <w:szCs w:val="21"/>
        </w:rPr>
        <w:t>1、</w:t>
      </w:r>
      <w:r>
        <w:rPr>
          <w:bCs/>
          <w:kern w:val="1"/>
          <w:szCs w:val="21"/>
        </w:rPr>
        <w:t>初步评审。</w:t>
      </w:r>
    </w:p>
    <w:p w14:paraId="705088F4">
      <w:pPr>
        <w:suppressAutoHyphens/>
        <w:spacing w:before="120" w:line="320" w:lineRule="atLeast"/>
        <w:ind w:firstLine="420" w:firstLineChars="200"/>
        <w:rPr>
          <w:bCs/>
          <w:kern w:val="1"/>
          <w:szCs w:val="21"/>
        </w:rPr>
      </w:pPr>
      <w:r>
        <w:rPr>
          <w:rFonts w:hint="eastAsia"/>
          <w:bCs/>
          <w:kern w:val="1"/>
          <w:szCs w:val="21"/>
        </w:rPr>
        <w:t>2、</w:t>
      </w:r>
      <w:r>
        <w:rPr>
          <w:bCs/>
          <w:kern w:val="1"/>
          <w:szCs w:val="21"/>
        </w:rPr>
        <w:t>详细评审。</w:t>
      </w:r>
    </w:p>
    <w:p w14:paraId="2265B772">
      <w:pPr>
        <w:suppressAutoHyphens/>
        <w:spacing w:before="120" w:line="320" w:lineRule="atLeast"/>
        <w:ind w:firstLine="420" w:firstLineChars="200"/>
        <w:rPr>
          <w:bCs/>
          <w:kern w:val="1"/>
          <w:szCs w:val="21"/>
        </w:rPr>
      </w:pPr>
      <w:r>
        <w:rPr>
          <w:rFonts w:hint="eastAsia"/>
          <w:bCs/>
          <w:kern w:val="1"/>
          <w:szCs w:val="21"/>
        </w:rPr>
        <w:t>3、</w:t>
      </w:r>
      <w:r>
        <w:rPr>
          <w:bCs/>
          <w:kern w:val="1"/>
          <w:szCs w:val="21"/>
        </w:rPr>
        <w:t>推荐成交候选供应商名单。</w:t>
      </w:r>
    </w:p>
    <w:p w14:paraId="2846AFD7">
      <w:pPr>
        <w:suppressAutoHyphens/>
        <w:spacing w:before="120" w:line="320" w:lineRule="atLeast"/>
        <w:ind w:left="2" w:leftChars="1" w:firstLine="422" w:firstLineChars="200"/>
        <w:outlineLvl w:val="9"/>
        <w:rPr>
          <w:b/>
          <w:kern w:val="1"/>
          <w:szCs w:val="21"/>
        </w:rPr>
      </w:pPr>
      <w:r>
        <w:rPr>
          <w:rFonts w:hint="eastAsia"/>
          <w:b/>
          <w:bCs/>
          <w:kern w:val="0"/>
          <w:szCs w:val="21"/>
        </w:rPr>
        <w:t>三</w:t>
      </w:r>
      <w:r>
        <w:rPr>
          <w:b/>
          <w:bCs/>
          <w:kern w:val="0"/>
          <w:szCs w:val="21"/>
          <w:lang w:eastAsia="ar-SA"/>
        </w:rPr>
        <w:t>、评</w:t>
      </w:r>
      <w:r>
        <w:rPr>
          <w:b/>
          <w:bCs/>
          <w:kern w:val="0"/>
          <w:szCs w:val="21"/>
        </w:rPr>
        <w:t>审</w:t>
      </w:r>
      <w:r>
        <w:rPr>
          <w:rFonts w:hint="eastAsia"/>
          <w:b/>
          <w:bCs/>
          <w:kern w:val="0"/>
          <w:szCs w:val="21"/>
        </w:rPr>
        <w:t>内容</w:t>
      </w:r>
    </w:p>
    <w:p w14:paraId="4F7D75EE">
      <w:pPr>
        <w:spacing w:before="120" w:line="320" w:lineRule="atLeast"/>
        <w:ind w:firstLine="413" w:firstLineChars="196"/>
        <w:outlineLvl w:val="9"/>
        <w:rPr>
          <w:b/>
          <w:bCs/>
          <w:kern w:val="0"/>
          <w:szCs w:val="21"/>
        </w:rPr>
      </w:pPr>
      <w:r>
        <w:rPr>
          <w:rFonts w:hint="eastAsia"/>
          <w:b/>
          <w:bCs/>
          <w:kern w:val="0"/>
          <w:szCs w:val="21"/>
          <w:lang w:val="en-US" w:eastAsia="zh-CN"/>
        </w:rPr>
        <w:t>1</w:t>
      </w:r>
      <w:r>
        <w:rPr>
          <w:b/>
          <w:bCs/>
          <w:kern w:val="0"/>
          <w:szCs w:val="21"/>
        </w:rPr>
        <w:t>、符合性检查</w:t>
      </w:r>
    </w:p>
    <w:p w14:paraId="4A590004">
      <w:pPr>
        <w:spacing w:before="120" w:line="320" w:lineRule="atLeast"/>
        <w:ind w:firstLine="420" w:firstLineChars="200"/>
        <w:rPr>
          <w:szCs w:val="21"/>
        </w:rPr>
      </w:pPr>
      <w:r>
        <w:rPr>
          <w:rFonts w:hint="eastAsia"/>
          <w:bCs/>
          <w:kern w:val="1"/>
          <w:szCs w:val="21"/>
          <w:lang w:eastAsia="zh-CN"/>
        </w:rPr>
        <w:t>评审小组</w:t>
      </w:r>
      <w:r>
        <w:rPr>
          <w:bCs/>
          <w:kern w:val="1"/>
          <w:szCs w:val="21"/>
        </w:rPr>
        <w:t>对</w:t>
      </w:r>
      <w:r>
        <w:t>供应商的</w:t>
      </w:r>
      <w:r>
        <w:rPr>
          <w:rFonts w:hint="eastAsia"/>
        </w:rPr>
        <w:t>响应</w:t>
      </w:r>
      <w:r>
        <w:t>文件进行符合性审查，以确定其是否满足</w:t>
      </w:r>
      <w:r>
        <w:rPr>
          <w:rFonts w:hint="eastAsia"/>
          <w:lang w:eastAsia="zh-CN"/>
        </w:rPr>
        <w:t>项目需求</w:t>
      </w:r>
      <w:r>
        <w:t>的实质性要求。</w:t>
      </w:r>
      <w:r>
        <w:rPr>
          <w:szCs w:val="21"/>
        </w:rPr>
        <w:t>符合性检查表如下，缺少任何一项或有任何一项不合格者，其符合性检查视为不合格。</w:t>
      </w:r>
    </w:p>
    <w:tbl>
      <w:tblPr>
        <w:tblStyle w:val="21"/>
        <w:tblpPr w:leftFromText="180" w:rightFromText="180" w:vertAnchor="text" w:horzAnchor="page" w:tblpX="1644" w:tblpY="337"/>
        <w:tblOverlap w:val="never"/>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0"/>
        <w:gridCol w:w="4162"/>
      </w:tblGrid>
      <w:tr w14:paraId="7E1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F134A">
            <w:pPr>
              <w:spacing w:line="240" w:lineRule="exact"/>
              <w:jc w:val="center"/>
              <w:rPr>
                <w:b/>
                <w:kern w:val="0"/>
                <w:szCs w:val="21"/>
              </w:rPr>
            </w:pPr>
            <w:r>
              <w:rPr>
                <w:b/>
                <w:kern w:val="0"/>
                <w:szCs w:val="21"/>
              </w:rPr>
              <w:t>序号</w:t>
            </w:r>
          </w:p>
        </w:tc>
        <w:tc>
          <w:tcPr>
            <w:tcW w:w="8412" w:type="dxa"/>
            <w:gridSpan w:val="2"/>
            <w:vAlign w:val="center"/>
          </w:tcPr>
          <w:p w14:paraId="2C4AB00E">
            <w:pPr>
              <w:spacing w:line="240" w:lineRule="exact"/>
              <w:jc w:val="center"/>
              <w:rPr>
                <w:b/>
                <w:kern w:val="0"/>
                <w:szCs w:val="21"/>
              </w:rPr>
            </w:pPr>
            <w:r>
              <w:rPr>
                <w:b/>
                <w:kern w:val="0"/>
                <w:szCs w:val="21"/>
              </w:rPr>
              <w:t>评审标准</w:t>
            </w:r>
          </w:p>
        </w:tc>
      </w:tr>
      <w:tr w14:paraId="4061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51E0CF11">
            <w:pPr>
              <w:spacing w:line="240" w:lineRule="exact"/>
              <w:jc w:val="center"/>
              <w:rPr>
                <w:rFonts w:hint="eastAsia" w:eastAsia="宋体"/>
                <w:szCs w:val="21"/>
                <w:lang w:val="en-US" w:eastAsia="zh-CN"/>
              </w:rPr>
            </w:pPr>
            <w:r>
              <w:rPr>
                <w:rFonts w:hint="eastAsia"/>
                <w:szCs w:val="21"/>
                <w:lang w:val="en-US" w:eastAsia="zh-CN"/>
              </w:rPr>
              <w:t>1</w:t>
            </w:r>
          </w:p>
        </w:tc>
        <w:tc>
          <w:tcPr>
            <w:tcW w:w="4250" w:type="dxa"/>
            <w:vAlign w:val="center"/>
          </w:tcPr>
          <w:p w14:paraId="08B60E31">
            <w:pPr>
              <w:spacing w:line="240" w:lineRule="exact"/>
              <w:rPr>
                <w:rFonts w:hint="eastAsia"/>
                <w:kern w:val="0"/>
                <w:szCs w:val="21"/>
              </w:rPr>
            </w:pPr>
            <w:r>
              <w:rPr>
                <w:rFonts w:hint="eastAsia"/>
                <w:kern w:val="0"/>
                <w:szCs w:val="21"/>
              </w:rPr>
              <w:t>营业执照复印件；（格式自拟）</w:t>
            </w:r>
          </w:p>
        </w:tc>
        <w:tc>
          <w:tcPr>
            <w:tcW w:w="4162" w:type="dxa"/>
            <w:vAlign w:val="center"/>
          </w:tcPr>
          <w:p w14:paraId="44F29A2B">
            <w:pPr>
              <w:spacing w:line="240" w:lineRule="exact"/>
              <w:rPr>
                <w:rFonts w:hint="eastAsia" w:eastAsia="宋体"/>
                <w:szCs w:val="21"/>
                <w:lang w:eastAsia="zh-CN"/>
              </w:rPr>
            </w:pPr>
            <w:r>
              <w:rPr>
                <w:rFonts w:hint="eastAsia"/>
                <w:szCs w:val="21"/>
                <w:lang w:eastAsia="zh-CN"/>
              </w:rPr>
              <w:t>提供营业执照复印件</w:t>
            </w:r>
          </w:p>
        </w:tc>
      </w:tr>
      <w:tr w14:paraId="7620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28D4EA2A">
            <w:pPr>
              <w:spacing w:line="240" w:lineRule="exact"/>
              <w:jc w:val="center"/>
              <w:rPr>
                <w:rFonts w:hint="eastAsia" w:eastAsia="宋体"/>
                <w:szCs w:val="21"/>
                <w:lang w:val="en-US" w:eastAsia="zh-CN"/>
              </w:rPr>
            </w:pPr>
            <w:r>
              <w:rPr>
                <w:rFonts w:hint="eastAsia"/>
                <w:szCs w:val="21"/>
                <w:lang w:val="en-US" w:eastAsia="zh-CN"/>
              </w:rPr>
              <w:t>2</w:t>
            </w:r>
          </w:p>
        </w:tc>
        <w:tc>
          <w:tcPr>
            <w:tcW w:w="4250" w:type="dxa"/>
            <w:vAlign w:val="center"/>
          </w:tcPr>
          <w:p w14:paraId="435721A0">
            <w:pPr>
              <w:spacing w:line="240" w:lineRule="exact"/>
              <w:rPr>
                <w:rFonts w:hint="eastAsia"/>
                <w:kern w:val="0"/>
                <w:szCs w:val="21"/>
              </w:rPr>
            </w:pPr>
          </w:p>
          <w:p w14:paraId="572D5211">
            <w:pPr>
              <w:spacing w:line="240" w:lineRule="exact"/>
              <w:rPr>
                <w:rFonts w:hint="eastAsia"/>
                <w:kern w:val="0"/>
                <w:szCs w:val="21"/>
              </w:rPr>
            </w:pPr>
            <w:r>
              <w:rPr>
                <w:rFonts w:hint="eastAsia"/>
                <w:kern w:val="0"/>
                <w:szCs w:val="21"/>
              </w:rPr>
              <w:t>【机电安装专业承包二级（含）以上】资质，具备有效的安全生产许可证；（格式自拟）</w:t>
            </w:r>
          </w:p>
        </w:tc>
        <w:tc>
          <w:tcPr>
            <w:tcW w:w="4162" w:type="dxa"/>
            <w:vAlign w:val="center"/>
          </w:tcPr>
          <w:p w14:paraId="065BEA45">
            <w:pPr>
              <w:spacing w:line="240" w:lineRule="exact"/>
              <w:rPr>
                <w:rFonts w:hint="eastAsia"/>
                <w:szCs w:val="21"/>
              </w:rPr>
            </w:pPr>
            <w:r>
              <w:rPr>
                <w:rFonts w:hint="eastAsia"/>
                <w:szCs w:val="21"/>
                <w:lang w:eastAsia="zh-CN"/>
              </w:rPr>
              <w:t>提供</w:t>
            </w:r>
            <w:r>
              <w:rPr>
                <w:rFonts w:hint="eastAsia"/>
                <w:kern w:val="0"/>
                <w:szCs w:val="21"/>
              </w:rPr>
              <w:t>【机电安装专业承包二级（含）以上】资质，</w:t>
            </w:r>
            <w:r>
              <w:rPr>
                <w:rFonts w:hint="eastAsia"/>
                <w:kern w:val="0"/>
                <w:szCs w:val="21"/>
                <w:lang w:eastAsia="zh-CN"/>
              </w:rPr>
              <w:t>提供</w:t>
            </w:r>
            <w:r>
              <w:rPr>
                <w:rFonts w:hint="eastAsia"/>
                <w:kern w:val="0"/>
                <w:szCs w:val="21"/>
              </w:rPr>
              <w:t>有效的安全生产许可证；</w:t>
            </w:r>
          </w:p>
        </w:tc>
      </w:tr>
      <w:tr w14:paraId="393E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43F17CD">
            <w:pPr>
              <w:spacing w:line="240" w:lineRule="exact"/>
              <w:jc w:val="center"/>
              <w:rPr>
                <w:rFonts w:hint="eastAsia" w:eastAsia="宋体"/>
                <w:szCs w:val="21"/>
                <w:lang w:val="en-US" w:eastAsia="zh-CN"/>
              </w:rPr>
            </w:pPr>
            <w:r>
              <w:rPr>
                <w:rFonts w:hint="eastAsia"/>
                <w:szCs w:val="21"/>
                <w:lang w:val="en-US" w:eastAsia="zh-CN"/>
              </w:rPr>
              <w:t>3</w:t>
            </w:r>
          </w:p>
        </w:tc>
        <w:tc>
          <w:tcPr>
            <w:tcW w:w="4250" w:type="dxa"/>
            <w:vAlign w:val="center"/>
          </w:tcPr>
          <w:p w14:paraId="5C7A6981">
            <w:pPr>
              <w:spacing w:line="240" w:lineRule="exact"/>
              <w:rPr>
                <w:rFonts w:hint="eastAsia"/>
                <w:kern w:val="0"/>
                <w:szCs w:val="21"/>
              </w:rPr>
            </w:pPr>
            <w:r>
              <w:rPr>
                <w:rFonts w:hint="eastAsia"/>
                <w:kern w:val="0"/>
                <w:szCs w:val="21"/>
              </w:rPr>
              <w:t>法定代表人身份证明或法人授权委托书及被授权人身份证明和联系方式；（格式自拟）</w:t>
            </w:r>
          </w:p>
        </w:tc>
        <w:tc>
          <w:tcPr>
            <w:tcW w:w="4162" w:type="dxa"/>
            <w:vAlign w:val="center"/>
          </w:tcPr>
          <w:p w14:paraId="0E74984A">
            <w:pPr>
              <w:spacing w:line="240" w:lineRule="exact"/>
              <w:rPr>
                <w:rFonts w:hint="eastAsia"/>
                <w:szCs w:val="21"/>
              </w:rPr>
            </w:pPr>
            <w:r>
              <w:rPr>
                <w:szCs w:val="21"/>
              </w:rPr>
              <w:t>法定代表人或其授权代表人已按要求签字盖章。</w:t>
            </w:r>
          </w:p>
        </w:tc>
      </w:tr>
      <w:tr w14:paraId="1C97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090F695F">
            <w:pPr>
              <w:spacing w:line="240" w:lineRule="exact"/>
              <w:jc w:val="center"/>
              <w:rPr>
                <w:rFonts w:hint="default"/>
                <w:szCs w:val="21"/>
                <w:lang w:val="en-US" w:eastAsia="zh-CN"/>
              </w:rPr>
            </w:pPr>
            <w:r>
              <w:rPr>
                <w:rFonts w:hint="eastAsia"/>
                <w:szCs w:val="21"/>
                <w:lang w:val="en-US" w:eastAsia="zh-CN"/>
              </w:rPr>
              <w:t>4</w:t>
            </w:r>
          </w:p>
        </w:tc>
        <w:tc>
          <w:tcPr>
            <w:tcW w:w="4250" w:type="dxa"/>
            <w:vAlign w:val="center"/>
          </w:tcPr>
          <w:p w14:paraId="44EFCDEF">
            <w:pPr>
              <w:spacing w:line="240" w:lineRule="exact"/>
              <w:rPr>
                <w:rFonts w:hint="eastAsia"/>
                <w:kern w:val="0"/>
                <w:szCs w:val="21"/>
              </w:rPr>
            </w:pPr>
            <w:r>
              <w:rPr>
                <w:rFonts w:hint="eastAsia"/>
                <w:kern w:val="0"/>
                <w:szCs w:val="21"/>
              </w:rPr>
              <w:t>报价表【报价不得高于控制价，仅一次报价】；（格式详见附件2：工程量清单）</w:t>
            </w:r>
          </w:p>
        </w:tc>
        <w:tc>
          <w:tcPr>
            <w:tcW w:w="4162" w:type="dxa"/>
            <w:vAlign w:val="center"/>
          </w:tcPr>
          <w:p w14:paraId="49ECBB91">
            <w:pPr>
              <w:spacing w:line="240" w:lineRule="exact"/>
              <w:rPr>
                <w:szCs w:val="21"/>
              </w:rPr>
            </w:pPr>
            <w:r>
              <w:rPr>
                <w:szCs w:val="21"/>
              </w:rPr>
              <w:t>报价超出</w:t>
            </w:r>
            <w:r>
              <w:rPr>
                <w:rFonts w:hint="eastAsia"/>
                <w:szCs w:val="21"/>
                <w:lang w:eastAsia="zh-CN"/>
              </w:rPr>
              <w:t>控制价</w:t>
            </w:r>
            <w:r>
              <w:rPr>
                <w:szCs w:val="21"/>
              </w:rPr>
              <w:t>金额的，否决其响应</w:t>
            </w:r>
            <w:r>
              <w:t>。</w:t>
            </w:r>
            <w:r>
              <w:rPr>
                <w:szCs w:val="21"/>
              </w:rPr>
              <w:t>提交选择性报价的，否决其响应。</w:t>
            </w:r>
          </w:p>
        </w:tc>
      </w:tr>
      <w:tr w14:paraId="19D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vAlign w:val="center"/>
          </w:tcPr>
          <w:p w14:paraId="41BE7F14">
            <w:pPr>
              <w:spacing w:line="240" w:lineRule="exact"/>
              <w:jc w:val="center"/>
              <w:rPr>
                <w:rFonts w:hint="default"/>
                <w:szCs w:val="21"/>
                <w:lang w:val="en-US" w:eastAsia="zh-CN"/>
              </w:rPr>
            </w:pPr>
            <w:r>
              <w:rPr>
                <w:rFonts w:hint="eastAsia"/>
                <w:szCs w:val="21"/>
                <w:lang w:val="en-US" w:eastAsia="zh-CN"/>
              </w:rPr>
              <w:t>5</w:t>
            </w:r>
          </w:p>
        </w:tc>
        <w:tc>
          <w:tcPr>
            <w:tcW w:w="4250" w:type="dxa"/>
            <w:vAlign w:val="center"/>
          </w:tcPr>
          <w:p w14:paraId="56FAABED">
            <w:pPr>
              <w:spacing w:line="240" w:lineRule="exact"/>
              <w:rPr>
                <w:rFonts w:hint="eastAsia"/>
                <w:kern w:val="0"/>
                <w:szCs w:val="21"/>
              </w:rPr>
            </w:pPr>
            <w:r>
              <w:rPr>
                <w:rFonts w:hint="eastAsia"/>
                <w:kern w:val="0"/>
                <w:szCs w:val="21"/>
              </w:rPr>
              <w:t>声明函、公司直接控股股东信息表、公司直接管理关系信息表（固定格式）</w:t>
            </w:r>
          </w:p>
        </w:tc>
        <w:tc>
          <w:tcPr>
            <w:tcW w:w="4162" w:type="dxa"/>
            <w:vAlign w:val="center"/>
          </w:tcPr>
          <w:p w14:paraId="7CE2A389">
            <w:pPr>
              <w:spacing w:line="240" w:lineRule="exact"/>
              <w:rPr>
                <w:rFonts w:hint="eastAsia" w:eastAsia="宋体"/>
                <w:szCs w:val="21"/>
                <w:lang w:eastAsia="zh-CN"/>
              </w:rPr>
            </w:pPr>
            <w:r>
              <w:rPr>
                <w:rFonts w:hint="eastAsia"/>
                <w:szCs w:val="21"/>
                <w:lang w:eastAsia="zh-CN"/>
              </w:rPr>
              <w:t>提供声明函、公司直接控股股东信息表、公司直接管理关系信息表。</w:t>
            </w:r>
          </w:p>
        </w:tc>
      </w:tr>
    </w:tbl>
    <w:p w14:paraId="30051A6D">
      <w:pPr>
        <w:spacing w:before="120" w:line="320" w:lineRule="atLeast"/>
        <w:ind w:firstLine="413" w:firstLineChars="196"/>
        <w:outlineLvl w:val="9"/>
        <w:rPr>
          <w:b/>
          <w:bCs/>
          <w:kern w:val="0"/>
          <w:szCs w:val="21"/>
        </w:rPr>
      </w:pPr>
      <w:r>
        <w:rPr>
          <w:rFonts w:hint="eastAsia"/>
          <w:b/>
          <w:bCs/>
          <w:kern w:val="0"/>
          <w:szCs w:val="21"/>
          <w:lang w:val="en-US" w:eastAsia="zh-CN"/>
        </w:rPr>
        <w:t>2</w:t>
      </w:r>
      <w:r>
        <w:rPr>
          <w:b/>
          <w:bCs/>
          <w:kern w:val="0"/>
          <w:szCs w:val="21"/>
        </w:rPr>
        <w:t>、串通投标的认定</w:t>
      </w:r>
    </w:p>
    <w:p w14:paraId="384621FF">
      <w:pPr>
        <w:spacing w:before="120" w:line="320" w:lineRule="atLeast"/>
        <w:ind w:firstLine="420" w:firstLineChars="200"/>
      </w:pPr>
      <w:r>
        <w:rPr>
          <w:rFonts w:hint="eastAsia"/>
          <w:lang w:eastAsia="zh-CN"/>
        </w:rPr>
        <w:t>评审小组</w:t>
      </w:r>
      <w:r>
        <w:t>须根据</w:t>
      </w:r>
      <w:r>
        <w:rPr>
          <w:rFonts w:hint="eastAsia"/>
        </w:rPr>
        <w:t>以下</w:t>
      </w:r>
      <w:r>
        <w:t>规定评审</w:t>
      </w:r>
      <w:r>
        <w:rPr>
          <w:bCs/>
          <w:kern w:val="0"/>
          <w:szCs w:val="21"/>
        </w:rPr>
        <w:t>供应商是否有串通投标的行为，并按规定判定响应是否有效</w:t>
      </w:r>
      <w:r>
        <w:t>。</w:t>
      </w:r>
    </w:p>
    <w:p w14:paraId="565F2C9F">
      <w:pPr>
        <w:spacing w:before="120" w:line="320" w:lineRule="atLeast"/>
        <w:ind w:firstLine="420" w:firstLineChars="200"/>
        <w:rPr>
          <w:szCs w:val="21"/>
        </w:rPr>
      </w:pPr>
      <w:r>
        <w:rPr>
          <w:rFonts w:hint="eastAsia"/>
          <w:szCs w:val="21"/>
        </w:rPr>
        <w:t>（1）</w:t>
      </w:r>
      <w:r>
        <w:rPr>
          <w:szCs w:val="21"/>
        </w:rPr>
        <w:t>有下列情形之一的视为投标人（供应商）相互串通投标，投标（响应）文件将被视为无效。</w:t>
      </w:r>
      <w:r>
        <w:rPr>
          <w:kern w:val="1"/>
          <w:szCs w:val="21"/>
        </w:rPr>
        <w:t>（本款所述投标等同于询价或响应，投标人等同于供应商）。</w:t>
      </w:r>
    </w:p>
    <w:p w14:paraId="43B69A84">
      <w:pPr>
        <w:spacing w:before="120" w:line="320" w:lineRule="atLeast"/>
        <w:ind w:firstLine="420" w:firstLineChars="200"/>
        <w:rPr>
          <w:szCs w:val="21"/>
        </w:rPr>
      </w:pPr>
      <w:r>
        <w:rPr>
          <w:rFonts w:hint="eastAsia" w:ascii="宋体" w:hAnsi="宋体" w:cs="宋体"/>
          <w:szCs w:val="21"/>
        </w:rPr>
        <w:t>①</w:t>
      </w:r>
      <w:r>
        <w:rPr>
          <w:szCs w:val="21"/>
        </w:rPr>
        <w:t>不同供应商的投标文件由同一单位或者个人编制；或不同供应商报名的IP地址一致的；</w:t>
      </w:r>
    </w:p>
    <w:p w14:paraId="0C437AA8">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3458A0A8">
      <w:pPr>
        <w:spacing w:before="120" w:line="320" w:lineRule="atLeast"/>
        <w:ind w:firstLine="420" w:firstLineChars="200"/>
        <w:rPr>
          <w:szCs w:val="21"/>
        </w:rPr>
      </w:pPr>
      <w:r>
        <w:rPr>
          <w:rFonts w:hint="eastAsia"/>
          <w:szCs w:val="21"/>
        </w:rPr>
        <w:t>③</w:t>
      </w:r>
      <w:r>
        <w:rPr>
          <w:szCs w:val="21"/>
        </w:rPr>
        <w:t>不同的供应商的投标文件载明的项目管理员为同一个人；</w:t>
      </w:r>
    </w:p>
    <w:p w14:paraId="397AD41A">
      <w:pPr>
        <w:spacing w:before="120" w:line="320" w:lineRule="atLeast"/>
        <w:ind w:firstLine="420" w:firstLineChars="200"/>
        <w:rPr>
          <w:szCs w:val="21"/>
        </w:rPr>
      </w:pPr>
      <w:r>
        <w:rPr>
          <w:rFonts w:hint="eastAsia"/>
          <w:szCs w:val="21"/>
        </w:rPr>
        <w:t>④</w:t>
      </w:r>
      <w:r>
        <w:rPr>
          <w:szCs w:val="21"/>
        </w:rPr>
        <w:t>不同供应商的投标文件异常一致或投标报价呈规律性差异；</w:t>
      </w:r>
    </w:p>
    <w:p w14:paraId="69423285">
      <w:pPr>
        <w:spacing w:before="120" w:line="320" w:lineRule="atLeast"/>
        <w:ind w:firstLine="420" w:firstLineChars="200"/>
        <w:rPr>
          <w:szCs w:val="21"/>
        </w:rPr>
      </w:pPr>
      <w:r>
        <w:rPr>
          <w:rFonts w:hint="eastAsia"/>
          <w:szCs w:val="21"/>
        </w:rPr>
        <w:t>⑤</w:t>
      </w:r>
      <w:r>
        <w:rPr>
          <w:szCs w:val="21"/>
        </w:rPr>
        <w:t>不同供应商的投标文件相互混装；</w:t>
      </w:r>
    </w:p>
    <w:p w14:paraId="3C452B7B">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p w14:paraId="69CA47AD">
      <w:pPr>
        <w:spacing w:before="120" w:line="320" w:lineRule="atLeast"/>
        <w:ind w:firstLine="420" w:firstLineChars="200"/>
        <w:rPr>
          <w:szCs w:val="21"/>
        </w:rPr>
      </w:pPr>
      <w:r>
        <w:rPr>
          <w:rFonts w:hint="eastAsia"/>
          <w:szCs w:val="21"/>
        </w:rPr>
        <w:t>（</w:t>
      </w:r>
      <w:r>
        <w:rPr>
          <w:szCs w:val="21"/>
        </w:rPr>
        <w:t>2</w:t>
      </w:r>
      <w:r>
        <w:rPr>
          <w:rFonts w:hint="eastAsia"/>
          <w:szCs w:val="21"/>
        </w:rPr>
        <w:t>）</w:t>
      </w:r>
      <w:r>
        <w:rPr>
          <w:szCs w:val="21"/>
        </w:rPr>
        <w:t>投标人有下列情形之一的，属于恶意串通行为，投标（响应）文件将被视为无效。（本款所述投标等同于询价或响应，中标人等同于成交供应商）</w:t>
      </w:r>
    </w:p>
    <w:p w14:paraId="7F51D336">
      <w:pPr>
        <w:spacing w:before="120" w:line="320" w:lineRule="atLeast"/>
        <w:ind w:firstLine="420" w:firstLineChars="200"/>
        <w:rPr>
          <w:szCs w:val="21"/>
        </w:rPr>
      </w:pPr>
      <w:r>
        <w:rPr>
          <w:rFonts w:hint="eastAsia"/>
          <w:szCs w:val="21"/>
        </w:rPr>
        <w:t>①</w:t>
      </w:r>
      <w:r>
        <w:rPr>
          <w:szCs w:val="21"/>
        </w:rPr>
        <w:t>供应商直接或者间接从采购人或者采购代理机构处获得其他供应商的相关信息并修改其投标文件或者响应文件；</w:t>
      </w:r>
    </w:p>
    <w:p w14:paraId="4464EC7D">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p>
    <w:p w14:paraId="6146F48B">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7666B200">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属于同一集团、协会、商会等组织成员的供应商按照该组织要求协同参加采购活动；</w:t>
      </w:r>
    </w:p>
    <w:p w14:paraId="6C465549">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0BEEE6E">
      <w:pPr>
        <w:spacing w:before="120" w:line="320" w:lineRule="atLeast"/>
        <w:ind w:firstLine="420" w:firstLineChars="200"/>
        <w:rPr>
          <w:szCs w:val="21"/>
        </w:rPr>
      </w:pPr>
      <w:r>
        <w:rPr>
          <w:rFonts w:hint="eastAsia"/>
          <w:szCs w:val="21"/>
        </w:rPr>
        <w:t>⑥</w:t>
      </w:r>
      <w:r>
        <w:rPr>
          <w:szCs w:val="21"/>
        </w:rPr>
        <w:t>供应商之间商定部分供应商放弃参加采购活动或者放弃中标；</w:t>
      </w:r>
    </w:p>
    <w:p w14:paraId="6C4E1311">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p w14:paraId="3CB5DE34">
      <w:pPr>
        <w:spacing w:before="120" w:line="320" w:lineRule="atLeast"/>
        <w:ind w:firstLine="413" w:firstLineChars="196"/>
        <w:outlineLvl w:val="9"/>
        <w:rPr>
          <w:b/>
          <w:bCs/>
          <w:kern w:val="0"/>
          <w:szCs w:val="21"/>
        </w:rPr>
      </w:pPr>
      <w:r>
        <w:rPr>
          <w:rFonts w:hint="eastAsia"/>
          <w:b/>
          <w:bCs/>
          <w:kern w:val="0"/>
          <w:szCs w:val="21"/>
          <w:lang w:val="en-US" w:eastAsia="zh-CN"/>
        </w:rPr>
        <w:t>3</w:t>
      </w:r>
      <w:r>
        <w:rPr>
          <w:b/>
          <w:bCs/>
          <w:kern w:val="0"/>
          <w:szCs w:val="21"/>
        </w:rPr>
        <w:t>、</w:t>
      </w:r>
      <w:r>
        <w:rPr>
          <w:rFonts w:hint="eastAsia"/>
          <w:b/>
          <w:bCs/>
          <w:kern w:val="0"/>
          <w:szCs w:val="21"/>
        </w:rPr>
        <w:t>响应</w:t>
      </w:r>
      <w:r>
        <w:rPr>
          <w:b/>
          <w:bCs/>
          <w:kern w:val="0"/>
          <w:szCs w:val="21"/>
        </w:rPr>
        <w:t>有效性的认定</w:t>
      </w:r>
    </w:p>
    <w:p w14:paraId="15453090">
      <w:pPr>
        <w:spacing w:before="120" w:line="320" w:lineRule="atLeast"/>
        <w:ind w:firstLine="420" w:firstLineChars="200"/>
        <w:rPr>
          <w:szCs w:val="21"/>
        </w:rPr>
      </w:pPr>
      <w:bookmarkStart w:id="3" w:name="_Hlk19113301"/>
      <w:r>
        <w:rPr>
          <w:szCs w:val="21"/>
        </w:rPr>
        <w:t>在符合性审查、商务和技术评估时，如发现下列情形之一的，响应文件将被视为无效：</w:t>
      </w:r>
    </w:p>
    <w:p w14:paraId="0E0B1945">
      <w:pPr>
        <w:spacing w:before="120" w:line="320" w:lineRule="atLeast"/>
        <w:ind w:firstLine="420" w:firstLineChars="200"/>
        <w:rPr>
          <w:color w:val="000000"/>
        </w:rPr>
      </w:pPr>
      <w:r>
        <w:rPr>
          <w:rFonts w:hint="eastAsia"/>
          <w:szCs w:val="21"/>
        </w:rPr>
        <w:t>①</w:t>
      </w:r>
      <w:r>
        <w:rPr>
          <w:color w:val="000000"/>
        </w:rPr>
        <w:t>响应文件未要求签署、盖章的；</w:t>
      </w:r>
    </w:p>
    <w:p w14:paraId="5325D64A">
      <w:pPr>
        <w:spacing w:before="120" w:line="320" w:lineRule="atLeast"/>
        <w:ind w:firstLine="420" w:firstLineChars="200"/>
        <w:rPr>
          <w:rStyle w:val="43"/>
          <w:color w:val="000000"/>
        </w:rPr>
      </w:pPr>
      <w:r>
        <w:rPr>
          <w:rFonts w:hint="eastAsia"/>
          <w:szCs w:val="21"/>
        </w:rPr>
        <w:t>②</w:t>
      </w:r>
      <w:r>
        <w:rPr>
          <w:color w:val="000000"/>
        </w:rPr>
        <w:t>报价超过</w:t>
      </w:r>
      <w:r>
        <w:rPr>
          <w:rFonts w:hint="eastAsia"/>
          <w:color w:val="000000"/>
          <w:lang w:eastAsia="zh-CN"/>
        </w:rPr>
        <w:t>项目需求</w:t>
      </w:r>
      <w:r>
        <w:rPr>
          <w:color w:val="000000"/>
        </w:rPr>
        <w:t>中规定的</w:t>
      </w:r>
      <w:r>
        <w:rPr>
          <w:rFonts w:hint="eastAsia"/>
          <w:color w:val="000000"/>
          <w:lang w:eastAsia="zh-CN"/>
        </w:rPr>
        <w:t>控制价</w:t>
      </w:r>
      <w:r>
        <w:rPr>
          <w:color w:val="000000"/>
        </w:rPr>
        <w:t>金额的；</w:t>
      </w:r>
    </w:p>
    <w:p w14:paraId="224B6026">
      <w:pPr>
        <w:spacing w:before="120" w:line="320" w:lineRule="atLeast"/>
        <w:ind w:firstLine="420" w:firstLineChars="200"/>
        <w:rPr>
          <w:szCs w:val="21"/>
        </w:rPr>
      </w:pPr>
      <w:r>
        <w:rPr>
          <w:rFonts w:hint="eastAsia"/>
          <w:szCs w:val="21"/>
        </w:rPr>
        <w:t>③评审过程中发现响应文件中提供虚假材料的；</w:t>
      </w:r>
    </w:p>
    <w:p w14:paraId="381A3291">
      <w:pPr>
        <w:spacing w:before="120" w:line="320" w:lineRule="atLeast"/>
        <w:ind w:firstLine="420" w:firstLineChars="200"/>
        <w:rPr>
          <w:szCs w:val="21"/>
        </w:rPr>
      </w:pPr>
      <w:r>
        <w:rPr>
          <w:rFonts w:hint="eastAsia" w:ascii="宋体" w:hAnsi="宋体"/>
          <w:szCs w:val="21"/>
        </w:rPr>
        <w:t>④</w:t>
      </w:r>
      <w:r>
        <w:rPr>
          <w:szCs w:val="21"/>
        </w:rPr>
        <w:t>法律、法规和询价通知书规定的其他无效情形。</w:t>
      </w:r>
    </w:p>
    <w:bookmarkEnd w:id="3"/>
    <w:p w14:paraId="2D8ACECB">
      <w:pPr>
        <w:spacing w:before="120" w:line="320" w:lineRule="atLeast"/>
        <w:ind w:firstLine="413" w:firstLineChars="196"/>
        <w:outlineLvl w:val="9"/>
        <w:rPr>
          <w:b/>
          <w:bCs/>
          <w:kern w:val="0"/>
          <w:szCs w:val="21"/>
        </w:rPr>
      </w:pPr>
      <w:r>
        <w:rPr>
          <w:rFonts w:hint="eastAsia"/>
          <w:b/>
          <w:bCs/>
          <w:kern w:val="0"/>
          <w:szCs w:val="21"/>
          <w:lang w:val="en-US" w:eastAsia="zh-CN"/>
        </w:rPr>
        <w:t>4</w:t>
      </w:r>
      <w:r>
        <w:rPr>
          <w:b/>
          <w:bCs/>
          <w:kern w:val="0"/>
          <w:szCs w:val="21"/>
        </w:rPr>
        <w:t>、成交候选供应商确定原则</w:t>
      </w:r>
    </w:p>
    <w:p w14:paraId="241ACD82">
      <w:pPr>
        <w:spacing w:before="120" w:line="320" w:lineRule="atLeast"/>
        <w:ind w:firstLine="420" w:firstLineChars="200"/>
        <w:rPr>
          <w:szCs w:val="21"/>
        </w:rPr>
      </w:pPr>
      <w:r>
        <w:rPr>
          <w:rFonts w:hint="eastAsia"/>
          <w:szCs w:val="21"/>
          <w:lang w:eastAsia="zh-CN"/>
        </w:rPr>
        <w:t>评审小组</w:t>
      </w:r>
      <w:r>
        <w:rPr>
          <w:szCs w:val="21"/>
        </w:rPr>
        <w:t>按价格由低到高的顺序排列推荐3名以上供应商为本项目（或分标）的成交候选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。若供应商的响应报价价格相同，则按服务条款的优劣顺序排列。若仍相同的，由</w:t>
      </w:r>
      <w:r>
        <w:rPr>
          <w:rFonts w:hint="eastAsia"/>
          <w:szCs w:val="21"/>
          <w:lang w:eastAsia="zh-CN"/>
        </w:rPr>
        <w:t>评审小组</w:t>
      </w:r>
      <w:r>
        <w:rPr>
          <w:szCs w:val="21"/>
        </w:rPr>
        <w:t>采用记名投票方式确定。</w:t>
      </w:r>
    </w:p>
    <w:p w14:paraId="5207DB04">
      <w:pPr>
        <w:spacing w:before="120" w:line="320" w:lineRule="atLeast"/>
        <w:ind w:firstLine="413" w:firstLineChars="196"/>
        <w:outlineLvl w:val="9"/>
        <w:rPr>
          <w:b/>
          <w:bCs/>
          <w:kern w:val="0"/>
          <w:szCs w:val="21"/>
        </w:rPr>
      </w:pPr>
      <w:r>
        <w:rPr>
          <w:rFonts w:hint="eastAsia"/>
          <w:b/>
          <w:bCs/>
          <w:kern w:val="0"/>
          <w:szCs w:val="21"/>
          <w:lang w:val="en-US" w:eastAsia="zh-CN"/>
        </w:rPr>
        <w:t>5</w:t>
      </w:r>
      <w:r>
        <w:rPr>
          <w:b/>
          <w:bCs/>
          <w:kern w:val="0"/>
          <w:szCs w:val="21"/>
        </w:rPr>
        <w:t>、评</w:t>
      </w:r>
      <w:r>
        <w:rPr>
          <w:rFonts w:hint="eastAsia"/>
          <w:b/>
          <w:bCs/>
          <w:kern w:val="0"/>
          <w:szCs w:val="21"/>
        </w:rPr>
        <w:t>审</w:t>
      </w:r>
      <w:r>
        <w:rPr>
          <w:b/>
          <w:bCs/>
          <w:kern w:val="0"/>
          <w:szCs w:val="21"/>
        </w:rPr>
        <w:t>争议处理</w:t>
      </w:r>
    </w:p>
    <w:p w14:paraId="51FE9574">
      <w:pPr>
        <w:spacing w:before="120" w:line="320" w:lineRule="atLeast"/>
        <w:ind w:firstLine="420" w:firstLineChars="200"/>
        <w:rPr>
          <w:rFonts w:hint="eastAsia" w:ascii="Times New Roman" w:hAnsi="Times New Roman"/>
          <w:b/>
          <w:color w:val="auto"/>
          <w:sz w:val="36"/>
          <w:highlight w:val="none"/>
        </w:rPr>
      </w:pPr>
      <w:r>
        <w:rPr>
          <w:rFonts w:hint="eastAsia"/>
          <w:lang w:eastAsia="zh-CN"/>
        </w:rPr>
        <w:t>评审小组</w:t>
      </w:r>
      <w:r>
        <w:t>成员对需要共同认定的事项存在争议的，应当按照少数服从多数的原则作出结论。持不同意见的</w:t>
      </w:r>
      <w:r>
        <w:rPr>
          <w:rFonts w:hint="eastAsia"/>
          <w:lang w:eastAsia="zh-CN"/>
        </w:rPr>
        <w:t>评审小组</w:t>
      </w:r>
      <w:r>
        <w:t>成员应当在评</w:t>
      </w:r>
      <w:r>
        <w:rPr>
          <w:rFonts w:hint="eastAsia"/>
        </w:rPr>
        <w:t>审</w:t>
      </w:r>
      <w:r>
        <w:t>报告上签署不同意见及理由，否则视为同意评</w:t>
      </w:r>
      <w:r>
        <w:rPr>
          <w:rFonts w:hint="eastAsia"/>
        </w:rPr>
        <w:t>审</w:t>
      </w:r>
      <w:r>
        <w:t>报告。</w:t>
      </w:r>
    </w:p>
    <w:p w14:paraId="41295E74">
      <w:pPr>
        <w:widowControl/>
        <w:jc w:val="left"/>
        <w:rPr>
          <w:rFonts w:ascii="仿宋" w:hAnsi="仿宋" w:eastAsia="仿宋" w:cs="仿宋"/>
          <w:bCs/>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93CA">
    <w:pPr>
      <w:pStyle w:val="1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ABF395">
                <w:pPr>
                  <w:pStyle w:val="1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C47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08F5">
    <w:pPr>
      <w:pStyle w:val="15"/>
      <w:tabs>
        <w:tab w:val="left" w:pos="5995"/>
        <w:tab w:val="clear" w:pos="4153"/>
      </w:tabs>
      <w:jc w:val="both"/>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CA4A7F2">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r>
      <w:rPr>
        <w:sz w:val="24"/>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6D951A">
                <w:pPr>
                  <w:pStyle w:val="15"/>
                  <w:jc w:val="center"/>
                </w:pPr>
              </w:p>
            </w:txbxContent>
          </v:textbox>
        </v:shape>
      </w:pict>
    </w:r>
    <w:r>
      <w:rPr>
        <w:rFonts w:hint="eastAsia" w:ascii="Times New Roman" w:hAnsi="Times New Roman" w:eastAsia="仿宋_GB2312"/>
        <w:sz w:val="24"/>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0A52">
    <w:pPr>
      <w:pStyle w:val="15"/>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86307B9">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C268E"/>
    <w:multiLevelType w:val="singleLevel"/>
    <w:tmpl w:val="03BC268E"/>
    <w:lvl w:ilvl="0" w:tentative="0">
      <w:start w:val="1"/>
      <w:numFmt w:val="decimal"/>
      <w:lvlText w:val="%1."/>
      <w:lvlJc w:val="left"/>
      <w:pPr>
        <w:tabs>
          <w:tab w:val="left" w:pos="312"/>
        </w:tabs>
      </w:pPr>
    </w:lvl>
  </w:abstractNum>
  <w:abstractNum w:abstractNumId="1">
    <w:nsid w:val="3F4D9D69"/>
    <w:multiLevelType w:val="singleLevel"/>
    <w:tmpl w:val="3F4D9D6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0YjRlNWU1MTNmNTNlNDQ0NGVhYTdmNzNlMjllYTEifQ=="/>
  </w:docVars>
  <w:rsids>
    <w:rsidRoot w:val="7DC52EA5"/>
    <w:rsid w:val="0001182B"/>
    <w:rsid w:val="00014122"/>
    <w:rsid w:val="00043EDC"/>
    <w:rsid w:val="00045C7B"/>
    <w:rsid w:val="00054B27"/>
    <w:rsid w:val="00071A4F"/>
    <w:rsid w:val="00073669"/>
    <w:rsid w:val="00081AE6"/>
    <w:rsid w:val="00082772"/>
    <w:rsid w:val="000840FC"/>
    <w:rsid w:val="000C5FB1"/>
    <w:rsid w:val="000C6C70"/>
    <w:rsid w:val="000E392E"/>
    <w:rsid w:val="001062E2"/>
    <w:rsid w:val="00107A7E"/>
    <w:rsid w:val="00111C68"/>
    <w:rsid w:val="0012320E"/>
    <w:rsid w:val="00125313"/>
    <w:rsid w:val="0015387F"/>
    <w:rsid w:val="00161D83"/>
    <w:rsid w:val="001B21C5"/>
    <w:rsid w:val="001C076D"/>
    <w:rsid w:val="001F37DE"/>
    <w:rsid w:val="00240444"/>
    <w:rsid w:val="00261511"/>
    <w:rsid w:val="002A3088"/>
    <w:rsid w:val="002D3B8F"/>
    <w:rsid w:val="002F487E"/>
    <w:rsid w:val="0030745F"/>
    <w:rsid w:val="00322F04"/>
    <w:rsid w:val="00362F88"/>
    <w:rsid w:val="00381ECF"/>
    <w:rsid w:val="00386FF7"/>
    <w:rsid w:val="00393FB3"/>
    <w:rsid w:val="003975A1"/>
    <w:rsid w:val="003A2758"/>
    <w:rsid w:val="004076FC"/>
    <w:rsid w:val="00422B7B"/>
    <w:rsid w:val="0043007C"/>
    <w:rsid w:val="00432596"/>
    <w:rsid w:val="00432E9A"/>
    <w:rsid w:val="00435EA6"/>
    <w:rsid w:val="00441693"/>
    <w:rsid w:val="0044211D"/>
    <w:rsid w:val="00472F26"/>
    <w:rsid w:val="004951A6"/>
    <w:rsid w:val="004A1324"/>
    <w:rsid w:val="004C6BAB"/>
    <w:rsid w:val="004E2EB6"/>
    <w:rsid w:val="004F5233"/>
    <w:rsid w:val="00522D62"/>
    <w:rsid w:val="005435D4"/>
    <w:rsid w:val="005638E0"/>
    <w:rsid w:val="0057666D"/>
    <w:rsid w:val="005A6ADD"/>
    <w:rsid w:val="005F1C0C"/>
    <w:rsid w:val="0061446B"/>
    <w:rsid w:val="006251E3"/>
    <w:rsid w:val="006356B5"/>
    <w:rsid w:val="00674576"/>
    <w:rsid w:val="0068704D"/>
    <w:rsid w:val="006930AF"/>
    <w:rsid w:val="00693A10"/>
    <w:rsid w:val="006978BC"/>
    <w:rsid w:val="006A23BB"/>
    <w:rsid w:val="006B0D15"/>
    <w:rsid w:val="006D3BD1"/>
    <w:rsid w:val="006E6E7D"/>
    <w:rsid w:val="00730CB5"/>
    <w:rsid w:val="00760394"/>
    <w:rsid w:val="00763219"/>
    <w:rsid w:val="00784913"/>
    <w:rsid w:val="00786A28"/>
    <w:rsid w:val="00795C07"/>
    <w:rsid w:val="007A163C"/>
    <w:rsid w:val="007B0362"/>
    <w:rsid w:val="007C65D1"/>
    <w:rsid w:val="007E01DF"/>
    <w:rsid w:val="007E0476"/>
    <w:rsid w:val="007E2623"/>
    <w:rsid w:val="007E507F"/>
    <w:rsid w:val="00801E09"/>
    <w:rsid w:val="00850557"/>
    <w:rsid w:val="00864780"/>
    <w:rsid w:val="00865D1D"/>
    <w:rsid w:val="008C1C7E"/>
    <w:rsid w:val="008E5264"/>
    <w:rsid w:val="008E7FCE"/>
    <w:rsid w:val="00920ABE"/>
    <w:rsid w:val="00921224"/>
    <w:rsid w:val="00926C26"/>
    <w:rsid w:val="009557B2"/>
    <w:rsid w:val="00956B38"/>
    <w:rsid w:val="00977A56"/>
    <w:rsid w:val="00990679"/>
    <w:rsid w:val="00990B9C"/>
    <w:rsid w:val="009E2EB2"/>
    <w:rsid w:val="00A128E1"/>
    <w:rsid w:val="00AB3939"/>
    <w:rsid w:val="00AB3997"/>
    <w:rsid w:val="00AB3CF9"/>
    <w:rsid w:val="00AC6369"/>
    <w:rsid w:val="00AC6406"/>
    <w:rsid w:val="00AC6B4E"/>
    <w:rsid w:val="00AF024F"/>
    <w:rsid w:val="00B03B65"/>
    <w:rsid w:val="00B2573F"/>
    <w:rsid w:val="00B3440F"/>
    <w:rsid w:val="00B36373"/>
    <w:rsid w:val="00B65A4F"/>
    <w:rsid w:val="00B75D70"/>
    <w:rsid w:val="00B82B0F"/>
    <w:rsid w:val="00B94D4A"/>
    <w:rsid w:val="00BF367B"/>
    <w:rsid w:val="00C06477"/>
    <w:rsid w:val="00C06A1E"/>
    <w:rsid w:val="00C20F98"/>
    <w:rsid w:val="00C307AE"/>
    <w:rsid w:val="00C571A7"/>
    <w:rsid w:val="00C62041"/>
    <w:rsid w:val="00C87E5D"/>
    <w:rsid w:val="00C93C68"/>
    <w:rsid w:val="00C941BC"/>
    <w:rsid w:val="00CA299B"/>
    <w:rsid w:val="00CC1F4A"/>
    <w:rsid w:val="00CC60EA"/>
    <w:rsid w:val="00CD0B82"/>
    <w:rsid w:val="00D30840"/>
    <w:rsid w:val="00D3288F"/>
    <w:rsid w:val="00D42FF9"/>
    <w:rsid w:val="00D566D7"/>
    <w:rsid w:val="00D57EB3"/>
    <w:rsid w:val="00D62EA4"/>
    <w:rsid w:val="00D709EE"/>
    <w:rsid w:val="00DB290D"/>
    <w:rsid w:val="00DD5202"/>
    <w:rsid w:val="00DD6948"/>
    <w:rsid w:val="00E03DBB"/>
    <w:rsid w:val="00E05796"/>
    <w:rsid w:val="00E20177"/>
    <w:rsid w:val="00E35AA4"/>
    <w:rsid w:val="00E37ECF"/>
    <w:rsid w:val="00E978CC"/>
    <w:rsid w:val="00EA014B"/>
    <w:rsid w:val="00F22A1E"/>
    <w:rsid w:val="00F26369"/>
    <w:rsid w:val="00F328CD"/>
    <w:rsid w:val="00F435E1"/>
    <w:rsid w:val="00F71BF6"/>
    <w:rsid w:val="00F82AAF"/>
    <w:rsid w:val="00F9168F"/>
    <w:rsid w:val="00FA460F"/>
    <w:rsid w:val="00FD06E9"/>
    <w:rsid w:val="00FD3B7D"/>
    <w:rsid w:val="00FD4BB4"/>
    <w:rsid w:val="00FE5CCE"/>
    <w:rsid w:val="00FF47F4"/>
    <w:rsid w:val="010F2C79"/>
    <w:rsid w:val="0180460C"/>
    <w:rsid w:val="018207C5"/>
    <w:rsid w:val="01A31ABB"/>
    <w:rsid w:val="01A63B7F"/>
    <w:rsid w:val="023B042D"/>
    <w:rsid w:val="029307AF"/>
    <w:rsid w:val="029E4497"/>
    <w:rsid w:val="02B04C50"/>
    <w:rsid w:val="02B56978"/>
    <w:rsid w:val="02D2724D"/>
    <w:rsid w:val="02F2197A"/>
    <w:rsid w:val="02FA082F"/>
    <w:rsid w:val="033B2485"/>
    <w:rsid w:val="03593C27"/>
    <w:rsid w:val="03850F0A"/>
    <w:rsid w:val="03D60954"/>
    <w:rsid w:val="03F10EDE"/>
    <w:rsid w:val="03F139E0"/>
    <w:rsid w:val="043307A6"/>
    <w:rsid w:val="04700DA8"/>
    <w:rsid w:val="04814D63"/>
    <w:rsid w:val="04D255BF"/>
    <w:rsid w:val="04DD7D0E"/>
    <w:rsid w:val="04EF0EBA"/>
    <w:rsid w:val="05146811"/>
    <w:rsid w:val="05177476"/>
    <w:rsid w:val="05483AD3"/>
    <w:rsid w:val="055A7363"/>
    <w:rsid w:val="05692B22"/>
    <w:rsid w:val="057523EE"/>
    <w:rsid w:val="058332BF"/>
    <w:rsid w:val="05E07758"/>
    <w:rsid w:val="064471D0"/>
    <w:rsid w:val="06456716"/>
    <w:rsid w:val="067F6A05"/>
    <w:rsid w:val="069A035E"/>
    <w:rsid w:val="06BC6527"/>
    <w:rsid w:val="06BF03B5"/>
    <w:rsid w:val="06C13B3D"/>
    <w:rsid w:val="0780250D"/>
    <w:rsid w:val="07C531B9"/>
    <w:rsid w:val="085B1D6F"/>
    <w:rsid w:val="085D7896"/>
    <w:rsid w:val="087658EC"/>
    <w:rsid w:val="08D710E1"/>
    <w:rsid w:val="0932260E"/>
    <w:rsid w:val="0946699E"/>
    <w:rsid w:val="09497E1A"/>
    <w:rsid w:val="09771111"/>
    <w:rsid w:val="099C263F"/>
    <w:rsid w:val="09CB082F"/>
    <w:rsid w:val="0A01263D"/>
    <w:rsid w:val="0A48692C"/>
    <w:rsid w:val="0A613847"/>
    <w:rsid w:val="0A667025"/>
    <w:rsid w:val="0A6C2705"/>
    <w:rsid w:val="0A7113D6"/>
    <w:rsid w:val="0ADB2CF4"/>
    <w:rsid w:val="0ADE0D1E"/>
    <w:rsid w:val="0B662F05"/>
    <w:rsid w:val="0B7A250D"/>
    <w:rsid w:val="0B7A5D95"/>
    <w:rsid w:val="0B815649"/>
    <w:rsid w:val="0B95098E"/>
    <w:rsid w:val="0BE5207C"/>
    <w:rsid w:val="0C4A6383"/>
    <w:rsid w:val="0C75118B"/>
    <w:rsid w:val="0C7C6B22"/>
    <w:rsid w:val="0C866740"/>
    <w:rsid w:val="0D192328"/>
    <w:rsid w:val="0D742DF1"/>
    <w:rsid w:val="0D811BCF"/>
    <w:rsid w:val="0D883A97"/>
    <w:rsid w:val="0DB241E0"/>
    <w:rsid w:val="0DDC125D"/>
    <w:rsid w:val="0DEF3C89"/>
    <w:rsid w:val="0E440BB0"/>
    <w:rsid w:val="0E9F5658"/>
    <w:rsid w:val="0ED558F6"/>
    <w:rsid w:val="0EE303C9"/>
    <w:rsid w:val="0F283D96"/>
    <w:rsid w:val="0F8B2784"/>
    <w:rsid w:val="0FC63F72"/>
    <w:rsid w:val="0FF52AA9"/>
    <w:rsid w:val="105351A2"/>
    <w:rsid w:val="105567E3"/>
    <w:rsid w:val="10577F97"/>
    <w:rsid w:val="10991687"/>
    <w:rsid w:val="11252F1A"/>
    <w:rsid w:val="1154173C"/>
    <w:rsid w:val="11847C41"/>
    <w:rsid w:val="11B85B3D"/>
    <w:rsid w:val="11C25632"/>
    <w:rsid w:val="11D96D94"/>
    <w:rsid w:val="120E7E53"/>
    <w:rsid w:val="122B3102"/>
    <w:rsid w:val="125860AD"/>
    <w:rsid w:val="1266498D"/>
    <w:rsid w:val="12705C37"/>
    <w:rsid w:val="12EA61CA"/>
    <w:rsid w:val="12F069E9"/>
    <w:rsid w:val="12F11027"/>
    <w:rsid w:val="13272F7A"/>
    <w:rsid w:val="13754D82"/>
    <w:rsid w:val="138F09C8"/>
    <w:rsid w:val="13AE1F3B"/>
    <w:rsid w:val="13B73411"/>
    <w:rsid w:val="13B80076"/>
    <w:rsid w:val="13C06F2A"/>
    <w:rsid w:val="13C20EF5"/>
    <w:rsid w:val="13CC3E1E"/>
    <w:rsid w:val="13E17686"/>
    <w:rsid w:val="14060DE1"/>
    <w:rsid w:val="143C28F6"/>
    <w:rsid w:val="14436EA8"/>
    <w:rsid w:val="14445DAD"/>
    <w:rsid w:val="14591A0E"/>
    <w:rsid w:val="146F5D26"/>
    <w:rsid w:val="14860BF1"/>
    <w:rsid w:val="14922675"/>
    <w:rsid w:val="14C50C9C"/>
    <w:rsid w:val="14CA62B3"/>
    <w:rsid w:val="157E709D"/>
    <w:rsid w:val="158F4E06"/>
    <w:rsid w:val="15AA3169"/>
    <w:rsid w:val="15FF306C"/>
    <w:rsid w:val="162C6AF9"/>
    <w:rsid w:val="17107B4D"/>
    <w:rsid w:val="176463EC"/>
    <w:rsid w:val="1765105F"/>
    <w:rsid w:val="1767428D"/>
    <w:rsid w:val="17C70110"/>
    <w:rsid w:val="17E92EF4"/>
    <w:rsid w:val="180D7890"/>
    <w:rsid w:val="18AE7C99"/>
    <w:rsid w:val="18C261C8"/>
    <w:rsid w:val="19294C0B"/>
    <w:rsid w:val="19A4072D"/>
    <w:rsid w:val="19E20B4E"/>
    <w:rsid w:val="1A2A2FFC"/>
    <w:rsid w:val="1A5403CD"/>
    <w:rsid w:val="1A8C7B66"/>
    <w:rsid w:val="1AA03612"/>
    <w:rsid w:val="1AA7482F"/>
    <w:rsid w:val="1AB62E35"/>
    <w:rsid w:val="1AB74248"/>
    <w:rsid w:val="1AEA05DF"/>
    <w:rsid w:val="1AED4AA9"/>
    <w:rsid w:val="1B0555B5"/>
    <w:rsid w:val="1B1C538E"/>
    <w:rsid w:val="1B4641B9"/>
    <w:rsid w:val="1B7768E6"/>
    <w:rsid w:val="1B8E0FA5"/>
    <w:rsid w:val="1BA710FC"/>
    <w:rsid w:val="1BBA70EA"/>
    <w:rsid w:val="1BF51B32"/>
    <w:rsid w:val="1C406E5A"/>
    <w:rsid w:val="1C485D0F"/>
    <w:rsid w:val="1C534DE0"/>
    <w:rsid w:val="1CBB4733"/>
    <w:rsid w:val="1CEE1205"/>
    <w:rsid w:val="1D507571"/>
    <w:rsid w:val="1D552DD9"/>
    <w:rsid w:val="1DB80A1F"/>
    <w:rsid w:val="1DCD6828"/>
    <w:rsid w:val="1DEE2B54"/>
    <w:rsid w:val="1DF20628"/>
    <w:rsid w:val="1E0B5246"/>
    <w:rsid w:val="1E340C41"/>
    <w:rsid w:val="1E4E1D03"/>
    <w:rsid w:val="1E962E2C"/>
    <w:rsid w:val="1F0321A7"/>
    <w:rsid w:val="1F364065"/>
    <w:rsid w:val="1FC72E9A"/>
    <w:rsid w:val="200F5F18"/>
    <w:rsid w:val="20144886"/>
    <w:rsid w:val="206218F3"/>
    <w:rsid w:val="206718C3"/>
    <w:rsid w:val="207E02D8"/>
    <w:rsid w:val="208D7F5E"/>
    <w:rsid w:val="20D14525"/>
    <w:rsid w:val="210D2CB1"/>
    <w:rsid w:val="212925B3"/>
    <w:rsid w:val="21395EDD"/>
    <w:rsid w:val="215A237F"/>
    <w:rsid w:val="219C4485"/>
    <w:rsid w:val="221A1EFC"/>
    <w:rsid w:val="22420EF6"/>
    <w:rsid w:val="2277565C"/>
    <w:rsid w:val="22993768"/>
    <w:rsid w:val="22B91715"/>
    <w:rsid w:val="23101BA9"/>
    <w:rsid w:val="23701704"/>
    <w:rsid w:val="23832C42"/>
    <w:rsid w:val="238C68D9"/>
    <w:rsid w:val="23D74548"/>
    <w:rsid w:val="2431606C"/>
    <w:rsid w:val="243F3E9B"/>
    <w:rsid w:val="24651B54"/>
    <w:rsid w:val="247022A7"/>
    <w:rsid w:val="24B6415E"/>
    <w:rsid w:val="24BB1774"/>
    <w:rsid w:val="250F1AC0"/>
    <w:rsid w:val="25227EA9"/>
    <w:rsid w:val="25283D1B"/>
    <w:rsid w:val="25286BFC"/>
    <w:rsid w:val="252A3F57"/>
    <w:rsid w:val="25700B6C"/>
    <w:rsid w:val="25733DFD"/>
    <w:rsid w:val="25783B09"/>
    <w:rsid w:val="259721E1"/>
    <w:rsid w:val="25CB3167"/>
    <w:rsid w:val="25CD4E9E"/>
    <w:rsid w:val="2610789E"/>
    <w:rsid w:val="26337076"/>
    <w:rsid w:val="265A1BB4"/>
    <w:rsid w:val="266B278A"/>
    <w:rsid w:val="2673570E"/>
    <w:rsid w:val="26D11723"/>
    <w:rsid w:val="26DA3033"/>
    <w:rsid w:val="276D77B5"/>
    <w:rsid w:val="27D71703"/>
    <w:rsid w:val="286914E7"/>
    <w:rsid w:val="288307FB"/>
    <w:rsid w:val="28AD40F4"/>
    <w:rsid w:val="28ED60D4"/>
    <w:rsid w:val="28F9175A"/>
    <w:rsid w:val="28FC7C1A"/>
    <w:rsid w:val="29015BC3"/>
    <w:rsid w:val="291A4E2F"/>
    <w:rsid w:val="29347D47"/>
    <w:rsid w:val="29606D8E"/>
    <w:rsid w:val="296930F2"/>
    <w:rsid w:val="29906483"/>
    <w:rsid w:val="29AC526A"/>
    <w:rsid w:val="29BB2216"/>
    <w:rsid w:val="29CF4022"/>
    <w:rsid w:val="2A227790"/>
    <w:rsid w:val="2A4C3A21"/>
    <w:rsid w:val="2A580712"/>
    <w:rsid w:val="2A756869"/>
    <w:rsid w:val="2A832D34"/>
    <w:rsid w:val="2A8A31B3"/>
    <w:rsid w:val="2AB32EED"/>
    <w:rsid w:val="2AC754C9"/>
    <w:rsid w:val="2AFE060C"/>
    <w:rsid w:val="2B0459C6"/>
    <w:rsid w:val="2B2F56A3"/>
    <w:rsid w:val="2B571086"/>
    <w:rsid w:val="2B6B072A"/>
    <w:rsid w:val="2BA7612C"/>
    <w:rsid w:val="2BB331A5"/>
    <w:rsid w:val="2C2916B9"/>
    <w:rsid w:val="2C2D5207"/>
    <w:rsid w:val="2C2E6CCF"/>
    <w:rsid w:val="2C520C10"/>
    <w:rsid w:val="2C772839"/>
    <w:rsid w:val="2CA50EF2"/>
    <w:rsid w:val="2CB216AE"/>
    <w:rsid w:val="2CDC2B8B"/>
    <w:rsid w:val="2CE6368C"/>
    <w:rsid w:val="2CED0939"/>
    <w:rsid w:val="2D74105A"/>
    <w:rsid w:val="2DDB7DBD"/>
    <w:rsid w:val="2E1D3A94"/>
    <w:rsid w:val="2EC76F67"/>
    <w:rsid w:val="2ED33B5E"/>
    <w:rsid w:val="2EE930F3"/>
    <w:rsid w:val="2F363FD6"/>
    <w:rsid w:val="2F745341"/>
    <w:rsid w:val="2FE204FD"/>
    <w:rsid w:val="2FED67F0"/>
    <w:rsid w:val="30EA695A"/>
    <w:rsid w:val="30FD2F75"/>
    <w:rsid w:val="31086BD1"/>
    <w:rsid w:val="315D0ECD"/>
    <w:rsid w:val="318178A1"/>
    <w:rsid w:val="321A1044"/>
    <w:rsid w:val="32425B98"/>
    <w:rsid w:val="32917FB8"/>
    <w:rsid w:val="32A67329"/>
    <w:rsid w:val="32FA1C32"/>
    <w:rsid w:val="330427FC"/>
    <w:rsid w:val="341C5D39"/>
    <w:rsid w:val="342B17CD"/>
    <w:rsid w:val="343D58A1"/>
    <w:rsid w:val="3457130E"/>
    <w:rsid w:val="3458152F"/>
    <w:rsid w:val="346516FC"/>
    <w:rsid w:val="348F22D5"/>
    <w:rsid w:val="34A46413"/>
    <w:rsid w:val="34C53F49"/>
    <w:rsid w:val="34E40873"/>
    <w:rsid w:val="35270760"/>
    <w:rsid w:val="353F2D47"/>
    <w:rsid w:val="35CB53A7"/>
    <w:rsid w:val="35FC7E3E"/>
    <w:rsid w:val="361E6007"/>
    <w:rsid w:val="362829E1"/>
    <w:rsid w:val="365437D6"/>
    <w:rsid w:val="36545AE5"/>
    <w:rsid w:val="369B1405"/>
    <w:rsid w:val="36CE5337"/>
    <w:rsid w:val="36E42DAC"/>
    <w:rsid w:val="37060F75"/>
    <w:rsid w:val="37137350"/>
    <w:rsid w:val="37756AB3"/>
    <w:rsid w:val="37764CBD"/>
    <w:rsid w:val="378C30BB"/>
    <w:rsid w:val="37E170D4"/>
    <w:rsid w:val="38174ADA"/>
    <w:rsid w:val="3841400E"/>
    <w:rsid w:val="384B7486"/>
    <w:rsid w:val="389F5BCA"/>
    <w:rsid w:val="394F0490"/>
    <w:rsid w:val="396957EB"/>
    <w:rsid w:val="3995038E"/>
    <w:rsid w:val="39BD78E5"/>
    <w:rsid w:val="39DA2245"/>
    <w:rsid w:val="39E9692C"/>
    <w:rsid w:val="3A0073A2"/>
    <w:rsid w:val="3A3C784F"/>
    <w:rsid w:val="3ABC7B9C"/>
    <w:rsid w:val="3AE710BD"/>
    <w:rsid w:val="3B2229CC"/>
    <w:rsid w:val="3B6A75F8"/>
    <w:rsid w:val="3B6D45C5"/>
    <w:rsid w:val="3BB571BF"/>
    <w:rsid w:val="3BC56053"/>
    <w:rsid w:val="3BD80A06"/>
    <w:rsid w:val="3BF55114"/>
    <w:rsid w:val="3C30228F"/>
    <w:rsid w:val="3C6957BF"/>
    <w:rsid w:val="3CA50EEA"/>
    <w:rsid w:val="3CF47533"/>
    <w:rsid w:val="3D605157"/>
    <w:rsid w:val="3D6E6BA4"/>
    <w:rsid w:val="3D6F7148"/>
    <w:rsid w:val="3DAD3FBE"/>
    <w:rsid w:val="3DD142BB"/>
    <w:rsid w:val="3E6D7B0C"/>
    <w:rsid w:val="3E950E30"/>
    <w:rsid w:val="3F0B4C4E"/>
    <w:rsid w:val="3F0E7575"/>
    <w:rsid w:val="3F2C7B93"/>
    <w:rsid w:val="3F5E2DF9"/>
    <w:rsid w:val="3F815008"/>
    <w:rsid w:val="3F9D1D4A"/>
    <w:rsid w:val="3FC75019"/>
    <w:rsid w:val="40147B22"/>
    <w:rsid w:val="408353E4"/>
    <w:rsid w:val="409B1A96"/>
    <w:rsid w:val="40FC5196"/>
    <w:rsid w:val="415B1B90"/>
    <w:rsid w:val="4168282C"/>
    <w:rsid w:val="41742367"/>
    <w:rsid w:val="4194717D"/>
    <w:rsid w:val="41CE6B33"/>
    <w:rsid w:val="41D1217F"/>
    <w:rsid w:val="421D2F00"/>
    <w:rsid w:val="42254279"/>
    <w:rsid w:val="425B0980"/>
    <w:rsid w:val="4283791D"/>
    <w:rsid w:val="42BE5066"/>
    <w:rsid w:val="42F36125"/>
    <w:rsid w:val="43115D2A"/>
    <w:rsid w:val="43394480"/>
    <w:rsid w:val="433D7A78"/>
    <w:rsid w:val="4349216B"/>
    <w:rsid w:val="435757B2"/>
    <w:rsid w:val="438C790B"/>
    <w:rsid w:val="43B64C47"/>
    <w:rsid w:val="43CE2297"/>
    <w:rsid w:val="445D419E"/>
    <w:rsid w:val="446217B4"/>
    <w:rsid w:val="44BF09B5"/>
    <w:rsid w:val="44D97CC8"/>
    <w:rsid w:val="44FD04E6"/>
    <w:rsid w:val="4504461A"/>
    <w:rsid w:val="45D16BF2"/>
    <w:rsid w:val="460D4257"/>
    <w:rsid w:val="463336E0"/>
    <w:rsid w:val="46470C62"/>
    <w:rsid w:val="46A240EA"/>
    <w:rsid w:val="46C16C66"/>
    <w:rsid w:val="46D04693"/>
    <w:rsid w:val="478D6A3C"/>
    <w:rsid w:val="47E744AA"/>
    <w:rsid w:val="47F170D7"/>
    <w:rsid w:val="48086415"/>
    <w:rsid w:val="482336B0"/>
    <w:rsid w:val="482B4558"/>
    <w:rsid w:val="487526CC"/>
    <w:rsid w:val="48B545A9"/>
    <w:rsid w:val="48B84099"/>
    <w:rsid w:val="48F13107"/>
    <w:rsid w:val="49521DF7"/>
    <w:rsid w:val="495F27A1"/>
    <w:rsid w:val="49C34D17"/>
    <w:rsid w:val="49D81443"/>
    <w:rsid w:val="4A805944"/>
    <w:rsid w:val="4A8915B8"/>
    <w:rsid w:val="4A944A26"/>
    <w:rsid w:val="4A995804"/>
    <w:rsid w:val="4AB64F82"/>
    <w:rsid w:val="4AEC627C"/>
    <w:rsid w:val="4AF018C8"/>
    <w:rsid w:val="4B101774"/>
    <w:rsid w:val="4B5C5D43"/>
    <w:rsid w:val="4B975426"/>
    <w:rsid w:val="4BDA4326"/>
    <w:rsid w:val="4C312198"/>
    <w:rsid w:val="4C343A36"/>
    <w:rsid w:val="4C397865"/>
    <w:rsid w:val="4C5C608F"/>
    <w:rsid w:val="4CCC3B4A"/>
    <w:rsid w:val="4CE40F83"/>
    <w:rsid w:val="4D3D4B6D"/>
    <w:rsid w:val="4D622825"/>
    <w:rsid w:val="4D81330C"/>
    <w:rsid w:val="4DAD6D49"/>
    <w:rsid w:val="4DDD4E6D"/>
    <w:rsid w:val="4E2A50F1"/>
    <w:rsid w:val="4E594465"/>
    <w:rsid w:val="4E5B79A0"/>
    <w:rsid w:val="4E93713A"/>
    <w:rsid w:val="4EDD6607"/>
    <w:rsid w:val="4F464194"/>
    <w:rsid w:val="4F510757"/>
    <w:rsid w:val="4F946E6D"/>
    <w:rsid w:val="4FDB37F4"/>
    <w:rsid w:val="50141B8D"/>
    <w:rsid w:val="502649D0"/>
    <w:rsid w:val="502D4D98"/>
    <w:rsid w:val="50504BB7"/>
    <w:rsid w:val="50940112"/>
    <w:rsid w:val="50B603AB"/>
    <w:rsid w:val="50BC5616"/>
    <w:rsid w:val="50FA67BE"/>
    <w:rsid w:val="510F4A72"/>
    <w:rsid w:val="511144D8"/>
    <w:rsid w:val="513D513B"/>
    <w:rsid w:val="51FF6894"/>
    <w:rsid w:val="5215447D"/>
    <w:rsid w:val="522474FD"/>
    <w:rsid w:val="52956034"/>
    <w:rsid w:val="537E0443"/>
    <w:rsid w:val="53A8335E"/>
    <w:rsid w:val="53AE0572"/>
    <w:rsid w:val="53C33A31"/>
    <w:rsid w:val="53E72A96"/>
    <w:rsid w:val="545D5AF4"/>
    <w:rsid w:val="54A232F5"/>
    <w:rsid w:val="55844554"/>
    <w:rsid w:val="564C7BCE"/>
    <w:rsid w:val="56633896"/>
    <w:rsid w:val="56A833F9"/>
    <w:rsid w:val="56E542AB"/>
    <w:rsid w:val="575104C8"/>
    <w:rsid w:val="57914433"/>
    <w:rsid w:val="57B554F4"/>
    <w:rsid w:val="57E04A72"/>
    <w:rsid w:val="57FF75EE"/>
    <w:rsid w:val="58354DBE"/>
    <w:rsid w:val="5870229A"/>
    <w:rsid w:val="58715890"/>
    <w:rsid w:val="58831FCD"/>
    <w:rsid w:val="5987789B"/>
    <w:rsid w:val="59A33A0D"/>
    <w:rsid w:val="59AA4DF7"/>
    <w:rsid w:val="5A0507C0"/>
    <w:rsid w:val="5A43263C"/>
    <w:rsid w:val="5AB77983"/>
    <w:rsid w:val="5ABB5323"/>
    <w:rsid w:val="5B2335F4"/>
    <w:rsid w:val="5B694D7F"/>
    <w:rsid w:val="5B745BFD"/>
    <w:rsid w:val="5B9A4115"/>
    <w:rsid w:val="5B9F1982"/>
    <w:rsid w:val="5BBD57F6"/>
    <w:rsid w:val="5C003935"/>
    <w:rsid w:val="5C1473E0"/>
    <w:rsid w:val="5C3435DF"/>
    <w:rsid w:val="5C8005D2"/>
    <w:rsid w:val="5CB12E81"/>
    <w:rsid w:val="5D0B4EFB"/>
    <w:rsid w:val="5D1C0BD9"/>
    <w:rsid w:val="5D373C4B"/>
    <w:rsid w:val="5D447903"/>
    <w:rsid w:val="5D75771C"/>
    <w:rsid w:val="5D9702C9"/>
    <w:rsid w:val="5DAB1E3A"/>
    <w:rsid w:val="5DD24E5D"/>
    <w:rsid w:val="5E070FAB"/>
    <w:rsid w:val="5E135B5A"/>
    <w:rsid w:val="5E4F4700"/>
    <w:rsid w:val="5E68756F"/>
    <w:rsid w:val="5EA8533D"/>
    <w:rsid w:val="5F805BD9"/>
    <w:rsid w:val="5F8454CE"/>
    <w:rsid w:val="5FC07EA8"/>
    <w:rsid w:val="5FE115EF"/>
    <w:rsid w:val="602216B9"/>
    <w:rsid w:val="60367B2B"/>
    <w:rsid w:val="603F34D8"/>
    <w:rsid w:val="604F14EC"/>
    <w:rsid w:val="60A70B88"/>
    <w:rsid w:val="61090336"/>
    <w:rsid w:val="61181721"/>
    <w:rsid w:val="61500960"/>
    <w:rsid w:val="618621F4"/>
    <w:rsid w:val="61B722C3"/>
    <w:rsid w:val="61D01DD2"/>
    <w:rsid w:val="62046A6B"/>
    <w:rsid w:val="62257D7B"/>
    <w:rsid w:val="627604AD"/>
    <w:rsid w:val="627B4EDA"/>
    <w:rsid w:val="62886CB8"/>
    <w:rsid w:val="629923ED"/>
    <w:rsid w:val="62B64D4D"/>
    <w:rsid w:val="62BC60DF"/>
    <w:rsid w:val="62C2643F"/>
    <w:rsid w:val="631A4D27"/>
    <w:rsid w:val="631D6B7A"/>
    <w:rsid w:val="634E142A"/>
    <w:rsid w:val="636C2D76"/>
    <w:rsid w:val="63DA020D"/>
    <w:rsid w:val="63E105CA"/>
    <w:rsid w:val="64077B7B"/>
    <w:rsid w:val="64371EBE"/>
    <w:rsid w:val="643C430D"/>
    <w:rsid w:val="6454612A"/>
    <w:rsid w:val="645A64FF"/>
    <w:rsid w:val="645F2960"/>
    <w:rsid w:val="64C74A05"/>
    <w:rsid w:val="64CD09EF"/>
    <w:rsid w:val="64DC699A"/>
    <w:rsid w:val="64F67EE8"/>
    <w:rsid w:val="653C15BA"/>
    <w:rsid w:val="653E2944"/>
    <w:rsid w:val="65402D12"/>
    <w:rsid w:val="658147AB"/>
    <w:rsid w:val="65AA7E46"/>
    <w:rsid w:val="65D57BE0"/>
    <w:rsid w:val="65EE70DA"/>
    <w:rsid w:val="661A232A"/>
    <w:rsid w:val="6632293D"/>
    <w:rsid w:val="6686173D"/>
    <w:rsid w:val="669E7FD2"/>
    <w:rsid w:val="66D11982"/>
    <w:rsid w:val="66EA3218"/>
    <w:rsid w:val="67386806"/>
    <w:rsid w:val="675D094C"/>
    <w:rsid w:val="6776587D"/>
    <w:rsid w:val="678F223E"/>
    <w:rsid w:val="67B61CC7"/>
    <w:rsid w:val="68142FE1"/>
    <w:rsid w:val="68582A8B"/>
    <w:rsid w:val="68792AA5"/>
    <w:rsid w:val="68B91D73"/>
    <w:rsid w:val="68CB0E27"/>
    <w:rsid w:val="690B4321"/>
    <w:rsid w:val="692D388F"/>
    <w:rsid w:val="69961435"/>
    <w:rsid w:val="699A7177"/>
    <w:rsid w:val="69AD6A82"/>
    <w:rsid w:val="6A162A44"/>
    <w:rsid w:val="6A243D68"/>
    <w:rsid w:val="6A455DFD"/>
    <w:rsid w:val="6A48378D"/>
    <w:rsid w:val="6A8219B9"/>
    <w:rsid w:val="6AFF300A"/>
    <w:rsid w:val="6B091F05"/>
    <w:rsid w:val="6B1A1459"/>
    <w:rsid w:val="6B39435F"/>
    <w:rsid w:val="6B394775"/>
    <w:rsid w:val="6B87372B"/>
    <w:rsid w:val="6BB81B36"/>
    <w:rsid w:val="6BD7028F"/>
    <w:rsid w:val="6BF80717"/>
    <w:rsid w:val="6BF85B87"/>
    <w:rsid w:val="6C1D55C6"/>
    <w:rsid w:val="6C691D8E"/>
    <w:rsid w:val="6C6E4D5C"/>
    <w:rsid w:val="6C8D2FC3"/>
    <w:rsid w:val="6C9652DB"/>
    <w:rsid w:val="6CB73B9C"/>
    <w:rsid w:val="6CCC5F78"/>
    <w:rsid w:val="6CF71342"/>
    <w:rsid w:val="6D26555E"/>
    <w:rsid w:val="6D697D36"/>
    <w:rsid w:val="6E1100A6"/>
    <w:rsid w:val="6E1D0376"/>
    <w:rsid w:val="6E781A51"/>
    <w:rsid w:val="6E8D052E"/>
    <w:rsid w:val="6E982293"/>
    <w:rsid w:val="6EA445F4"/>
    <w:rsid w:val="6EC54776"/>
    <w:rsid w:val="6EC66318"/>
    <w:rsid w:val="6EC97FDE"/>
    <w:rsid w:val="6EE1655E"/>
    <w:rsid w:val="6EF2535F"/>
    <w:rsid w:val="6F063E1D"/>
    <w:rsid w:val="6F2B4924"/>
    <w:rsid w:val="6F6A1399"/>
    <w:rsid w:val="707301DF"/>
    <w:rsid w:val="70AA1185"/>
    <w:rsid w:val="70B054D2"/>
    <w:rsid w:val="70D50A94"/>
    <w:rsid w:val="70F040A8"/>
    <w:rsid w:val="711A294B"/>
    <w:rsid w:val="71327C95"/>
    <w:rsid w:val="722001CA"/>
    <w:rsid w:val="724C2FD8"/>
    <w:rsid w:val="7251239D"/>
    <w:rsid w:val="729C4BB7"/>
    <w:rsid w:val="73921146"/>
    <w:rsid w:val="73DB4E1F"/>
    <w:rsid w:val="740B13C3"/>
    <w:rsid w:val="743B50B2"/>
    <w:rsid w:val="7443371B"/>
    <w:rsid w:val="745C422F"/>
    <w:rsid w:val="74A751D7"/>
    <w:rsid w:val="74A83D3F"/>
    <w:rsid w:val="74AE1D28"/>
    <w:rsid w:val="74B9039C"/>
    <w:rsid w:val="75497CA3"/>
    <w:rsid w:val="75705230"/>
    <w:rsid w:val="757575F0"/>
    <w:rsid w:val="757C43AA"/>
    <w:rsid w:val="75B66837"/>
    <w:rsid w:val="761A7171"/>
    <w:rsid w:val="762F4835"/>
    <w:rsid w:val="763D3A86"/>
    <w:rsid w:val="76780840"/>
    <w:rsid w:val="767F254D"/>
    <w:rsid w:val="76954F28"/>
    <w:rsid w:val="76E210CD"/>
    <w:rsid w:val="770519A8"/>
    <w:rsid w:val="770E2F52"/>
    <w:rsid w:val="771C1E27"/>
    <w:rsid w:val="77333B9D"/>
    <w:rsid w:val="777059BB"/>
    <w:rsid w:val="77737AF1"/>
    <w:rsid w:val="77923326"/>
    <w:rsid w:val="77F35E7A"/>
    <w:rsid w:val="781A3F3B"/>
    <w:rsid w:val="7863107C"/>
    <w:rsid w:val="78B418D7"/>
    <w:rsid w:val="78C132E5"/>
    <w:rsid w:val="792E7917"/>
    <w:rsid w:val="793F363C"/>
    <w:rsid w:val="797252E7"/>
    <w:rsid w:val="79731FBB"/>
    <w:rsid w:val="79A90D10"/>
    <w:rsid w:val="79B86B21"/>
    <w:rsid w:val="79C46A79"/>
    <w:rsid w:val="79EC1FD7"/>
    <w:rsid w:val="7A2B12FD"/>
    <w:rsid w:val="7A644B7F"/>
    <w:rsid w:val="7AF0727B"/>
    <w:rsid w:val="7AFD1314"/>
    <w:rsid w:val="7B900A0A"/>
    <w:rsid w:val="7BC41E31"/>
    <w:rsid w:val="7BC6204D"/>
    <w:rsid w:val="7C0526B8"/>
    <w:rsid w:val="7C34334F"/>
    <w:rsid w:val="7C547659"/>
    <w:rsid w:val="7C617072"/>
    <w:rsid w:val="7CE5463C"/>
    <w:rsid w:val="7CFE5817"/>
    <w:rsid w:val="7D0C5A4B"/>
    <w:rsid w:val="7D2124A7"/>
    <w:rsid w:val="7D627B54"/>
    <w:rsid w:val="7D6A4C5A"/>
    <w:rsid w:val="7D6F41A2"/>
    <w:rsid w:val="7D7653AD"/>
    <w:rsid w:val="7DC52EA5"/>
    <w:rsid w:val="7DF02012"/>
    <w:rsid w:val="7E510534"/>
    <w:rsid w:val="7EDA196C"/>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3"/>
    <w:basedOn w:val="1"/>
    <w:autoRedefine/>
    <w:qFormat/>
    <w:uiPriority w:val="0"/>
    <w:pPr>
      <w:spacing w:line="413" w:lineRule="auto"/>
      <w:ind w:firstLine="480" w:firstLineChars="200"/>
      <w:jc w:val="left"/>
      <w:outlineLvl w:val="2"/>
    </w:pPr>
    <w:rPr>
      <w:bCs/>
      <w:sz w:val="24"/>
      <w:szCs w:val="24"/>
    </w:rPr>
  </w:style>
  <w:style w:type="paragraph" w:styleId="4">
    <w:name w:val="heading 4"/>
    <w:basedOn w:val="1"/>
    <w:next w:val="1"/>
    <w:autoRedefine/>
    <w:qFormat/>
    <w:uiPriority w:val="0"/>
    <w:pPr>
      <w:keepNext/>
      <w:keepLines/>
      <w:spacing w:line="372" w:lineRule="auto"/>
      <w:outlineLvl w:val="3"/>
    </w:pPr>
    <w:rPr>
      <w:rFonts w:ascii="Cambria" w:hAnsi="Cambria"/>
      <w:b/>
      <w:bCs/>
      <w:sz w:val="28"/>
      <w:szCs w:val="28"/>
    </w:rPr>
  </w:style>
  <w:style w:type="paragraph" w:styleId="5">
    <w:name w:val="heading 5"/>
    <w:basedOn w:val="1"/>
    <w:autoRedefine/>
    <w:qFormat/>
    <w:uiPriority w:val="0"/>
    <w:pPr>
      <w:keepNext/>
      <w:keepLines/>
      <w:spacing w:line="372" w:lineRule="auto"/>
      <w:outlineLvl w:val="4"/>
    </w:pPr>
    <w:rPr>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99"/>
    <w:pPr>
      <w:ind w:left="1400" w:leftChars="1400"/>
    </w:pPr>
  </w:style>
  <w:style w:type="paragraph" w:styleId="7">
    <w:name w:val="Normal Indent"/>
    <w:basedOn w:val="1"/>
    <w:next w:val="1"/>
    <w:qFormat/>
    <w:uiPriority w:val="0"/>
    <w:pPr>
      <w:ind w:firstLine="420"/>
    </w:pPr>
    <w:rPr>
      <w:szCs w:val="20"/>
    </w:rPr>
  </w:style>
  <w:style w:type="paragraph" w:styleId="8">
    <w:name w:val="annotation text"/>
    <w:basedOn w:val="1"/>
    <w:link w:val="31"/>
    <w:autoRedefine/>
    <w:qFormat/>
    <w:uiPriority w:val="0"/>
    <w:pPr>
      <w:jc w:val="left"/>
    </w:pPr>
  </w:style>
  <w:style w:type="paragraph" w:styleId="9">
    <w:name w:val="Body Text"/>
    <w:basedOn w:val="1"/>
    <w:next w:val="10"/>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10">
    <w:name w:val="Body Text Indent"/>
    <w:basedOn w:val="1"/>
    <w:link w:val="36"/>
    <w:autoRedefine/>
    <w:qFormat/>
    <w:uiPriority w:val="0"/>
    <w:pPr>
      <w:ind w:firstLine="830" w:firstLineChars="352"/>
    </w:pPr>
    <w:rPr>
      <w:rFonts w:ascii="仿宋_GB2312" w:eastAsia="仿宋_GB2312"/>
      <w:kern w:val="0"/>
      <w:sz w:val="32"/>
      <w:szCs w:val="20"/>
    </w:rPr>
  </w:style>
  <w:style w:type="paragraph" w:styleId="11">
    <w:name w:val="toc 5"/>
    <w:basedOn w:val="1"/>
    <w:autoRedefine/>
    <w:qFormat/>
    <w:uiPriority w:val="0"/>
    <w:pPr>
      <w:tabs>
        <w:tab w:val="right" w:leader="dot" w:pos="8296"/>
      </w:tabs>
      <w:ind w:left="1050" w:leftChars="500"/>
    </w:pPr>
  </w:style>
  <w:style w:type="paragraph" w:styleId="12">
    <w:name w:val="toc 3"/>
    <w:basedOn w:val="1"/>
    <w:autoRedefine/>
    <w:qFormat/>
    <w:uiPriority w:val="0"/>
    <w:pPr>
      <w:ind w:left="840" w:leftChars="400"/>
    </w:pPr>
  </w:style>
  <w:style w:type="paragraph" w:styleId="13">
    <w:name w:val="Plain Text"/>
    <w:basedOn w:val="1"/>
    <w:link w:val="39"/>
    <w:autoRedefine/>
    <w:qFormat/>
    <w:uiPriority w:val="99"/>
    <w:rPr>
      <w:rFonts w:ascii="宋体" w:hAnsi="Courier New" w:cs="Courier New"/>
      <w:szCs w:val="21"/>
    </w:rPr>
  </w:style>
  <w:style w:type="paragraph" w:styleId="14">
    <w:name w:val="Balloon Text"/>
    <w:basedOn w:val="1"/>
    <w:link w:val="3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4"/>
    <w:basedOn w:val="1"/>
    <w:autoRedefine/>
    <w:qFormat/>
    <w:uiPriority w:val="0"/>
    <w:pPr>
      <w:tabs>
        <w:tab w:val="left" w:pos="1890"/>
        <w:tab w:val="right" w:leader="dot" w:pos="8296"/>
      </w:tabs>
      <w:ind w:left="630" w:leftChars="3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8"/>
    <w:link w:val="32"/>
    <w:autoRedefine/>
    <w:qFormat/>
    <w:uiPriority w:val="0"/>
    <w:rPr>
      <w:b/>
      <w:bCs/>
    </w:rPr>
  </w:style>
  <w:style w:type="paragraph" w:styleId="20">
    <w:name w:val="Body Text First Indent 2"/>
    <w:basedOn w:val="10"/>
    <w:link w:val="37"/>
    <w:autoRedefine/>
    <w:qFormat/>
    <w:uiPriority w:val="0"/>
    <w:pPr>
      <w:spacing w:after="120"/>
      <w:ind w:left="420" w:leftChars="200" w:firstLine="210" w:firstLineChars="200"/>
    </w:pPr>
    <w:rPr>
      <w:rFonts w:ascii="宋体" w:hAnsi="宋体"/>
      <w:kern w:val="2"/>
      <w:sz w:val="28"/>
    </w:rPr>
  </w:style>
  <w:style w:type="character" w:styleId="23">
    <w:name w:val="Strong"/>
    <w:basedOn w:val="22"/>
    <w:qFormat/>
    <w:uiPriority w:val="99"/>
    <w:rPr>
      <w:b/>
    </w:rPr>
  </w:style>
  <w:style w:type="character" w:styleId="24">
    <w:name w:val="Hyperlink"/>
    <w:qFormat/>
    <w:uiPriority w:val="0"/>
    <w:rPr>
      <w:rFonts w:cs="Times New Roman"/>
      <w:color w:val="0000FF"/>
      <w:u w:val="single"/>
    </w:rPr>
  </w:style>
  <w:style w:type="character" w:styleId="25">
    <w:name w:val="annotation reference"/>
    <w:basedOn w:val="22"/>
    <w:qFormat/>
    <w:uiPriority w:val="0"/>
    <w:rPr>
      <w:sz w:val="21"/>
      <w:szCs w:val="21"/>
    </w:rPr>
  </w:style>
  <w:style w:type="paragraph" w:customStyle="1" w:styleId="26">
    <w:name w:val="正文1"/>
    <w:qFormat/>
    <w:uiPriority w:val="0"/>
    <w:rPr>
      <w:rFonts w:ascii="Times New Roman" w:hAnsi="Times New Roman" w:eastAsia="Times New Roman" w:cs="Times New Roman"/>
      <w:sz w:val="24"/>
      <w:szCs w:val="24"/>
      <w:lang w:val="en-US" w:eastAsia="zh-CN" w:bidi="ar-SA"/>
    </w:rPr>
  </w:style>
  <w:style w:type="paragraph" w:customStyle="1" w:styleId="27">
    <w:name w:val="Div_MsoNormal ParagraphIndent"/>
    <w:basedOn w:val="26"/>
    <w:qFormat/>
    <w:uiPriority w:val="0"/>
    <w:rPr>
      <w:rFonts w:ascii="宋体" w:hAnsi="宋体" w:eastAsia="宋体" w:cs="宋体"/>
      <w:sz w:val="21"/>
    </w:rPr>
  </w:style>
  <w:style w:type="paragraph" w:customStyle="1" w:styleId="28">
    <w:name w:val="Div_MsoNormal  ParagraphIndent"/>
    <w:basedOn w:val="26"/>
    <w:qFormat/>
    <w:uiPriority w:val="0"/>
    <w:rPr>
      <w:rFonts w:ascii="宋体" w:hAnsi="宋体" w:eastAsia="宋体" w:cs="宋体"/>
      <w:sz w:val="21"/>
    </w:rPr>
  </w:style>
  <w:style w:type="paragraph" w:customStyle="1" w:styleId="29">
    <w:name w:val="_Style 6"/>
    <w:basedOn w:val="2"/>
    <w:autoRedefine/>
    <w:qFormat/>
    <w:uiPriority w:val="0"/>
    <w:pPr>
      <w:outlineLvl w:val="9"/>
    </w:pPr>
  </w:style>
  <w:style w:type="paragraph" w:customStyle="1" w:styleId="30">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31">
    <w:name w:val="批注文字 Char"/>
    <w:basedOn w:val="22"/>
    <w:link w:val="8"/>
    <w:qFormat/>
    <w:uiPriority w:val="0"/>
    <w:rPr>
      <w:rFonts w:ascii="Calibri" w:hAnsi="Calibri"/>
      <w:kern w:val="2"/>
      <w:sz w:val="21"/>
      <w:szCs w:val="22"/>
    </w:rPr>
  </w:style>
  <w:style w:type="character" w:customStyle="1" w:styleId="32">
    <w:name w:val="批注主题 Char"/>
    <w:basedOn w:val="31"/>
    <w:link w:val="19"/>
    <w:qFormat/>
    <w:uiPriority w:val="0"/>
    <w:rPr>
      <w:rFonts w:ascii="Calibri" w:hAnsi="Calibri"/>
      <w:kern w:val="2"/>
      <w:sz w:val="21"/>
      <w:szCs w:val="22"/>
    </w:rPr>
  </w:style>
  <w:style w:type="character" w:customStyle="1" w:styleId="33">
    <w:name w:val="批注框文本 Char"/>
    <w:basedOn w:val="22"/>
    <w:link w:val="14"/>
    <w:qFormat/>
    <w:uiPriority w:val="0"/>
    <w:rPr>
      <w:rFonts w:ascii="Calibri" w:hAnsi="Calibri"/>
      <w:kern w:val="2"/>
      <w:sz w:val="18"/>
      <w:szCs w:val="18"/>
    </w:rPr>
  </w:style>
  <w:style w:type="paragraph" w:styleId="34">
    <w:name w:val="List Paragraph"/>
    <w:basedOn w:val="1"/>
    <w:unhideWhenUsed/>
    <w:qFormat/>
    <w:uiPriority w:val="99"/>
    <w:pPr>
      <w:ind w:firstLine="420" w:firstLineChars="200"/>
    </w:pPr>
  </w:style>
  <w:style w:type="paragraph" w:customStyle="1" w:styleId="35">
    <w:name w:val="表格文字"/>
    <w:basedOn w:val="1"/>
    <w:qFormat/>
    <w:uiPriority w:val="99"/>
    <w:pPr>
      <w:spacing w:before="25" w:after="25"/>
      <w:jc w:val="left"/>
    </w:pPr>
    <w:rPr>
      <w:bCs/>
      <w:spacing w:val="10"/>
      <w:kern w:val="0"/>
      <w:sz w:val="24"/>
    </w:rPr>
  </w:style>
  <w:style w:type="character" w:customStyle="1" w:styleId="36">
    <w:name w:val="正文文本缩进 Char"/>
    <w:basedOn w:val="22"/>
    <w:link w:val="10"/>
    <w:qFormat/>
    <w:uiPriority w:val="0"/>
    <w:rPr>
      <w:rFonts w:hint="default" w:ascii="Calibri" w:hAnsi="Calibri" w:cs="Calibri"/>
      <w:kern w:val="2"/>
      <w:sz w:val="21"/>
      <w:szCs w:val="22"/>
    </w:rPr>
  </w:style>
  <w:style w:type="character" w:customStyle="1" w:styleId="37">
    <w:name w:val="正文首行缩进 2 Char"/>
    <w:basedOn w:val="36"/>
    <w:link w:val="20"/>
    <w:qFormat/>
    <w:uiPriority w:val="0"/>
    <w:rPr>
      <w:rFonts w:hint="default" w:ascii="Calibri" w:hAnsi="Calibri" w:cs="Calibri"/>
      <w:kern w:val="2"/>
      <w:sz w:val="21"/>
      <w:szCs w:val="22"/>
    </w:rPr>
  </w:style>
  <w:style w:type="paragraph" w:customStyle="1" w:styleId="38">
    <w:name w:val="_Style 1"/>
    <w:basedOn w:val="1"/>
    <w:qFormat/>
    <w:uiPriority w:val="99"/>
    <w:pPr>
      <w:ind w:firstLine="420" w:firstLineChars="200"/>
    </w:pPr>
    <w:rPr>
      <w:rFonts w:ascii="Times New Roman" w:hAnsi="Times New Roman"/>
      <w:szCs w:val="20"/>
    </w:rPr>
  </w:style>
  <w:style w:type="character" w:customStyle="1" w:styleId="39">
    <w:name w:val="纯文本 Char"/>
    <w:link w:val="13"/>
    <w:qFormat/>
    <w:uiPriority w:val="99"/>
    <w:rPr>
      <w:rFonts w:ascii="宋体" w:hAnsi="Courier New" w:cs="Courier New"/>
      <w:kern w:val="2"/>
      <w:sz w:val="21"/>
      <w:szCs w:val="21"/>
    </w:rPr>
  </w:style>
  <w:style w:type="character" w:customStyle="1" w:styleId="40">
    <w:name w:val="font71"/>
    <w:basedOn w:val="22"/>
    <w:qFormat/>
    <w:uiPriority w:val="0"/>
    <w:rPr>
      <w:rFonts w:hint="eastAsia" w:ascii="宋体" w:hAnsi="宋体" w:eastAsia="宋体" w:cs="宋体"/>
      <w:color w:val="000000"/>
      <w:sz w:val="24"/>
      <w:szCs w:val="24"/>
      <w:u w:val="none"/>
    </w:rPr>
  </w:style>
  <w:style w:type="paragraph" w:customStyle="1" w:styleId="41">
    <w:name w:val="段"/>
    <w:next w:val="1"/>
    <w:qFormat/>
    <w:uiPriority w:val="99"/>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 w:type="character" w:customStyle="1" w:styleId="42">
    <w:name w:val="font11"/>
    <w:basedOn w:val="22"/>
    <w:qFormat/>
    <w:uiPriority w:val="0"/>
    <w:rPr>
      <w:rFonts w:hint="eastAsia" w:ascii="宋体" w:hAnsi="宋体" w:eastAsia="宋体" w:cs="宋体"/>
      <w:color w:val="000000"/>
      <w:sz w:val="22"/>
      <w:szCs w:val="22"/>
      <w:u w:val="none"/>
    </w:rPr>
  </w:style>
  <w:style w:type="character" w:customStyle="1" w:styleId="4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9" textRotate="1"/>
    <customShpInfo spid="_x0000_s4100"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5152</Words>
  <Characters>5326</Characters>
  <Lines>29</Lines>
  <Paragraphs>8</Paragraphs>
  <TotalTime>0</TotalTime>
  <ScaleCrop>false</ScaleCrop>
  <LinksUpToDate>false</LinksUpToDate>
  <CharactersWithSpaces>5540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2025-12-08T02:14:47Z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