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162F5F7D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both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项目名称：疼痛科治疗室、互联网医院运营部</w:t>
      </w:r>
    </w:p>
    <w:p w14:paraId="373FEDD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 w:eastAsia="宋体"/>
          <w:sz w:val="40"/>
          <w:szCs w:val="5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sz w:val="40"/>
          <w:szCs w:val="56"/>
          <w:lang w:val="zh-CN"/>
        </w:rPr>
        <w:t>改造</w:t>
      </w:r>
      <w:r>
        <w:rPr>
          <w:rFonts w:hint="eastAsia" w:ascii="宋体"/>
          <w:sz w:val="40"/>
          <w:szCs w:val="56"/>
          <w:lang w:val="en-US" w:eastAsia="zh-CN"/>
        </w:rPr>
        <w:t>项目工程</w:t>
      </w:r>
      <w:r>
        <w:rPr>
          <w:rFonts w:hint="eastAsia" w:ascii="宋体"/>
          <w:sz w:val="40"/>
          <w:szCs w:val="56"/>
        </w:rPr>
        <w:t>设计</w:t>
      </w:r>
      <w:r>
        <w:rPr>
          <w:rFonts w:hint="eastAsia" w:ascii="宋体"/>
          <w:sz w:val="40"/>
          <w:szCs w:val="56"/>
          <w:lang w:val="en-US" w:eastAsia="zh-CN"/>
        </w:rPr>
        <w:t>服务</w:t>
      </w:r>
    </w:p>
    <w:p w14:paraId="30C5B405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宋体"/>
          <w:b/>
          <w:sz w:val="44"/>
          <w:szCs w:val="56"/>
          <w:lang w:val="zh-CN"/>
        </w:rPr>
      </w:pPr>
      <w:r>
        <w:rPr>
          <w:rFonts w:hint="eastAsia" w:ascii="宋体"/>
          <w:b/>
          <w:sz w:val="44"/>
          <w:szCs w:val="56"/>
          <w:lang w:val="zh-CN"/>
        </w:rPr>
        <w:t>调研函</w:t>
      </w:r>
    </w:p>
    <w:p w14:paraId="384B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根根据有关法律法规及医院相关管理制度规定, 组织本次服务类项目调研。</w:t>
      </w:r>
    </w:p>
    <w:p w14:paraId="69815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一</w:t>
      </w:r>
      <w:r>
        <w:rPr>
          <w:rFonts w:ascii="仿宋" w:hAnsi="仿宋" w:eastAsia="仿宋" w:cs="仿宋"/>
          <w:b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调研</w:t>
      </w:r>
      <w:r>
        <w:rPr>
          <w:rFonts w:ascii="仿宋" w:hAnsi="仿宋" w:eastAsia="仿宋" w:cs="仿宋"/>
          <w:b/>
          <w:sz w:val="32"/>
          <w:szCs w:val="32"/>
          <w:lang w:val="zh-CN"/>
        </w:rPr>
        <w:t>品目</w:t>
      </w:r>
    </w:p>
    <w:tbl>
      <w:tblPr>
        <w:tblStyle w:val="8"/>
        <w:tblW w:w="5342" w:type="pct"/>
        <w:tblInd w:w="-3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3916"/>
        <w:gridCol w:w="2444"/>
      </w:tblGrid>
      <w:tr w14:paraId="0A2902FA">
        <w:trPr>
          <w:trHeight w:val="661" w:hRule="atLeast"/>
        </w:trPr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D96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6CE5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481B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备注说明</w:t>
            </w:r>
          </w:p>
        </w:tc>
      </w:tr>
      <w:tr w14:paraId="01980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7A6D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疼痛科治疗室改造项目工程设计服务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47945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位于院内6号楼一层，拟将原问诊间装修改造为治疗室，面积约20平方米。工程费暂按15万元计。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D7E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两项设计不拆分委托。</w:t>
            </w:r>
          </w:p>
          <w:p w14:paraId="17ECC459">
            <w:pPr>
              <w:pStyle w:val="2"/>
              <w:rPr>
                <w:rFonts w:hint="eastAsia"/>
                <w:lang w:val="en-US" w:eastAsia="zh-CN"/>
              </w:rPr>
            </w:pPr>
          </w:p>
          <w:p w14:paraId="7DD637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响应请分别列明单项设计费用及合并总价、下浮优惠（如有）等。</w:t>
            </w:r>
          </w:p>
        </w:tc>
      </w:tr>
      <w:tr w14:paraId="6B40A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122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互联网医院运营部改造项目工程设计服务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01133">
            <w:pPr>
              <w:autoSpaceDE w:val="0"/>
              <w:autoSpaceDN w:val="0"/>
              <w:adjustRightInd w:val="0"/>
              <w:snapToGri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位于门诊楼十五层，拟将一处办公区域装修改造互联网医院运营部办公用房，面积约80平方米。工程费暂按25万元计。</w:t>
            </w:r>
          </w:p>
        </w:tc>
        <w:tc>
          <w:tcPr>
            <w:tcW w:w="13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FE3D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0112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具体内容</w:t>
      </w:r>
    </w:p>
    <w:p w14:paraId="1A0C55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ascii="仿宋" w:hAnsi="仿宋" w:eastAsia="仿宋" w:cs="宋体"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项目设计包括但不限于：方案设计（含投资估算、方案深化、效果图绘制）、施工图设计、施工配合及其他设计配套服务。主要包括各设计阶段的建筑、结构、给排水、电气、暖通、机电、装修、智能化、消防、综合管线等与本工程相关的所有设计；设计施工过程中的相关服务，包括但不限于提供必需的技术标准及要求、配合回复清单编制工作中的疑问，提供各类材料设备品牌及技术参数，协助招标答疑，提供技术交底，解决施工中的设计技术问题、设计变更、参加竣工验收，配合结算审核、审计；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协助提供咨询意见等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。</w:t>
      </w:r>
    </w:p>
    <w:p w14:paraId="50A494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4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（二）配合做好本工程可能出现的需求调整及引起的图纸变更等增加内容，并与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相关部门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做好同步配合工作。</w:t>
      </w:r>
    </w:p>
    <w:p w14:paraId="3212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（三）项目不得分包、转包，不接受联合体报价，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响应主体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须具备工程设计综合资质甲级或建筑行业设计乙级（含）以上资质或建筑行业（建筑工程）设计乙级（含）以上资质，并在人员、设备、资金等方面具有相应的设计能力；公司财务状况良好，没有处于企业被接管、破产或关、停、并、转状态情况。</w:t>
      </w:r>
    </w:p>
    <w:p w14:paraId="1EBCC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以项目作为付费主体，设计费分两次支付。当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配合工程竣工验收完成（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且已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提交认可、完整的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设计资料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），可提交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对应项目的设计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酬金支付申请，办理完成支付审批手续后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支付该单项设计费的100%。具体以合同约定为准。</w:t>
      </w:r>
    </w:p>
    <w:p w14:paraId="03B77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三、调研响应事宜</w:t>
      </w:r>
    </w:p>
    <w:p w14:paraId="1866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1、意向参加调研的供应商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_GB2312"/>
          <w:sz w:val="32"/>
          <w:szCs w:val="32"/>
        </w:rPr>
        <w:t>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sz w:val="32"/>
          <w:szCs w:val="32"/>
        </w:rPr>
        <w:t>:00前将报名信息（</w:t>
      </w:r>
      <w:r>
        <w:rPr>
          <w:rFonts w:hint="eastAsia" w:ascii="仿宋" w:hAnsi="仿宋" w:eastAsia="仿宋" w:cs="仿宋_GB2312"/>
          <w:sz w:val="32"/>
          <w:szCs w:val="32"/>
        </w:rPr>
        <w:t>资质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执照、</w:t>
      </w:r>
      <w:r>
        <w:rPr>
          <w:rFonts w:ascii="仿宋" w:hAnsi="仿宋" w:eastAsia="仿宋" w:cs="仿宋_GB2312"/>
          <w:sz w:val="32"/>
          <w:szCs w:val="32"/>
        </w:rPr>
        <w:t>联系人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仿宋_GB2312"/>
          <w:sz w:val="32"/>
          <w:szCs w:val="32"/>
        </w:rPr>
        <w:t>联系方式）</w:t>
      </w:r>
      <w:r>
        <w:fldChar w:fldCharType="begin"/>
      </w:r>
      <w:r>
        <w:instrText xml:space="preserve"> HYPERLINK "mailto:发送至jijianke2017@163.com" </w:instrText>
      </w:r>
      <w:r>
        <w:fldChar w:fldCharType="separate"/>
      </w:r>
      <w:r>
        <w:rPr>
          <w:rStyle w:val="11"/>
          <w:rFonts w:ascii="仿宋" w:hAnsi="仿宋" w:eastAsia="仿宋" w:cs="仿宋_GB2312"/>
          <w:sz w:val="32"/>
          <w:szCs w:val="32"/>
        </w:rPr>
        <w:t>发送至</w:t>
      </w:r>
      <w:r>
        <w:rPr>
          <w:rStyle w:val="11"/>
          <w:rFonts w:hint="eastAsia" w:ascii="仿宋" w:hAnsi="仿宋" w:eastAsia="仿宋" w:cs="仿宋_GB2312"/>
          <w:sz w:val="32"/>
          <w:szCs w:val="32"/>
        </w:rPr>
        <w:t>j</w:t>
      </w:r>
      <w:r>
        <w:rPr>
          <w:rStyle w:val="11"/>
          <w:rFonts w:ascii="仿宋" w:hAnsi="仿宋" w:eastAsia="仿宋" w:cs="仿宋_GB2312"/>
          <w:sz w:val="32"/>
          <w:szCs w:val="32"/>
        </w:rPr>
        <w:t>ijianke2017@163.com</w:t>
      </w:r>
      <w:r>
        <w:rPr>
          <w:rStyle w:val="11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截止后未登记者不接受响应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</w:p>
    <w:p w14:paraId="49C92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调研响应文件一式一份</w:t>
      </w:r>
      <w:bookmarkStart w:id="0" w:name="OLE_LINK3"/>
      <w:bookmarkStart w:id="1" w:name="OLE_LINK4"/>
      <w:r>
        <w:rPr>
          <w:rFonts w:hint="eastAsia" w:ascii="仿宋" w:hAnsi="仿宋" w:eastAsia="仿宋" w:cs="仿宋_GB2312"/>
          <w:sz w:val="32"/>
          <w:szCs w:val="32"/>
        </w:rPr>
        <w:t>，请在202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bookmarkEnd w:id="0"/>
      <w:bookmarkEnd w:id="1"/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：00前寄送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南宁市双拥路6号广西医科大学第一附属医院东门 培训中心办公区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基建科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3</w:t>
      </w:r>
      <w:r>
        <w:rPr>
          <w:rFonts w:ascii="仿宋" w:hAnsi="仿宋" w:eastAsia="仿宋" w:cs="宋体"/>
          <w:sz w:val="32"/>
          <w:szCs w:val="32"/>
          <w:lang w:val="zh-CN"/>
        </w:rPr>
        <w:t>11室。</w:t>
      </w:r>
    </w:p>
    <w:p w14:paraId="39C1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、响应文件内请预留有效的联系方式，必要时可能进行电话商询。</w:t>
      </w:r>
    </w:p>
    <w:p w14:paraId="67AB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</w:t>
      </w:r>
      <w:r>
        <w:rPr>
          <w:rFonts w:ascii="仿宋" w:hAnsi="仿宋" w:eastAsia="仿宋"/>
          <w:sz w:val="32"/>
          <w:szCs w:val="32"/>
        </w:rPr>
        <w:t>电话：0771-5329701</w:t>
      </w:r>
      <w:r>
        <w:rPr>
          <w:rFonts w:hint="eastAsia" w:ascii="仿宋" w:hAnsi="仿宋" w:eastAsia="仿宋"/>
          <w:sz w:val="32"/>
          <w:szCs w:val="32"/>
        </w:rPr>
        <w:t xml:space="preserve"> 师老师。</w:t>
      </w:r>
    </w:p>
    <w:p w14:paraId="0A63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四、响应文件组成</w:t>
      </w:r>
    </w:p>
    <w:p w14:paraId="57B3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响应文件应包括（按顺序）下列文件，并逐页盖红章，不得有散页，所有材料必须密封装袋：</w:t>
      </w:r>
    </w:p>
    <w:p w14:paraId="622E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①响应函（详见附件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7D962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②报价文件（详见附件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794A8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③法定代表人授权委托书</w:t>
      </w:r>
    </w:p>
    <w:p w14:paraId="300F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④相关资质文件复印件</w:t>
      </w:r>
    </w:p>
    <w:p w14:paraId="30F48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_GB2312"/>
          <w:sz w:val="32"/>
          <w:szCs w:val="32"/>
        </w:rPr>
        <w:t>⑤工商营业执照复印件</w:t>
      </w:r>
    </w:p>
    <w:p w14:paraId="13992DCF">
      <w:pPr>
        <w:pStyle w:val="3"/>
        <w:rPr>
          <w:rFonts w:ascii="仿宋_GB2312" w:eastAsia="仿宋_GB2312"/>
          <w:b/>
          <w:sz w:val="32"/>
          <w:szCs w:val="32"/>
        </w:rPr>
      </w:pPr>
    </w:p>
    <w:p w14:paraId="3477A57E">
      <w:pPr>
        <w:pStyle w:val="3"/>
        <w:rPr>
          <w:rFonts w:ascii="仿宋_GB2312" w:eastAsia="仿宋_GB2312"/>
          <w:b/>
          <w:sz w:val="32"/>
          <w:szCs w:val="32"/>
        </w:rPr>
      </w:pPr>
    </w:p>
    <w:p w14:paraId="00AD21D6">
      <w:pPr>
        <w:autoSpaceDE w:val="0"/>
        <w:autoSpaceDN w:val="0"/>
        <w:adjustRightInd w:val="0"/>
        <w:snapToGrid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1      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区域</w:t>
      </w:r>
      <w:r>
        <w:rPr>
          <w:rFonts w:hint="eastAsia" w:ascii="仿宋_GB2312" w:eastAsia="仿宋_GB2312"/>
          <w:b/>
          <w:sz w:val="32"/>
          <w:szCs w:val="32"/>
        </w:rPr>
        <w:t>平面示意图</w:t>
      </w:r>
    </w:p>
    <w:p w14:paraId="5E1A900A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43180</wp:posOffset>
            </wp:positionV>
            <wp:extent cx="4199255" cy="4924425"/>
            <wp:effectExtent l="12700" t="12700" r="17145" b="15875"/>
            <wp:wrapTight wrapText="bothSides">
              <wp:wrapPolygon>
                <wp:start x="-65" y="-56"/>
                <wp:lineTo x="-65" y="21586"/>
                <wp:lineTo x="21590" y="21586"/>
                <wp:lineTo x="21590" y="-56"/>
                <wp:lineTo x="-65" y="-56"/>
              </wp:wrapPolygon>
            </wp:wrapTight>
            <wp:docPr id="1" name="图片 1" descr="互联网运营部改造区域（25万元，面积80平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互联网运营部改造区域（25万元，面积80平方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4924425"/>
                    </a:xfrm>
                    <a:prstGeom prst="rect">
                      <a:avLst/>
                    </a:prstGeom>
                    <a:ln w="127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4DB61B56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661EACB3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B5B2E33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31B9D0E5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3CC2197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bookmarkStart w:id="4" w:name="_GoBack"/>
      <w:bookmarkEnd w:id="4"/>
    </w:p>
    <w:p w14:paraId="78826F7C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7C5E4A12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131198E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CDF7022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3D2E7108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12A35AE3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76AC9B5E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334010</wp:posOffset>
            </wp:positionV>
            <wp:extent cx="4544695" cy="3898900"/>
            <wp:effectExtent l="9525" t="9525" r="17780" b="15875"/>
            <wp:wrapTight wrapText="bothSides">
              <wp:wrapPolygon>
                <wp:start x="-45" y="-53"/>
                <wp:lineTo x="-45" y="21582"/>
                <wp:lineTo x="21594" y="21582"/>
                <wp:lineTo x="21594" y="-53"/>
                <wp:lineTo x="-45" y="-53"/>
              </wp:wrapPolygon>
            </wp:wrapTight>
            <wp:docPr id="2" name="图片 2" descr="疼痛科治疗室改造区域（15万元，22平方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疼痛科治疗室改造区域（15万元，22平方米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38989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3458A3CF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45179424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277D8499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114CB12A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2D0D25FD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7C4AAF25">
      <w:pPr>
        <w:pStyle w:val="3"/>
        <w:ind w:left="0" w:leftChars="0" w:firstLine="0" w:firstLineChars="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600576CA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13EA49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643F71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DFDB61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01B5E06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 w14:paraId="1D39FB06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7565E83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9D2BEE2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57DA04C2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我方已仔细研究了调研文件，充分理解并掌握了本调研项目的全部有关情况，同意接受调研文件的全部内容和条件，愿意以本文件向你方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设计服务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66B92857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</w:p>
    <w:p w14:paraId="5071488E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28E8147D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5FCD6C1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34489267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6BE4472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4BCD43F8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6037DB4F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6A23A4E1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6770056B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E1C828C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F2CC3E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1FF884A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6F26E99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631CE0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3                </w:t>
      </w:r>
    </w:p>
    <w:p w14:paraId="67714549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410B50FE">
      <w:pPr>
        <w:pStyle w:val="7"/>
        <w:ind w:left="528" w:hanging="528"/>
        <w:rPr>
          <w:rFonts w:ascii="仿宋" w:hAnsi="仿宋" w:eastAsia="仿宋"/>
        </w:rPr>
      </w:pPr>
    </w:p>
    <w:tbl>
      <w:tblPr>
        <w:tblStyle w:val="8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5538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58402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28B7C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1CB2A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227A5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D4C77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2DE45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价</w:t>
            </w:r>
          </w:p>
          <w:p w14:paraId="05B04F5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 w14:paraId="4B3F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944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428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6EF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C2C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7AE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0B838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366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CA4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27E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08E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915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4B7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3A790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EDD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5D5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91D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9DF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964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E4A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9B82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9F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64B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777BF87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元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5FDFFBD0">
      <w:pPr>
        <w:pStyle w:val="7"/>
        <w:ind w:left="198" w:hanging="198" w:hangingChars="75"/>
        <w:jc w:val="left"/>
        <w:rPr>
          <w:rFonts w:hint="eastAsia" w:ascii="仿宋" w:hAnsi="仿宋" w:eastAsia="仿宋"/>
        </w:rPr>
      </w:pPr>
    </w:p>
    <w:p w14:paraId="597F58E7">
      <w:pPr>
        <w:pStyle w:val="7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7C938013">
      <w:pPr>
        <w:pStyle w:val="7"/>
        <w:ind w:left="528" w:hanging="528"/>
        <w:rPr>
          <w:rFonts w:ascii="仿宋" w:hAnsi="仿宋" w:eastAsia="仿宋"/>
        </w:rPr>
      </w:pPr>
    </w:p>
    <w:p w14:paraId="7DC5939F">
      <w:pPr>
        <w:pStyle w:val="7"/>
        <w:ind w:left="528" w:hanging="528"/>
        <w:rPr>
          <w:rFonts w:ascii="仿宋" w:hAnsi="仿宋" w:eastAsia="仿宋"/>
        </w:rPr>
      </w:pPr>
    </w:p>
    <w:p w14:paraId="2621F3D5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3C4A121E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756787B0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5F329E0C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6AB11A67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0E5A69E9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28DB557B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809677A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33E96598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51322C1A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4A224C4B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0E36F04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EA29CF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2892A4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6FE2917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12D89A51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1F34C5C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0BAA75E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0EB03194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4B9BC6D1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602DC21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085C204E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3065889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6E9864A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1BEFF8D9">
      <w:pPr>
        <w:pStyle w:val="2"/>
        <w:spacing w:before="156" w:after="156"/>
        <w:rPr>
          <w:rFonts w:hint="eastAsia"/>
        </w:rPr>
      </w:pPr>
    </w:p>
    <w:p w14:paraId="26B69EF5">
      <w:pPr>
        <w:pStyle w:val="2"/>
        <w:spacing w:before="156" w:after="156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033178"/>
    </w:sdtPr>
    <w:sdtContent>
      <w:sdt>
        <w:sdtPr>
          <w:id w:val="1728636285"/>
        </w:sdtPr>
        <w:sdtContent>
          <w:p w14:paraId="39BD1EA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67DF42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14E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E78B5"/>
    <w:multiLevelType w:val="singleLevel"/>
    <w:tmpl w:val="515E7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A61234A"/>
    <w:rsid w:val="1768307C"/>
    <w:rsid w:val="182A3F94"/>
    <w:rsid w:val="1BCC5E63"/>
    <w:rsid w:val="1FF617DF"/>
    <w:rsid w:val="20B61F7A"/>
    <w:rsid w:val="279D43B0"/>
    <w:rsid w:val="28B164A9"/>
    <w:rsid w:val="2B141B76"/>
    <w:rsid w:val="2BD85A0F"/>
    <w:rsid w:val="2D55438A"/>
    <w:rsid w:val="35DF4755"/>
    <w:rsid w:val="377A49B4"/>
    <w:rsid w:val="4033751B"/>
    <w:rsid w:val="4CA50490"/>
    <w:rsid w:val="4CDA7505"/>
    <w:rsid w:val="4D8D51BD"/>
    <w:rsid w:val="4DD82D18"/>
    <w:rsid w:val="4E4E573D"/>
    <w:rsid w:val="58EB36CF"/>
    <w:rsid w:val="5983131D"/>
    <w:rsid w:val="65055B18"/>
    <w:rsid w:val="666E1719"/>
    <w:rsid w:val="6B424E4F"/>
    <w:rsid w:val="6CDB1ECF"/>
    <w:rsid w:val="6FEA5368"/>
    <w:rsid w:val="79701C27"/>
    <w:rsid w:val="79831C4C"/>
    <w:rsid w:val="7D8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1669</Words>
  <Characters>1790</Characters>
  <Lines>14</Lines>
  <Paragraphs>3</Paragraphs>
  <TotalTime>3</TotalTime>
  <ScaleCrop>false</ScaleCrop>
  <LinksUpToDate>false</LinksUpToDate>
  <CharactersWithSpaces>2012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dcterms:modified xsi:type="dcterms:W3CDTF">2025-03-26T02:59:07Z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EBA4B57195444C4E8B275A6CD45D31E7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