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72F56">
      <w:pPr>
        <w:pStyle w:val="26"/>
        <w:spacing w:line="360" w:lineRule="auto"/>
        <w:jc w:val="center"/>
        <w:rPr>
          <w:rFonts w:asciiTheme="minorEastAsia" w:hAnsiTheme="minorEastAsia" w:eastAsiaTheme="minorEastAsia"/>
          <w:b/>
          <w:bCs/>
          <w:sz w:val="30"/>
          <w:szCs w:val="30"/>
          <w:highlight w:val="none"/>
        </w:rPr>
      </w:pPr>
      <w:r>
        <w:rPr>
          <w:rFonts w:hint="eastAsia" w:asciiTheme="minorEastAsia" w:hAnsiTheme="minorEastAsia" w:eastAsiaTheme="minorEastAsia"/>
          <w:b/>
          <w:bCs/>
          <w:sz w:val="30"/>
          <w:szCs w:val="30"/>
          <w:highlight w:val="none"/>
        </w:rPr>
        <w:t>机械式停车设备维保服务项目</w:t>
      </w:r>
    </w:p>
    <w:p w14:paraId="0DD46D2F">
      <w:pPr>
        <w:pStyle w:val="26"/>
        <w:spacing w:line="360" w:lineRule="auto"/>
        <w:jc w:val="center"/>
        <w:rPr>
          <w:rFonts w:asciiTheme="minorEastAsia" w:hAnsiTheme="minorEastAsia" w:eastAsiaTheme="minorEastAsia"/>
          <w:b/>
          <w:bCs/>
          <w:sz w:val="30"/>
          <w:szCs w:val="30"/>
          <w:highlight w:val="none"/>
          <w:lang w:val="zh-CN"/>
        </w:rPr>
      </w:pPr>
      <w:r>
        <w:rPr>
          <w:rFonts w:hint="eastAsia" w:asciiTheme="minorEastAsia" w:hAnsiTheme="minorEastAsia" w:eastAsiaTheme="minorEastAsia"/>
          <w:b/>
          <w:bCs/>
          <w:sz w:val="30"/>
          <w:szCs w:val="30"/>
          <w:highlight w:val="none"/>
          <w:lang w:val="zh-CN"/>
        </w:rPr>
        <w:t>采购需求</w:t>
      </w:r>
    </w:p>
    <w:p w14:paraId="1779DE1B">
      <w:pPr>
        <w:pStyle w:val="26"/>
        <w:spacing w:line="360" w:lineRule="auto"/>
        <w:rPr>
          <w:rFonts w:asciiTheme="minorEastAsia" w:hAnsiTheme="minorEastAsia" w:eastAsiaTheme="minorEastAsia"/>
          <w:szCs w:val="21"/>
          <w:highlight w:val="none"/>
          <w:lang w:val="zh-CN"/>
        </w:rPr>
      </w:pPr>
    </w:p>
    <w:p w14:paraId="62C919FA">
      <w:pPr>
        <w:pStyle w:val="26"/>
        <w:spacing w:line="360" w:lineRule="auto"/>
        <w:rPr>
          <w:rFonts w:hint="eastAsia" w:ascii="宋体" w:hAnsi="宋体" w:eastAsia="宋体" w:cs="宋体"/>
          <w:b/>
          <w:bCs/>
          <w:sz w:val="21"/>
          <w:szCs w:val="21"/>
          <w:highlight w:val="none"/>
          <w:lang w:val="zh-CN"/>
        </w:rPr>
      </w:pPr>
      <w:r>
        <w:rPr>
          <w:rFonts w:hint="eastAsia" w:ascii="宋体" w:hAnsi="宋体" w:eastAsia="宋体" w:cs="宋体"/>
          <w:b/>
          <w:bCs/>
          <w:sz w:val="21"/>
          <w:szCs w:val="21"/>
          <w:highlight w:val="none"/>
          <w:lang w:val="zh-CN"/>
        </w:rPr>
        <w:t>一、项目概况</w:t>
      </w:r>
    </w:p>
    <w:p w14:paraId="50E369CE">
      <w:pPr>
        <w:pStyle w:val="26"/>
        <w:keepNext w:val="0"/>
        <w:keepLines w:val="0"/>
        <w:pageBreakBefore w:val="0"/>
        <w:numPr>
          <w:ilvl w:val="0"/>
          <w:numId w:val="1"/>
        </w:numPr>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预算价: 285600元</w:t>
      </w:r>
    </w:p>
    <w:p w14:paraId="2320EED5">
      <w:pPr>
        <w:pStyle w:val="26"/>
        <w:keepNext w:val="0"/>
        <w:keepLines w:val="0"/>
        <w:pageBreakBefore w:val="0"/>
        <w:numPr>
          <w:ilvl w:val="0"/>
          <w:numId w:val="1"/>
        </w:numPr>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服务期:</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2年</w:t>
      </w:r>
      <w:r>
        <w:rPr>
          <w:rFonts w:hint="eastAsia" w:ascii="宋体" w:hAnsi="宋体" w:eastAsia="宋体" w:cs="宋体"/>
          <w:sz w:val="21"/>
          <w:szCs w:val="21"/>
          <w:highlight w:val="none"/>
          <w:lang w:val="zh-CN"/>
        </w:rPr>
        <w:t xml:space="preserve">。 </w:t>
      </w:r>
    </w:p>
    <w:p w14:paraId="71B40A7B">
      <w:pPr>
        <w:pStyle w:val="26"/>
        <w:keepNext w:val="0"/>
        <w:keepLines w:val="0"/>
        <w:pageBreakBefore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val="zh-CN"/>
        </w:rPr>
      </w:pPr>
      <w:r>
        <w:rPr>
          <w:rFonts w:hint="eastAsia" w:ascii="宋体" w:hAnsi="宋体" w:eastAsia="宋体" w:cs="宋体"/>
          <w:b/>
          <w:bCs/>
          <w:sz w:val="21"/>
          <w:szCs w:val="21"/>
          <w:highlight w:val="none"/>
          <w:lang w:val="zh-CN"/>
        </w:rPr>
        <w:t xml:space="preserve">二、供应商资格要求 </w:t>
      </w:r>
    </w:p>
    <w:p w14:paraId="7AF2BEE1">
      <w:pPr>
        <w:keepNext w:val="0"/>
        <w:keepLines w:val="0"/>
        <w:pageBreakBefore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zh-CN" w:eastAsia="zh-CN" w:bidi="ar-SA"/>
        </w:rPr>
        <w:t xml:space="preserve">1 </w:t>
      </w:r>
      <w:r>
        <w:rPr>
          <w:rFonts w:hint="eastAsia" w:ascii="宋体" w:hAnsi="宋体" w:cs="宋体"/>
          <w:kern w:val="0"/>
          <w:sz w:val="21"/>
          <w:szCs w:val="21"/>
          <w:highlight w:val="none"/>
          <w:lang w:val="en-US" w:eastAsia="zh-CN" w:bidi="ar-SA"/>
        </w:rPr>
        <w:t>.</w:t>
      </w:r>
      <w:r>
        <w:rPr>
          <w:rFonts w:hint="eastAsia" w:ascii="宋体" w:hAnsi="宋体" w:eastAsia="宋体" w:cs="宋体"/>
          <w:kern w:val="0"/>
          <w:sz w:val="21"/>
          <w:szCs w:val="21"/>
          <w:highlight w:val="none"/>
          <w:lang w:val="zh-CN" w:eastAsia="zh-CN" w:bidi="ar-SA"/>
        </w:rPr>
        <w:t>参与供应商必须具有独立承担民事责任的能力，具有有效的《营业执照》，市场监督管理部门有特定资格要求的， 应满足特定资格要求；</w:t>
      </w:r>
    </w:p>
    <w:p w14:paraId="7EDDDD3A">
      <w:pPr>
        <w:keepNext w:val="0"/>
        <w:keepLines w:val="0"/>
        <w:pageBreakBefore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zh-CN" w:eastAsia="zh-CN" w:bidi="ar-SA"/>
        </w:rPr>
        <w:t>2</w:t>
      </w:r>
      <w:r>
        <w:rPr>
          <w:rFonts w:hint="eastAsia" w:ascii="宋体" w:hAnsi="宋体" w:cs="宋体"/>
          <w:kern w:val="0"/>
          <w:sz w:val="21"/>
          <w:szCs w:val="21"/>
          <w:highlight w:val="none"/>
          <w:lang w:val="en-US" w:eastAsia="zh-CN" w:bidi="ar-SA"/>
        </w:rPr>
        <w:t>.</w:t>
      </w:r>
      <w:r>
        <w:rPr>
          <w:rFonts w:hint="eastAsia" w:ascii="宋体" w:hAnsi="宋体" w:eastAsia="宋体" w:cs="宋体"/>
          <w:kern w:val="0"/>
          <w:sz w:val="21"/>
          <w:szCs w:val="21"/>
          <w:highlight w:val="none"/>
          <w:lang w:val="zh-CN" w:eastAsia="zh-CN" w:bidi="ar-SA"/>
        </w:rPr>
        <w:t>对在“信用中国”网站(www.creditchina.gov.cn )、中国政府采购网(www.ccgp.gov.cn )等渠道列入失信被执行人、重大税收违法案件当事人名单、政府采购严重违法失信行为记录名单的供应商，将被拒绝参与本次比选活动。</w:t>
      </w:r>
    </w:p>
    <w:p w14:paraId="59AC9A2B">
      <w:pPr>
        <w:keepNext w:val="0"/>
        <w:keepLines w:val="0"/>
        <w:pageBreakBefore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kern w:val="0"/>
          <w:sz w:val="21"/>
          <w:szCs w:val="21"/>
          <w:highlight w:val="none"/>
          <w:lang w:val="zh-CN" w:eastAsia="zh-CN" w:bidi="ar-SA"/>
        </w:rPr>
      </w:pPr>
      <w:r>
        <w:rPr>
          <w:rFonts w:hint="eastAsia" w:ascii="宋体" w:hAnsi="宋体" w:eastAsia="宋体" w:cs="宋体"/>
          <w:kern w:val="0"/>
          <w:sz w:val="21"/>
          <w:szCs w:val="21"/>
          <w:highlight w:val="none"/>
          <w:lang w:val="zh-CN" w:eastAsia="zh-CN" w:bidi="ar-SA"/>
        </w:rPr>
        <w:t>3</w:t>
      </w:r>
      <w:r>
        <w:rPr>
          <w:rFonts w:hint="eastAsia" w:ascii="宋体" w:hAnsi="宋体" w:cs="宋体"/>
          <w:kern w:val="0"/>
          <w:sz w:val="21"/>
          <w:szCs w:val="21"/>
          <w:highlight w:val="none"/>
          <w:lang w:val="en-US" w:eastAsia="zh-CN" w:bidi="ar-SA"/>
        </w:rPr>
        <w:t>.</w:t>
      </w:r>
      <w:r>
        <w:rPr>
          <w:rFonts w:hint="eastAsia" w:ascii="宋体" w:hAnsi="宋体" w:eastAsia="宋体" w:cs="宋体"/>
          <w:kern w:val="0"/>
          <w:sz w:val="21"/>
          <w:szCs w:val="21"/>
          <w:highlight w:val="none"/>
          <w:lang w:val="zh-CN" w:eastAsia="zh-CN" w:bidi="ar-SA"/>
        </w:rPr>
        <w:t>不接受联合体参与。</w:t>
      </w:r>
    </w:p>
    <w:p w14:paraId="0756A14E">
      <w:pPr>
        <w:keepNext w:val="0"/>
        <w:keepLines w:val="0"/>
        <w:pageBreakBefore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kern w:val="0"/>
          <w:sz w:val="21"/>
          <w:szCs w:val="21"/>
          <w:highlight w:val="none"/>
          <w:lang w:val="zh-CN" w:eastAsia="zh-CN" w:bidi="ar-SA"/>
        </w:rPr>
      </w:pPr>
      <w:r>
        <w:rPr>
          <w:rFonts w:hint="eastAsia" w:ascii="宋体" w:hAnsi="宋体" w:cs="宋体"/>
          <w:kern w:val="0"/>
          <w:sz w:val="21"/>
          <w:szCs w:val="21"/>
          <w:highlight w:val="none"/>
          <w:lang w:val="en-US" w:eastAsia="zh-CN" w:bidi="ar-SA"/>
        </w:rPr>
        <w:t>4.</w:t>
      </w:r>
      <w:r>
        <w:rPr>
          <w:rFonts w:hint="eastAsia" w:ascii="宋体" w:hAnsi="宋体" w:eastAsia="宋体" w:cs="宋体"/>
          <w:kern w:val="0"/>
          <w:sz w:val="21"/>
          <w:szCs w:val="21"/>
          <w:highlight w:val="none"/>
          <w:lang w:val="zh-CN" w:eastAsia="zh-CN" w:bidi="ar-SA"/>
        </w:rPr>
        <w:t>供应商必须具有有效期内的《中华人民共和国特种设备生产许可证》，许可项目为起重机械制造（含安装、修理、改造），许可子项目为机械式停车设备。</w:t>
      </w:r>
    </w:p>
    <w:p w14:paraId="705BDA42">
      <w:pPr>
        <w:keepNext w:val="0"/>
        <w:keepLines w:val="0"/>
        <w:pageBreakBefore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三、服务要求：</w:t>
      </w:r>
    </w:p>
    <w:p w14:paraId="6F9F2CF8">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需提供机械式停车设备维保服务</w:t>
      </w:r>
      <w:r>
        <w:rPr>
          <w:rFonts w:hint="eastAsia" w:ascii="宋体" w:hAnsi="宋体" w:cs="宋体"/>
          <w:sz w:val="21"/>
          <w:szCs w:val="21"/>
          <w:highlight w:val="none"/>
          <w:lang w:eastAsia="zh-CN"/>
        </w:rPr>
        <w:t>，数量：</w:t>
      </w:r>
      <w:r>
        <w:rPr>
          <w:rFonts w:hint="eastAsia" w:ascii="宋体" w:hAnsi="宋体" w:eastAsia="宋体" w:cs="宋体"/>
          <w:sz w:val="21"/>
          <w:szCs w:val="21"/>
          <w:highlight w:val="none"/>
        </w:rPr>
        <w:t>340个</w:t>
      </w:r>
      <w:r>
        <w:rPr>
          <w:rFonts w:hint="eastAsia" w:ascii="宋体" w:hAnsi="宋体" w:cs="宋体"/>
          <w:sz w:val="21"/>
          <w:szCs w:val="21"/>
          <w:highlight w:val="none"/>
          <w:lang w:eastAsia="zh-CN"/>
        </w:rPr>
        <w:t>，提供</w:t>
      </w:r>
      <w:r>
        <w:rPr>
          <w:rFonts w:hint="eastAsia" w:ascii="宋体" w:hAnsi="宋体" w:eastAsia="宋体" w:cs="宋体"/>
          <w:sz w:val="21"/>
          <w:szCs w:val="21"/>
          <w:highlight w:val="none"/>
        </w:rPr>
        <w:t>全面的技术咨询、设备维护保养、设备维修及现场技术服务、技术培训等服务。</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应建立健全安全责任制度，并制定安全操作规程，保证车库安全运行。</w:t>
      </w:r>
      <w:r>
        <w:rPr>
          <w:rFonts w:hint="eastAsia" w:ascii="宋体" w:hAnsi="宋体" w:cs="宋体"/>
          <w:sz w:val="21"/>
          <w:szCs w:val="21"/>
          <w:highlight w:val="none"/>
          <w:lang w:eastAsia="zh-CN"/>
        </w:rPr>
        <w:t>维保单位需要为本项目设备购买</w:t>
      </w:r>
      <w:r>
        <w:rPr>
          <w:rFonts w:hint="eastAsia" w:ascii="宋体" w:hAnsi="宋体" w:eastAsia="宋体" w:cs="宋体"/>
          <w:sz w:val="21"/>
          <w:szCs w:val="21"/>
          <w:highlight w:val="none"/>
          <w:lang w:eastAsia="zh-CN"/>
        </w:rPr>
        <w:t>设备险</w:t>
      </w:r>
      <w:r>
        <w:rPr>
          <w:rFonts w:hint="eastAsia" w:ascii="宋体" w:hAnsi="宋体" w:cs="宋体"/>
          <w:sz w:val="21"/>
          <w:szCs w:val="21"/>
          <w:highlight w:val="none"/>
          <w:lang w:eastAsia="zh-CN"/>
        </w:rPr>
        <w:t>，为维保人员购买意外险。</w:t>
      </w:r>
    </w:p>
    <w:p w14:paraId="34552388">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bookmarkStart w:id="0" w:name="_Toc493002222"/>
      <w:r>
        <w:rPr>
          <w:rFonts w:hint="eastAsia" w:ascii="宋体" w:hAnsi="宋体" w:eastAsia="宋体" w:cs="宋体"/>
          <w:sz w:val="21"/>
          <w:szCs w:val="21"/>
          <w:highlight w:val="none"/>
        </w:rPr>
        <w:t>2</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维护保养服务</w:t>
      </w:r>
      <w:bookmarkEnd w:id="0"/>
      <w:r>
        <w:rPr>
          <w:rFonts w:hint="eastAsia" w:ascii="宋体" w:hAnsi="宋体" w:eastAsia="宋体" w:cs="宋体"/>
          <w:sz w:val="21"/>
          <w:szCs w:val="21"/>
          <w:highlight w:val="none"/>
        </w:rPr>
        <w:t>计划：</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实施定期保养（按部件类型分1个月保养，3个月保养，1年保养周期）。</w:t>
      </w:r>
    </w:p>
    <w:p w14:paraId="33C8B574">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维保服务流程：制定年度维护保养计划→上门执行维修保养工作→填写保养记录表→将质量信息反馈总部→完善售后服务→用户指定人员签字验收。</w:t>
      </w:r>
    </w:p>
    <w:p w14:paraId="5E0C3711">
      <w:pPr>
        <w:rPr>
          <w:rFonts w:hint="eastAsia" w:ascii="宋体" w:hAnsi="宋体" w:eastAsia="宋体" w:cs="宋体"/>
          <w:sz w:val="21"/>
          <w:szCs w:val="21"/>
          <w:highlight w:val="none"/>
        </w:rPr>
      </w:pPr>
      <w:r>
        <w:rPr>
          <w:rFonts w:hint="eastAsia" w:ascii="宋体" w:hAnsi="宋体" w:eastAsia="宋体" w:cs="宋体"/>
          <w:sz w:val="21"/>
          <w:szCs w:val="21"/>
          <w:highlight w:val="none"/>
        </w:rPr>
        <w:br w:type="page"/>
      </w:r>
    </w:p>
    <w:p w14:paraId="17E3146A">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维保服务内容及要求</w:t>
      </w:r>
    </w:p>
    <w:tbl>
      <w:tblPr>
        <w:tblStyle w:val="21"/>
        <w:tblW w:w="9073" w:type="dxa"/>
        <w:jc w:val="center"/>
        <w:tblLayout w:type="fixed"/>
        <w:tblCellMar>
          <w:top w:w="0" w:type="dxa"/>
          <w:left w:w="108" w:type="dxa"/>
          <w:bottom w:w="0" w:type="dxa"/>
          <w:right w:w="108" w:type="dxa"/>
        </w:tblCellMar>
      </w:tblPr>
      <w:tblGrid>
        <w:gridCol w:w="799"/>
        <w:gridCol w:w="1895"/>
        <w:gridCol w:w="4111"/>
        <w:gridCol w:w="1379"/>
        <w:gridCol w:w="889"/>
      </w:tblGrid>
      <w:tr w14:paraId="73BAC5BB">
        <w:tblPrEx>
          <w:tblCellMar>
            <w:top w:w="0" w:type="dxa"/>
            <w:left w:w="108" w:type="dxa"/>
            <w:bottom w:w="0" w:type="dxa"/>
            <w:right w:w="108" w:type="dxa"/>
          </w:tblCellMar>
        </w:tblPrEx>
        <w:trPr>
          <w:trHeight w:val="450" w:hRule="atLeast"/>
          <w:tblHeader/>
          <w:jc w:val="center"/>
        </w:trPr>
        <w:tc>
          <w:tcPr>
            <w:tcW w:w="2694" w:type="dxa"/>
            <w:gridSpan w:val="2"/>
            <w:tcBorders>
              <w:top w:val="single" w:color="auto" w:sz="4" w:space="0"/>
              <w:left w:val="single" w:color="auto" w:sz="4" w:space="0"/>
              <w:bottom w:val="single" w:color="auto" w:sz="4" w:space="0"/>
              <w:right w:val="single" w:color="auto" w:sz="4" w:space="0"/>
            </w:tcBorders>
            <w:shd w:val="clear" w:color="000000" w:fill="C5D9F1"/>
            <w:vAlign w:val="center"/>
          </w:tcPr>
          <w:p w14:paraId="55C183AC">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保养项目</w:t>
            </w:r>
          </w:p>
        </w:tc>
        <w:tc>
          <w:tcPr>
            <w:tcW w:w="4111" w:type="dxa"/>
            <w:tcBorders>
              <w:top w:val="single" w:color="auto" w:sz="4" w:space="0"/>
              <w:left w:val="nil"/>
              <w:bottom w:val="single" w:color="auto" w:sz="4" w:space="0"/>
              <w:right w:val="single" w:color="auto" w:sz="4" w:space="0"/>
            </w:tcBorders>
            <w:shd w:val="clear" w:color="000000" w:fill="C5D9F1"/>
            <w:vAlign w:val="center"/>
          </w:tcPr>
          <w:p w14:paraId="114CBD6F">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保养工作内容</w:t>
            </w:r>
          </w:p>
        </w:tc>
        <w:tc>
          <w:tcPr>
            <w:tcW w:w="1379" w:type="dxa"/>
            <w:tcBorders>
              <w:top w:val="single" w:color="auto" w:sz="4" w:space="0"/>
              <w:left w:val="nil"/>
              <w:bottom w:val="single" w:color="auto" w:sz="4" w:space="0"/>
              <w:right w:val="single" w:color="auto" w:sz="4" w:space="0"/>
            </w:tcBorders>
            <w:shd w:val="clear" w:color="000000" w:fill="C5D9F1"/>
            <w:vAlign w:val="center"/>
          </w:tcPr>
          <w:p w14:paraId="4A2EDEA0">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保养周期</w:t>
            </w:r>
          </w:p>
        </w:tc>
        <w:tc>
          <w:tcPr>
            <w:tcW w:w="889" w:type="dxa"/>
            <w:tcBorders>
              <w:top w:val="single" w:color="auto" w:sz="4" w:space="0"/>
              <w:left w:val="nil"/>
              <w:bottom w:val="single" w:color="auto" w:sz="4" w:space="0"/>
              <w:right w:val="single" w:color="auto" w:sz="4" w:space="0"/>
            </w:tcBorders>
            <w:shd w:val="clear" w:color="000000" w:fill="C5D9F1"/>
            <w:vAlign w:val="center"/>
          </w:tcPr>
          <w:p w14:paraId="0CC5EA36">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r>
      <w:tr w14:paraId="706C06CD">
        <w:tblPrEx>
          <w:tblCellMar>
            <w:top w:w="0" w:type="dxa"/>
            <w:left w:w="108" w:type="dxa"/>
            <w:bottom w:w="0" w:type="dxa"/>
            <w:right w:w="108" w:type="dxa"/>
          </w:tblCellMar>
        </w:tblPrEx>
        <w:trPr>
          <w:trHeight w:val="810" w:hRule="atLeast"/>
          <w:jc w:val="center"/>
        </w:trPr>
        <w:tc>
          <w:tcPr>
            <w:tcW w:w="799" w:type="dxa"/>
            <w:vMerge w:val="restart"/>
            <w:tcBorders>
              <w:top w:val="nil"/>
              <w:left w:val="single" w:color="auto" w:sz="4" w:space="0"/>
              <w:bottom w:val="single" w:color="auto" w:sz="4" w:space="0"/>
              <w:right w:val="single" w:color="auto" w:sz="4" w:space="0"/>
            </w:tcBorders>
            <w:vAlign w:val="center"/>
          </w:tcPr>
          <w:p w14:paraId="06421F0A">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框架结构</w:t>
            </w:r>
          </w:p>
        </w:tc>
        <w:tc>
          <w:tcPr>
            <w:tcW w:w="1895" w:type="dxa"/>
            <w:tcBorders>
              <w:top w:val="nil"/>
              <w:left w:val="nil"/>
              <w:bottom w:val="single" w:color="auto" w:sz="4" w:space="0"/>
              <w:right w:val="single" w:color="auto" w:sz="4" w:space="0"/>
            </w:tcBorders>
            <w:vAlign w:val="center"/>
          </w:tcPr>
          <w:p w14:paraId="5DFED35E">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连接螺栓</w:t>
            </w:r>
          </w:p>
        </w:tc>
        <w:tc>
          <w:tcPr>
            <w:tcW w:w="4111" w:type="dxa"/>
            <w:tcBorders>
              <w:top w:val="nil"/>
              <w:left w:val="nil"/>
              <w:bottom w:val="single" w:color="auto" w:sz="4" w:space="0"/>
              <w:right w:val="single" w:color="auto" w:sz="4" w:space="0"/>
            </w:tcBorders>
            <w:vAlign w:val="center"/>
          </w:tcPr>
          <w:p w14:paraId="443BE802">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紧固可靠、无松动或锈蚀</w:t>
            </w:r>
          </w:p>
        </w:tc>
        <w:tc>
          <w:tcPr>
            <w:tcW w:w="1379" w:type="dxa"/>
            <w:tcBorders>
              <w:top w:val="nil"/>
              <w:left w:val="nil"/>
              <w:bottom w:val="single" w:color="auto" w:sz="4" w:space="0"/>
              <w:right w:val="single" w:color="auto" w:sz="4" w:space="0"/>
            </w:tcBorders>
            <w:vAlign w:val="center"/>
          </w:tcPr>
          <w:p w14:paraId="6144D2D5">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3857C076">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634013A9">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0D6A3E4B">
            <w:pPr>
              <w:adjustRightInd w:val="0"/>
              <w:snapToGrid w:val="0"/>
              <w:spacing w:line="360" w:lineRule="auto"/>
              <w:rPr>
                <w:rFonts w:hint="eastAsia" w:ascii="宋体" w:hAnsi="宋体" w:eastAsia="宋体" w:cs="宋体"/>
                <w:sz w:val="21"/>
                <w:szCs w:val="21"/>
                <w:highlight w:val="none"/>
              </w:rPr>
            </w:pPr>
          </w:p>
        </w:tc>
      </w:tr>
      <w:tr w14:paraId="592CEA9D">
        <w:tblPrEx>
          <w:tblCellMar>
            <w:top w:w="0" w:type="dxa"/>
            <w:left w:w="108" w:type="dxa"/>
            <w:bottom w:w="0" w:type="dxa"/>
            <w:right w:w="108" w:type="dxa"/>
          </w:tblCellMar>
        </w:tblPrEx>
        <w:trPr>
          <w:trHeight w:val="810" w:hRule="atLeast"/>
          <w:jc w:val="center"/>
        </w:trPr>
        <w:tc>
          <w:tcPr>
            <w:tcW w:w="799" w:type="dxa"/>
            <w:vMerge w:val="continue"/>
            <w:tcBorders>
              <w:top w:val="nil"/>
              <w:left w:val="single" w:color="auto" w:sz="4" w:space="0"/>
              <w:bottom w:val="single" w:color="auto" w:sz="4" w:space="0"/>
              <w:right w:val="single" w:color="auto" w:sz="4" w:space="0"/>
            </w:tcBorders>
            <w:vAlign w:val="center"/>
          </w:tcPr>
          <w:p w14:paraId="1BA82026">
            <w:pPr>
              <w:adjustRightInd w:val="0"/>
              <w:snapToGrid w:val="0"/>
              <w:spacing w:line="360" w:lineRule="auto"/>
              <w:rPr>
                <w:rFonts w:hint="eastAsia" w:ascii="宋体" w:hAnsi="宋体" w:eastAsia="宋体" w:cs="宋体"/>
                <w:sz w:val="21"/>
                <w:szCs w:val="21"/>
                <w:highlight w:val="none"/>
              </w:rPr>
            </w:pPr>
          </w:p>
        </w:tc>
        <w:tc>
          <w:tcPr>
            <w:tcW w:w="1895" w:type="dxa"/>
            <w:tcBorders>
              <w:top w:val="nil"/>
              <w:left w:val="nil"/>
              <w:bottom w:val="single" w:color="auto" w:sz="4" w:space="0"/>
              <w:right w:val="single" w:color="auto" w:sz="4" w:space="0"/>
            </w:tcBorders>
            <w:vAlign w:val="center"/>
          </w:tcPr>
          <w:p w14:paraId="48021236">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结构局部及整体</w:t>
            </w:r>
          </w:p>
        </w:tc>
        <w:tc>
          <w:tcPr>
            <w:tcW w:w="4111" w:type="dxa"/>
            <w:tcBorders>
              <w:top w:val="nil"/>
              <w:left w:val="nil"/>
              <w:bottom w:val="single" w:color="auto" w:sz="4" w:space="0"/>
              <w:right w:val="single" w:color="auto" w:sz="4" w:space="0"/>
            </w:tcBorders>
            <w:vAlign w:val="center"/>
          </w:tcPr>
          <w:p w14:paraId="416C4AB4">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连接牢固、稳定可靠、无永久性扭曲变形或焊缝裂纹等现象，加载运行无明显变形或异常响声</w:t>
            </w:r>
          </w:p>
        </w:tc>
        <w:tc>
          <w:tcPr>
            <w:tcW w:w="1379" w:type="dxa"/>
            <w:tcBorders>
              <w:top w:val="nil"/>
              <w:left w:val="nil"/>
              <w:bottom w:val="single" w:color="auto" w:sz="4" w:space="0"/>
              <w:right w:val="single" w:color="auto" w:sz="4" w:space="0"/>
            </w:tcBorders>
            <w:vAlign w:val="center"/>
          </w:tcPr>
          <w:p w14:paraId="45C707CE">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70BD8140">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050A5948">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438D0F60">
            <w:pPr>
              <w:adjustRightInd w:val="0"/>
              <w:snapToGrid w:val="0"/>
              <w:spacing w:line="360" w:lineRule="auto"/>
              <w:rPr>
                <w:rFonts w:hint="eastAsia" w:ascii="宋体" w:hAnsi="宋体" w:eastAsia="宋体" w:cs="宋体"/>
                <w:sz w:val="21"/>
                <w:szCs w:val="21"/>
                <w:highlight w:val="none"/>
              </w:rPr>
            </w:pPr>
          </w:p>
        </w:tc>
      </w:tr>
      <w:tr w14:paraId="24BAE9D0">
        <w:tblPrEx>
          <w:tblCellMar>
            <w:top w:w="0" w:type="dxa"/>
            <w:left w:w="108" w:type="dxa"/>
            <w:bottom w:w="0" w:type="dxa"/>
            <w:right w:w="108" w:type="dxa"/>
          </w:tblCellMar>
        </w:tblPrEx>
        <w:trPr>
          <w:trHeight w:val="810" w:hRule="atLeast"/>
          <w:jc w:val="center"/>
        </w:trPr>
        <w:tc>
          <w:tcPr>
            <w:tcW w:w="799" w:type="dxa"/>
            <w:vMerge w:val="restart"/>
            <w:tcBorders>
              <w:top w:val="nil"/>
              <w:left w:val="single" w:color="auto" w:sz="4" w:space="0"/>
              <w:bottom w:val="single" w:color="auto" w:sz="4" w:space="0"/>
              <w:right w:val="single" w:color="auto" w:sz="4" w:space="0"/>
            </w:tcBorders>
            <w:vAlign w:val="center"/>
          </w:tcPr>
          <w:p w14:paraId="440E3839">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载车板</w:t>
            </w:r>
          </w:p>
        </w:tc>
        <w:tc>
          <w:tcPr>
            <w:tcW w:w="1895" w:type="dxa"/>
            <w:tcBorders>
              <w:top w:val="nil"/>
              <w:left w:val="nil"/>
              <w:bottom w:val="single" w:color="auto" w:sz="4" w:space="0"/>
              <w:right w:val="single" w:color="auto" w:sz="4" w:space="0"/>
            </w:tcBorders>
            <w:vAlign w:val="center"/>
          </w:tcPr>
          <w:p w14:paraId="5EA0D835">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运转状况</w:t>
            </w:r>
          </w:p>
        </w:tc>
        <w:tc>
          <w:tcPr>
            <w:tcW w:w="4111" w:type="dxa"/>
            <w:tcBorders>
              <w:top w:val="nil"/>
              <w:left w:val="nil"/>
              <w:bottom w:val="single" w:color="auto" w:sz="4" w:space="0"/>
              <w:right w:val="single" w:color="auto" w:sz="4" w:space="0"/>
            </w:tcBorders>
            <w:vAlign w:val="center"/>
          </w:tcPr>
          <w:p w14:paraId="22C101A9">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运转平稳无异响、无卡滞、各工况正常，定位准确可靠</w:t>
            </w:r>
          </w:p>
        </w:tc>
        <w:tc>
          <w:tcPr>
            <w:tcW w:w="1379" w:type="dxa"/>
            <w:tcBorders>
              <w:top w:val="nil"/>
              <w:left w:val="nil"/>
              <w:bottom w:val="single" w:color="auto" w:sz="4" w:space="0"/>
              <w:right w:val="single" w:color="auto" w:sz="4" w:space="0"/>
            </w:tcBorders>
            <w:vAlign w:val="center"/>
          </w:tcPr>
          <w:p w14:paraId="669796E7">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520D3EC9">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55DF8F3D">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6FF61093">
            <w:pPr>
              <w:adjustRightInd w:val="0"/>
              <w:snapToGrid w:val="0"/>
              <w:spacing w:line="360" w:lineRule="auto"/>
              <w:rPr>
                <w:rFonts w:hint="eastAsia" w:ascii="宋体" w:hAnsi="宋体" w:eastAsia="宋体" w:cs="宋体"/>
                <w:sz w:val="21"/>
                <w:szCs w:val="21"/>
                <w:highlight w:val="none"/>
              </w:rPr>
            </w:pPr>
          </w:p>
        </w:tc>
      </w:tr>
      <w:tr w14:paraId="60D701AD">
        <w:tblPrEx>
          <w:tblCellMar>
            <w:top w:w="0" w:type="dxa"/>
            <w:left w:w="108" w:type="dxa"/>
            <w:bottom w:w="0" w:type="dxa"/>
            <w:right w:w="108" w:type="dxa"/>
          </w:tblCellMar>
        </w:tblPrEx>
        <w:trPr>
          <w:trHeight w:val="810" w:hRule="atLeast"/>
          <w:jc w:val="center"/>
        </w:trPr>
        <w:tc>
          <w:tcPr>
            <w:tcW w:w="799" w:type="dxa"/>
            <w:vMerge w:val="continue"/>
            <w:tcBorders>
              <w:top w:val="nil"/>
              <w:left w:val="single" w:color="auto" w:sz="4" w:space="0"/>
              <w:bottom w:val="single" w:color="auto" w:sz="4" w:space="0"/>
              <w:right w:val="single" w:color="auto" w:sz="4" w:space="0"/>
            </w:tcBorders>
            <w:vAlign w:val="center"/>
          </w:tcPr>
          <w:p w14:paraId="5604D5B5">
            <w:pPr>
              <w:adjustRightInd w:val="0"/>
              <w:snapToGrid w:val="0"/>
              <w:spacing w:line="360" w:lineRule="auto"/>
              <w:rPr>
                <w:rFonts w:hint="eastAsia" w:ascii="宋体" w:hAnsi="宋体" w:eastAsia="宋体" w:cs="宋体"/>
                <w:sz w:val="21"/>
                <w:szCs w:val="21"/>
                <w:highlight w:val="none"/>
              </w:rPr>
            </w:pPr>
          </w:p>
        </w:tc>
        <w:tc>
          <w:tcPr>
            <w:tcW w:w="1895" w:type="dxa"/>
            <w:tcBorders>
              <w:top w:val="nil"/>
              <w:left w:val="nil"/>
              <w:bottom w:val="single" w:color="auto" w:sz="4" w:space="0"/>
              <w:right w:val="single" w:color="auto" w:sz="4" w:space="0"/>
            </w:tcBorders>
            <w:vAlign w:val="center"/>
          </w:tcPr>
          <w:p w14:paraId="0DA9055A">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阻车装置</w:t>
            </w:r>
          </w:p>
        </w:tc>
        <w:tc>
          <w:tcPr>
            <w:tcW w:w="4111" w:type="dxa"/>
            <w:tcBorders>
              <w:top w:val="nil"/>
              <w:left w:val="nil"/>
              <w:bottom w:val="single" w:color="auto" w:sz="4" w:space="0"/>
              <w:right w:val="single" w:color="auto" w:sz="4" w:space="0"/>
            </w:tcBorders>
            <w:vAlign w:val="center"/>
          </w:tcPr>
          <w:p w14:paraId="23C03CC0">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无变形、磨损等隐患</w:t>
            </w:r>
          </w:p>
        </w:tc>
        <w:tc>
          <w:tcPr>
            <w:tcW w:w="1379" w:type="dxa"/>
            <w:tcBorders>
              <w:top w:val="nil"/>
              <w:left w:val="nil"/>
              <w:bottom w:val="single" w:color="auto" w:sz="4" w:space="0"/>
              <w:right w:val="single" w:color="auto" w:sz="4" w:space="0"/>
            </w:tcBorders>
            <w:vAlign w:val="center"/>
          </w:tcPr>
          <w:p w14:paraId="5D2E2696">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0DA06418">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7F071CE0">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2B16E283">
            <w:pPr>
              <w:adjustRightInd w:val="0"/>
              <w:snapToGrid w:val="0"/>
              <w:spacing w:line="360" w:lineRule="auto"/>
              <w:rPr>
                <w:rFonts w:hint="eastAsia" w:ascii="宋体" w:hAnsi="宋体" w:eastAsia="宋体" w:cs="宋体"/>
                <w:sz w:val="21"/>
                <w:szCs w:val="21"/>
                <w:highlight w:val="none"/>
              </w:rPr>
            </w:pPr>
          </w:p>
        </w:tc>
      </w:tr>
      <w:tr w14:paraId="542E6A37">
        <w:tblPrEx>
          <w:tblCellMar>
            <w:top w:w="0" w:type="dxa"/>
            <w:left w:w="108" w:type="dxa"/>
            <w:bottom w:w="0" w:type="dxa"/>
            <w:right w:w="108" w:type="dxa"/>
          </w:tblCellMar>
        </w:tblPrEx>
        <w:trPr>
          <w:trHeight w:val="810" w:hRule="atLeast"/>
          <w:jc w:val="center"/>
        </w:trPr>
        <w:tc>
          <w:tcPr>
            <w:tcW w:w="799" w:type="dxa"/>
            <w:vMerge w:val="continue"/>
            <w:tcBorders>
              <w:top w:val="nil"/>
              <w:left w:val="single" w:color="auto" w:sz="4" w:space="0"/>
              <w:bottom w:val="single" w:color="auto" w:sz="4" w:space="0"/>
              <w:right w:val="single" w:color="auto" w:sz="4" w:space="0"/>
            </w:tcBorders>
            <w:vAlign w:val="center"/>
          </w:tcPr>
          <w:p w14:paraId="67746700">
            <w:pPr>
              <w:adjustRightInd w:val="0"/>
              <w:snapToGrid w:val="0"/>
              <w:spacing w:line="360" w:lineRule="auto"/>
              <w:rPr>
                <w:rFonts w:hint="eastAsia" w:ascii="宋体" w:hAnsi="宋体" w:eastAsia="宋体" w:cs="宋体"/>
                <w:sz w:val="21"/>
                <w:szCs w:val="21"/>
                <w:highlight w:val="none"/>
              </w:rPr>
            </w:pPr>
          </w:p>
        </w:tc>
        <w:tc>
          <w:tcPr>
            <w:tcW w:w="1895" w:type="dxa"/>
            <w:tcBorders>
              <w:top w:val="nil"/>
              <w:left w:val="nil"/>
              <w:bottom w:val="single" w:color="auto" w:sz="4" w:space="0"/>
              <w:right w:val="single" w:color="auto" w:sz="4" w:space="0"/>
            </w:tcBorders>
            <w:vAlign w:val="center"/>
          </w:tcPr>
          <w:p w14:paraId="718DB4F7">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滚轮及附属装置</w:t>
            </w:r>
          </w:p>
        </w:tc>
        <w:tc>
          <w:tcPr>
            <w:tcW w:w="4111" w:type="dxa"/>
            <w:tcBorders>
              <w:top w:val="nil"/>
              <w:left w:val="nil"/>
              <w:bottom w:val="single" w:color="auto" w:sz="4" w:space="0"/>
              <w:right w:val="single" w:color="auto" w:sz="4" w:space="0"/>
            </w:tcBorders>
            <w:vAlign w:val="center"/>
          </w:tcPr>
          <w:p w14:paraId="0F398E12">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主动轮运转无卡滞及键槽踏面磨损变形，从动轮是否正常转动</w:t>
            </w:r>
          </w:p>
        </w:tc>
        <w:tc>
          <w:tcPr>
            <w:tcW w:w="1379" w:type="dxa"/>
            <w:tcBorders>
              <w:top w:val="nil"/>
              <w:left w:val="nil"/>
              <w:bottom w:val="single" w:color="auto" w:sz="4" w:space="0"/>
              <w:right w:val="single" w:color="auto" w:sz="4" w:space="0"/>
            </w:tcBorders>
            <w:vAlign w:val="center"/>
          </w:tcPr>
          <w:p w14:paraId="198D65E1">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08F3E680">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726038C1">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397488AD">
            <w:pPr>
              <w:adjustRightInd w:val="0"/>
              <w:snapToGrid w:val="0"/>
              <w:spacing w:line="360" w:lineRule="auto"/>
              <w:rPr>
                <w:rFonts w:hint="eastAsia" w:ascii="宋体" w:hAnsi="宋体" w:eastAsia="宋体" w:cs="宋体"/>
                <w:sz w:val="21"/>
                <w:szCs w:val="21"/>
                <w:highlight w:val="none"/>
              </w:rPr>
            </w:pPr>
          </w:p>
        </w:tc>
      </w:tr>
      <w:tr w14:paraId="0F66C3B3">
        <w:tblPrEx>
          <w:tblCellMar>
            <w:top w:w="0" w:type="dxa"/>
            <w:left w:w="108" w:type="dxa"/>
            <w:bottom w:w="0" w:type="dxa"/>
            <w:right w:w="108" w:type="dxa"/>
          </w:tblCellMar>
        </w:tblPrEx>
        <w:trPr>
          <w:trHeight w:val="810" w:hRule="atLeast"/>
          <w:jc w:val="center"/>
        </w:trPr>
        <w:tc>
          <w:tcPr>
            <w:tcW w:w="799" w:type="dxa"/>
            <w:vMerge w:val="restart"/>
            <w:tcBorders>
              <w:top w:val="nil"/>
              <w:left w:val="single" w:color="auto" w:sz="4" w:space="0"/>
              <w:bottom w:val="single" w:color="000000" w:sz="4" w:space="0"/>
              <w:right w:val="single" w:color="auto" w:sz="4" w:space="0"/>
            </w:tcBorders>
            <w:vAlign w:val="center"/>
          </w:tcPr>
          <w:p w14:paraId="4C73B49A">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传动系统</w:t>
            </w:r>
          </w:p>
        </w:tc>
        <w:tc>
          <w:tcPr>
            <w:tcW w:w="1895" w:type="dxa"/>
            <w:tcBorders>
              <w:top w:val="nil"/>
              <w:left w:val="nil"/>
              <w:bottom w:val="single" w:color="auto" w:sz="4" w:space="0"/>
              <w:right w:val="single" w:color="auto" w:sz="4" w:space="0"/>
            </w:tcBorders>
            <w:vAlign w:val="center"/>
          </w:tcPr>
          <w:p w14:paraId="6F4949CE">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运转状况</w:t>
            </w:r>
          </w:p>
        </w:tc>
        <w:tc>
          <w:tcPr>
            <w:tcW w:w="4111" w:type="dxa"/>
            <w:tcBorders>
              <w:top w:val="nil"/>
              <w:left w:val="nil"/>
              <w:bottom w:val="single" w:color="auto" w:sz="4" w:space="0"/>
              <w:right w:val="single" w:color="auto" w:sz="4" w:space="0"/>
            </w:tcBorders>
            <w:vAlign w:val="center"/>
          </w:tcPr>
          <w:p w14:paraId="3C79D9E0">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运转平稳无异响、无卡滞、各工况正常</w:t>
            </w:r>
          </w:p>
        </w:tc>
        <w:tc>
          <w:tcPr>
            <w:tcW w:w="1379" w:type="dxa"/>
            <w:tcBorders>
              <w:top w:val="nil"/>
              <w:left w:val="nil"/>
              <w:bottom w:val="single" w:color="auto" w:sz="4" w:space="0"/>
              <w:right w:val="single" w:color="auto" w:sz="4" w:space="0"/>
            </w:tcBorders>
            <w:vAlign w:val="center"/>
          </w:tcPr>
          <w:p w14:paraId="756A3BCB">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0445AE38">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11076C64">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33E22238">
            <w:pPr>
              <w:adjustRightInd w:val="0"/>
              <w:snapToGrid w:val="0"/>
              <w:spacing w:line="360" w:lineRule="auto"/>
              <w:rPr>
                <w:rFonts w:hint="eastAsia" w:ascii="宋体" w:hAnsi="宋体" w:eastAsia="宋体" w:cs="宋体"/>
                <w:sz w:val="21"/>
                <w:szCs w:val="21"/>
                <w:highlight w:val="none"/>
              </w:rPr>
            </w:pPr>
          </w:p>
        </w:tc>
      </w:tr>
      <w:tr w14:paraId="3E0709EA">
        <w:tblPrEx>
          <w:tblCellMar>
            <w:top w:w="0" w:type="dxa"/>
            <w:left w:w="108" w:type="dxa"/>
            <w:bottom w:w="0" w:type="dxa"/>
            <w:right w:w="108" w:type="dxa"/>
          </w:tblCellMar>
        </w:tblPrEx>
        <w:trPr>
          <w:trHeight w:val="810" w:hRule="atLeast"/>
          <w:jc w:val="center"/>
        </w:trPr>
        <w:tc>
          <w:tcPr>
            <w:tcW w:w="799" w:type="dxa"/>
            <w:vMerge w:val="continue"/>
            <w:tcBorders>
              <w:top w:val="nil"/>
              <w:left w:val="single" w:color="auto" w:sz="4" w:space="0"/>
              <w:bottom w:val="single" w:color="000000" w:sz="4" w:space="0"/>
              <w:right w:val="single" w:color="auto" w:sz="4" w:space="0"/>
            </w:tcBorders>
            <w:vAlign w:val="center"/>
          </w:tcPr>
          <w:p w14:paraId="26279B69">
            <w:pPr>
              <w:adjustRightInd w:val="0"/>
              <w:snapToGrid w:val="0"/>
              <w:spacing w:line="360" w:lineRule="auto"/>
              <w:rPr>
                <w:rFonts w:hint="eastAsia" w:ascii="宋体" w:hAnsi="宋体" w:eastAsia="宋体" w:cs="宋体"/>
                <w:sz w:val="21"/>
                <w:szCs w:val="21"/>
                <w:highlight w:val="none"/>
              </w:rPr>
            </w:pPr>
          </w:p>
        </w:tc>
        <w:tc>
          <w:tcPr>
            <w:tcW w:w="1895" w:type="dxa"/>
            <w:tcBorders>
              <w:top w:val="nil"/>
              <w:left w:val="nil"/>
              <w:bottom w:val="single" w:color="auto" w:sz="4" w:space="0"/>
              <w:right w:val="single" w:color="auto" w:sz="4" w:space="0"/>
            </w:tcBorders>
            <w:vAlign w:val="center"/>
          </w:tcPr>
          <w:p w14:paraId="62D57EFD">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链轮、链条及联接件</w:t>
            </w:r>
          </w:p>
        </w:tc>
        <w:tc>
          <w:tcPr>
            <w:tcW w:w="4111" w:type="dxa"/>
            <w:tcBorders>
              <w:top w:val="nil"/>
              <w:left w:val="nil"/>
              <w:bottom w:val="single" w:color="auto" w:sz="4" w:space="0"/>
              <w:right w:val="single" w:color="auto" w:sz="4" w:space="0"/>
            </w:tcBorders>
            <w:vAlign w:val="center"/>
          </w:tcPr>
          <w:p w14:paraId="60B89BF8">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运行正常，表面无刮擦划痕、无磨损、裂纹、变形</w:t>
            </w:r>
          </w:p>
        </w:tc>
        <w:tc>
          <w:tcPr>
            <w:tcW w:w="1379" w:type="dxa"/>
            <w:tcBorders>
              <w:top w:val="nil"/>
              <w:left w:val="nil"/>
              <w:bottom w:val="single" w:color="auto" w:sz="4" w:space="0"/>
              <w:right w:val="single" w:color="auto" w:sz="4" w:space="0"/>
            </w:tcBorders>
            <w:vAlign w:val="center"/>
          </w:tcPr>
          <w:p w14:paraId="1FFAC288">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25BA126A">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02134168">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712E1F4B">
            <w:pPr>
              <w:adjustRightInd w:val="0"/>
              <w:snapToGrid w:val="0"/>
              <w:spacing w:line="360" w:lineRule="auto"/>
              <w:rPr>
                <w:rFonts w:hint="eastAsia" w:ascii="宋体" w:hAnsi="宋体" w:eastAsia="宋体" w:cs="宋体"/>
                <w:sz w:val="21"/>
                <w:szCs w:val="21"/>
                <w:highlight w:val="none"/>
              </w:rPr>
            </w:pPr>
          </w:p>
        </w:tc>
      </w:tr>
      <w:tr w14:paraId="2DE16294">
        <w:tblPrEx>
          <w:tblCellMar>
            <w:top w:w="0" w:type="dxa"/>
            <w:left w:w="108" w:type="dxa"/>
            <w:bottom w:w="0" w:type="dxa"/>
            <w:right w:w="108" w:type="dxa"/>
          </w:tblCellMar>
        </w:tblPrEx>
        <w:trPr>
          <w:trHeight w:val="810" w:hRule="atLeast"/>
          <w:jc w:val="center"/>
        </w:trPr>
        <w:tc>
          <w:tcPr>
            <w:tcW w:w="799" w:type="dxa"/>
            <w:vMerge w:val="continue"/>
            <w:tcBorders>
              <w:top w:val="nil"/>
              <w:left w:val="single" w:color="auto" w:sz="4" w:space="0"/>
              <w:bottom w:val="single" w:color="000000" w:sz="4" w:space="0"/>
              <w:right w:val="single" w:color="auto" w:sz="4" w:space="0"/>
            </w:tcBorders>
            <w:vAlign w:val="center"/>
          </w:tcPr>
          <w:p w14:paraId="18C5DF99">
            <w:pPr>
              <w:adjustRightInd w:val="0"/>
              <w:snapToGrid w:val="0"/>
              <w:spacing w:line="360" w:lineRule="auto"/>
              <w:rPr>
                <w:rFonts w:hint="eastAsia" w:ascii="宋体" w:hAnsi="宋体" w:eastAsia="宋体" w:cs="宋体"/>
                <w:sz w:val="21"/>
                <w:szCs w:val="21"/>
                <w:highlight w:val="none"/>
              </w:rPr>
            </w:pPr>
          </w:p>
        </w:tc>
        <w:tc>
          <w:tcPr>
            <w:tcW w:w="1895" w:type="dxa"/>
            <w:tcBorders>
              <w:top w:val="nil"/>
              <w:left w:val="nil"/>
              <w:bottom w:val="single" w:color="auto" w:sz="4" w:space="0"/>
              <w:right w:val="single" w:color="auto" w:sz="4" w:space="0"/>
            </w:tcBorders>
            <w:vAlign w:val="center"/>
          </w:tcPr>
          <w:p w14:paraId="494F4A9C">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链条及紧固装置</w:t>
            </w:r>
          </w:p>
        </w:tc>
        <w:tc>
          <w:tcPr>
            <w:tcW w:w="4111" w:type="dxa"/>
            <w:tcBorders>
              <w:top w:val="nil"/>
              <w:left w:val="nil"/>
              <w:bottom w:val="single" w:color="auto" w:sz="4" w:space="0"/>
              <w:right w:val="single" w:color="auto" w:sz="4" w:space="0"/>
            </w:tcBorders>
            <w:vAlign w:val="center"/>
          </w:tcPr>
          <w:p w14:paraId="485875B4">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链条无磨损及断裂，固定点处的无乱裂腐蚀，无变形等</w:t>
            </w:r>
          </w:p>
        </w:tc>
        <w:tc>
          <w:tcPr>
            <w:tcW w:w="1379" w:type="dxa"/>
            <w:tcBorders>
              <w:top w:val="nil"/>
              <w:left w:val="nil"/>
              <w:bottom w:val="single" w:color="auto" w:sz="4" w:space="0"/>
              <w:right w:val="single" w:color="auto" w:sz="4" w:space="0"/>
            </w:tcBorders>
            <w:vAlign w:val="center"/>
          </w:tcPr>
          <w:p w14:paraId="7D368C4D">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6258F939">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5A19B5EE">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255A0028">
            <w:pPr>
              <w:adjustRightInd w:val="0"/>
              <w:snapToGrid w:val="0"/>
              <w:spacing w:line="360" w:lineRule="auto"/>
              <w:rPr>
                <w:rFonts w:hint="eastAsia" w:ascii="宋体" w:hAnsi="宋体" w:eastAsia="宋体" w:cs="宋体"/>
                <w:sz w:val="21"/>
                <w:szCs w:val="21"/>
                <w:highlight w:val="none"/>
              </w:rPr>
            </w:pPr>
          </w:p>
        </w:tc>
      </w:tr>
      <w:tr w14:paraId="25E531A4">
        <w:tblPrEx>
          <w:tblCellMar>
            <w:top w:w="0" w:type="dxa"/>
            <w:left w:w="108" w:type="dxa"/>
            <w:bottom w:w="0" w:type="dxa"/>
            <w:right w:w="108" w:type="dxa"/>
          </w:tblCellMar>
        </w:tblPrEx>
        <w:trPr>
          <w:trHeight w:val="810" w:hRule="atLeast"/>
          <w:jc w:val="center"/>
        </w:trPr>
        <w:tc>
          <w:tcPr>
            <w:tcW w:w="799" w:type="dxa"/>
            <w:vMerge w:val="continue"/>
            <w:tcBorders>
              <w:top w:val="nil"/>
              <w:left w:val="single" w:color="auto" w:sz="4" w:space="0"/>
              <w:bottom w:val="single" w:color="000000" w:sz="4" w:space="0"/>
              <w:right w:val="single" w:color="auto" w:sz="4" w:space="0"/>
            </w:tcBorders>
            <w:vAlign w:val="center"/>
          </w:tcPr>
          <w:p w14:paraId="5E653D1D">
            <w:pPr>
              <w:adjustRightInd w:val="0"/>
              <w:snapToGrid w:val="0"/>
              <w:spacing w:line="360" w:lineRule="auto"/>
              <w:rPr>
                <w:rFonts w:hint="eastAsia" w:ascii="宋体" w:hAnsi="宋体" w:eastAsia="宋体" w:cs="宋体"/>
                <w:sz w:val="21"/>
                <w:szCs w:val="21"/>
                <w:highlight w:val="none"/>
              </w:rPr>
            </w:pPr>
          </w:p>
        </w:tc>
        <w:tc>
          <w:tcPr>
            <w:tcW w:w="1895" w:type="dxa"/>
            <w:tcBorders>
              <w:top w:val="nil"/>
              <w:left w:val="nil"/>
              <w:bottom w:val="single" w:color="auto" w:sz="4" w:space="0"/>
              <w:right w:val="single" w:color="auto" w:sz="4" w:space="0"/>
            </w:tcBorders>
            <w:vAlign w:val="center"/>
          </w:tcPr>
          <w:p w14:paraId="38E36EA4">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提升装置</w:t>
            </w:r>
          </w:p>
        </w:tc>
        <w:tc>
          <w:tcPr>
            <w:tcW w:w="4111" w:type="dxa"/>
            <w:tcBorders>
              <w:top w:val="nil"/>
              <w:left w:val="nil"/>
              <w:bottom w:val="single" w:color="auto" w:sz="4" w:space="0"/>
              <w:right w:val="single" w:color="auto" w:sz="4" w:space="0"/>
            </w:tcBorders>
            <w:vAlign w:val="center"/>
          </w:tcPr>
          <w:p w14:paraId="407BE337">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各工况正常、工作无异响、无磨损变形</w:t>
            </w:r>
          </w:p>
        </w:tc>
        <w:tc>
          <w:tcPr>
            <w:tcW w:w="1379" w:type="dxa"/>
            <w:tcBorders>
              <w:top w:val="nil"/>
              <w:left w:val="nil"/>
              <w:bottom w:val="single" w:color="auto" w:sz="4" w:space="0"/>
              <w:right w:val="single" w:color="auto" w:sz="4" w:space="0"/>
            </w:tcBorders>
            <w:vAlign w:val="center"/>
          </w:tcPr>
          <w:p w14:paraId="0B4D466F">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688C16B4">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45940158">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2EB386F4">
            <w:pPr>
              <w:adjustRightInd w:val="0"/>
              <w:snapToGrid w:val="0"/>
              <w:spacing w:line="360" w:lineRule="auto"/>
              <w:rPr>
                <w:rFonts w:hint="eastAsia" w:ascii="宋体" w:hAnsi="宋体" w:eastAsia="宋体" w:cs="宋体"/>
                <w:sz w:val="21"/>
                <w:szCs w:val="21"/>
                <w:highlight w:val="none"/>
              </w:rPr>
            </w:pPr>
          </w:p>
        </w:tc>
      </w:tr>
      <w:tr w14:paraId="21FEE5AC">
        <w:tblPrEx>
          <w:tblCellMar>
            <w:top w:w="0" w:type="dxa"/>
            <w:left w:w="108" w:type="dxa"/>
            <w:bottom w:w="0" w:type="dxa"/>
            <w:right w:w="108" w:type="dxa"/>
          </w:tblCellMar>
        </w:tblPrEx>
        <w:trPr>
          <w:trHeight w:val="810" w:hRule="atLeast"/>
          <w:jc w:val="center"/>
        </w:trPr>
        <w:tc>
          <w:tcPr>
            <w:tcW w:w="799" w:type="dxa"/>
            <w:vMerge w:val="restart"/>
            <w:tcBorders>
              <w:top w:val="nil"/>
              <w:left w:val="single" w:color="auto" w:sz="4" w:space="0"/>
              <w:bottom w:val="single" w:color="000000" w:sz="4" w:space="0"/>
              <w:right w:val="single" w:color="auto" w:sz="4" w:space="0"/>
            </w:tcBorders>
            <w:vAlign w:val="center"/>
          </w:tcPr>
          <w:p w14:paraId="2ABF39BF">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电气控制系统</w:t>
            </w:r>
          </w:p>
        </w:tc>
        <w:tc>
          <w:tcPr>
            <w:tcW w:w="1895" w:type="dxa"/>
            <w:tcBorders>
              <w:top w:val="nil"/>
              <w:left w:val="nil"/>
              <w:bottom w:val="single" w:color="auto" w:sz="4" w:space="0"/>
              <w:right w:val="single" w:color="auto" w:sz="4" w:space="0"/>
            </w:tcBorders>
            <w:vAlign w:val="center"/>
          </w:tcPr>
          <w:p w14:paraId="1224D040">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操作器</w:t>
            </w:r>
          </w:p>
        </w:tc>
        <w:tc>
          <w:tcPr>
            <w:tcW w:w="4111" w:type="dxa"/>
            <w:tcBorders>
              <w:top w:val="nil"/>
              <w:left w:val="nil"/>
              <w:bottom w:val="single" w:color="auto" w:sz="4" w:space="0"/>
              <w:right w:val="single" w:color="auto" w:sz="4" w:space="0"/>
            </w:tcBorders>
            <w:vAlign w:val="center"/>
          </w:tcPr>
          <w:p w14:paraId="728F22A2">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按钮动作灵敏，工作正常</w:t>
            </w:r>
          </w:p>
        </w:tc>
        <w:tc>
          <w:tcPr>
            <w:tcW w:w="1379" w:type="dxa"/>
            <w:tcBorders>
              <w:top w:val="nil"/>
              <w:left w:val="nil"/>
              <w:bottom w:val="single" w:color="auto" w:sz="4" w:space="0"/>
              <w:right w:val="single" w:color="auto" w:sz="4" w:space="0"/>
            </w:tcBorders>
            <w:vAlign w:val="center"/>
          </w:tcPr>
          <w:p w14:paraId="60A655CB">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093EB9ED">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6453D488">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46331F2B">
            <w:pPr>
              <w:adjustRightInd w:val="0"/>
              <w:snapToGrid w:val="0"/>
              <w:spacing w:line="360" w:lineRule="auto"/>
              <w:rPr>
                <w:rFonts w:hint="eastAsia" w:ascii="宋体" w:hAnsi="宋体" w:eastAsia="宋体" w:cs="宋体"/>
                <w:sz w:val="21"/>
                <w:szCs w:val="21"/>
                <w:highlight w:val="none"/>
              </w:rPr>
            </w:pPr>
          </w:p>
        </w:tc>
      </w:tr>
      <w:tr w14:paraId="6020A7B5">
        <w:tblPrEx>
          <w:tblCellMar>
            <w:top w:w="0" w:type="dxa"/>
            <w:left w:w="108" w:type="dxa"/>
            <w:bottom w:w="0" w:type="dxa"/>
            <w:right w:w="108" w:type="dxa"/>
          </w:tblCellMar>
        </w:tblPrEx>
        <w:trPr>
          <w:trHeight w:val="810" w:hRule="atLeast"/>
          <w:jc w:val="center"/>
        </w:trPr>
        <w:tc>
          <w:tcPr>
            <w:tcW w:w="799" w:type="dxa"/>
            <w:vMerge w:val="continue"/>
            <w:tcBorders>
              <w:top w:val="nil"/>
              <w:left w:val="single" w:color="auto" w:sz="4" w:space="0"/>
              <w:bottom w:val="single" w:color="000000" w:sz="4" w:space="0"/>
              <w:right w:val="single" w:color="auto" w:sz="4" w:space="0"/>
            </w:tcBorders>
            <w:vAlign w:val="center"/>
          </w:tcPr>
          <w:p w14:paraId="2B52E2D2">
            <w:pPr>
              <w:adjustRightInd w:val="0"/>
              <w:snapToGrid w:val="0"/>
              <w:spacing w:line="360" w:lineRule="auto"/>
              <w:rPr>
                <w:rFonts w:hint="eastAsia" w:ascii="宋体" w:hAnsi="宋体" w:eastAsia="宋体" w:cs="宋体"/>
                <w:sz w:val="21"/>
                <w:szCs w:val="21"/>
                <w:highlight w:val="none"/>
              </w:rPr>
            </w:pPr>
          </w:p>
        </w:tc>
        <w:tc>
          <w:tcPr>
            <w:tcW w:w="1895" w:type="dxa"/>
            <w:tcBorders>
              <w:top w:val="nil"/>
              <w:left w:val="nil"/>
              <w:bottom w:val="single" w:color="auto" w:sz="4" w:space="0"/>
              <w:right w:val="single" w:color="auto" w:sz="4" w:space="0"/>
            </w:tcBorders>
            <w:vAlign w:val="center"/>
          </w:tcPr>
          <w:p w14:paraId="6A49E237">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限位开关</w:t>
            </w:r>
          </w:p>
        </w:tc>
        <w:tc>
          <w:tcPr>
            <w:tcW w:w="4111" w:type="dxa"/>
            <w:tcBorders>
              <w:top w:val="nil"/>
              <w:left w:val="nil"/>
              <w:bottom w:val="single" w:color="auto" w:sz="4" w:space="0"/>
              <w:right w:val="single" w:color="auto" w:sz="4" w:space="0"/>
            </w:tcBorders>
            <w:vAlign w:val="center"/>
          </w:tcPr>
          <w:p w14:paraId="7F36DA2F">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工作正常、位置准确可靠</w:t>
            </w:r>
          </w:p>
        </w:tc>
        <w:tc>
          <w:tcPr>
            <w:tcW w:w="1379" w:type="dxa"/>
            <w:tcBorders>
              <w:top w:val="nil"/>
              <w:left w:val="nil"/>
              <w:bottom w:val="single" w:color="auto" w:sz="4" w:space="0"/>
              <w:right w:val="single" w:color="auto" w:sz="4" w:space="0"/>
            </w:tcBorders>
            <w:vAlign w:val="center"/>
          </w:tcPr>
          <w:p w14:paraId="643C36FC">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648BB763">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67D831C0">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3BA75DED">
            <w:pPr>
              <w:adjustRightInd w:val="0"/>
              <w:snapToGrid w:val="0"/>
              <w:spacing w:line="360" w:lineRule="auto"/>
              <w:rPr>
                <w:rFonts w:hint="eastAsia" w:ascii="宋体" w:hAnsi="宋体" w:eastAsia="宋体" w:cs="宋体"/>
                <w:sz w:val="21"/>
                <w:szCs w:val="21"/>
                <w:highlight w:val="none"/>
              </w:rPr>
            </w:pPr>
          </w:p>
        </w:tc>
      </w:tr>
      <w:tr w14:paraId="4E7D2859">
        <w:tblPrEx>
          <w:tblCellMar>
            <w:top w:w="0" w:type="dxa"/>
            <w:left w:w="108" w:type="dxa"/>
            <w:bottom w:w="0" w:type="dxa"/>
            <w:right w:w="108" w:type="dxa"/>
          </w:tblCellMar>
        </w:tblPrEx>
        <w:trPr>
          <w:trHeight w:val="810" w:hRule="atLeast"/>
          <w:jc w:val="center"/>
        </w:trPr>
        <w:tc>
          <w:tcPr>
            <w:tcW w:w="799" w:type="dxa"/>
            <w:vMerge w:val="continue"/>
            <w:tcBorders>
              <w:top w:val="nil"/>
              <w:left w:val="single" w:color="auto" w:sz="4" w:space="0"/>
              <w:bottom w:val="single" w:color="000000" w:sz="4" w:space="0"/>
              <w:right w:val="single" w:color="auto" w:sz="4" w:space="0"/>
            </w:tcBorders>
            <w:vAlign w:val="center"/>
          </w:tcPr>
          <w:p w14:paraId="44C2DC77">
            <w:pPr>
              <w:adjustRightInd w:val="0"/>
              <w:snapToGrid w:val="0"/>
              <w:spacing w:line="360" w:lineRule="auto"/>
              <w:rPr>
                <w:rFonts w:hint="eastAsia" w:ascii="宋体" w:hAnsi="宋体" w:eastAsia="宋体" w:cs="宋体"/>
                <w:sz w:val="21"/>
                <w:szCs w:val="21"/>
                <w:highlight w:val="none"/>
              </w:rPr>
            </w:pPr>
          </w:p>
        </w:tc>
        <w:tc>
          <w:tcPr>
            <w:tcW w:w="1895" w:type="dxa"/>
            <w:tcBorders>
              <w:top w:val="nil"/>
              <w:left w:val="nil"/>
              <w:bottom w:val="single" w:color="auto" w:sz="4" w:space="0"/>
              <w:right w:val="single" w:color="auto" w:sz="4" w:space="0"/>
            </w:tcBorders>
            <w:vAlign w:val="center"/>
          </w:tcPr>
          <w:p w14:paraId="6913A1C3">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接地装置</w:t>
            </w:r>
          </w:p>
        </w:tc>
        <w:tc>
          <w:tcPr>
            <w:tcW w:w="4111" w:type="dxa"/>
            <w:tcBorders>
              <w:top w:val="nil"/>
              <w:left w:val="nil"/>
              <w:bottom w:val="single" w:color="auto" w:sz="4" w:space="0"/>
              <w:right w:val="single" w:color="auto" w:sz="4" w:space="0"/>
            </w:tcBorders>
            <w:vAlign w:val="center"/>
          </w:tcPr>
          <w:p w14:paraId="46DCF3CA">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无锈蚀，焊缝无脱落、无松动</w:t>
            </w:r>
          </w:p>
        </w:tc>
        <w:tc>
          <w:tcPr>
            <w:tcW w:w="1379" w:type="dxa"/>
            <w:tcBorders>
              <w:top w:val="nil"/>
              <w:left w:val="nil"/>
              <w:bottom w:val="single" w:color="auto" w:sz="4" w:space="0"/>
              <w:right w:val="single" w:color="auto" w:sz="4" w:space="0"/>
            </w:tcBorders>
            <w:vAlign w:val="center"/>
          </w:tcPr>
          <w:p w14:paraId="2A83D813">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5336CB14">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25C8E333">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14833F48">
            <w:pPr>
              <w:adjustRightInd w:val="0"/>
              <w:snapToGrid w:val="0"/>
              <w:spacing w:line="360" w:lineRule="auto"/>
              <w:rPr>
                <w:rFonts w:hint="eastAsia" w:ascii="宋体" w:hAnsi="宋体" w:eastAsia="宋体" w:cs="宋体"/>
                <w:sz w:val="21"/>
                <w:szCs w:val="21"/>
                <w:highlight w:val="none"/>
              </w:rPr>
            </w:pPr>
          </w:p>
        </w:tc>
      </w:tr>
      <w:tr w14:paraId="7301A69E">
        <w:tblPrEx>
          <w:tblCellMar>
            <w:top w:w="0" w:type="dxa"/>
            <w:left w:w="108" w:type="dxa"/>
            <w:bottom w:w="0" w:type="dxa"/>
            <w:right w:w="108" w:type="dxa"/>
          </w:tblCellMar>
        </w:tblPrEx>
        <w:trPr>
          <w:trHeight w:val="810" w:hRule="atLeast"/>
          <w:jc w:val="center"/>
        </w:trPr>
        <w:tc>
          <w:tcPr>
            <w:tcW w:w="799" w:type="dxa"/>
            <w:vMerge w:val="continue"/>
            <w:tcBorders>
              <w:top w:val="nil"/>
              <w:left w:val="single" w:color="auto" w:sz="4" w:space="0"/>
              <w:bottom w:val="single" w:color="000000" w:sz="4" w:space="0"/>
              <w:right w:val="single" w:color="auto" w:sz="4" w:space="0"/>
            </w:tcBorders>
            <w:vAlign w:val="center"/>
          </w:tcPr>
          <w:p w14:paraId="021B219C">
            <w:pPr>
              <w:adjustRightInd w:val="0"/>
              <w:snapToGrid w:val="0"/>
              <w:spacing w:line="360" w:lineRule="auto"/>
              <w:rPr>
                <w:rFonts w:hint="eastAsia" w:ascii="宋体" w:hAnsi="宋体" w:eastAsia="宋体" w:cs="宋体"/>
                <w:sz w:val="21"/>
                <w:szCs w:val="21"/>
                <w:highlight w:val="none"/>
              </w:rPr>
            </w:pPr>
          </w:p>
        </w:tc>
        <w:tc>
          <w:tcPr>
            <w:tcW w:w="1895" w:type="dxa"/>
            <w:tcBorders>
              <w:top w:val="nil"/>
              <w:left w:val="nil"/>
              <w:bottom w:val="single" w:color="auto" w:sz="4" w:space="0"/>
              <w:right w:val="single" w:color="auto" w:sz="4" w:space="0"/>
            </w:tcBorders>
            <w:vAlign w:val="center"/>
          </w:tcPr>
          <w:p w14:paraId="18D5B783">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线路</w:t>
            </w:r>
          </w:p>
        </w:tc>
        <w:tc>
          <w:tcPr>
            <w:tcW w:w="4111" w:type="dxa"/>
            <w:tcBorders>
              <w:top w:val="nil"/>
              <w:left w:val="nil"/>
              <w:bottom w:val="single" w:color="auto" w:sz="4" w:space="0"/>
              <w:right w:val="single" w:color="auto" w:sz="4" w:space="0"/>
            </w:tcBorders>
            <w:vAlign w:val="center"/>
          </w:tcPr>
          <w:p w14:paraId="5E551734">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电线电缆布线无松动、裸露、破损</w:t>
            </w:r>
          </w:p>
        </w:tc>
        <w:tc>
          <w:tcPr>
            <w:tcW w:w="1379" w:type="dxa"/>
            <w:tcBorders>
              <w:top w:val="nil"/>
              <w:left w:val="nil"/>
              <w:bottom w:val="single" w:color="auto" w:sz="4" w:space="0"/>
              <w:right w:val="single" w:color="auto" w:sz="4" w:space="0"/>
            </w:tcBorders>
            <w:vAlign w:val="center"/>
          </w:tcPr>
          <w:p w14:paraId="6A6A72F6">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21FE383D">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4F0F4BA8">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3D4C8E39">
            <w:pPr>
              <w:adjustRightInd w:val="0"/>
              <w:snapToGrid w:val="0"/>
              <w:spacing w:line="360" w:lineRule="auto"/>
              <w:rPr>
                <w:rFonts w:hint="eastAsia" w:ascii="宋体" w:hAnsi="宋体" w:eastAsia="宋体" w:cs="宋体"/>
                <w:sz w:val="21"/>
                <w:szCs w:val="21"/>
                <w:highlight w:val="none"/>
              </w:rPr>
            </w:pPr>
          </w:p>
        </w:tc>
      </w:tr>
      <w:tr w14:paraId="409B698F">
        <w:tblPrEx>
          <w:tblCellMar>
            <w:top w:w="0" w:type="dxa"/>
            <w:left w:w="108" w:type="dxa"/>
            <w:bottom w:w="0" w:type="dxa"/>
            <w:right w:w="108" w:type="dxa"/>
          </w:tblCellMar>
        </w:tblPrEx>
        <w:trPr>
          <w:trHeight w:val="810" w:hRule="atLeast"/>
          <w:jc w:val="center"/>
        </w:trPr>
        <w:tc>
          <w:tcPr>
            <w:tcW w:w="799" w:type="dxa"/>
            <w:vMerge w:val="restart"/>
            <w:tcBorders>
              <w:top w:val="nil"/>
              <w:left w:val="single" w:color="auto" w:sz="4" w:space="0"/>
              <w:bottom w:val="single" w:color="000000" w:sz="4" w:space="0"/>
              <w:right w:val="single" w:color="auto" w:sz="4" w:space="0"/>
            </w:tcBorders>
            <w:vAlign w:val="center"/>
          </w:tcPr>
          <w:p w14:paraId="6D772171">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安全防护装置</w:t>
            </w:r>
          </w:p>
        </w:tc>
        <w:tc>
          <w:tcPr>
            <w:tcW w:w="1895" w:type="dxa"/>
            <w:tcBorders>
              <w:top w:val="nil"/>
              <w:left w:val="nil"/>
              <w:bottom w:val="single" w:color="auto" w:sz="4" w:space="0"/>
              <w:right w:val="single" w:color="auto" w:sz="4" w:space="0"/>
            </w:tcBorders>
            <w:vAlign w:val="center"/>
          </w:tcPr>
          <w:p w14:paraId="5ABD2420">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起限运行开关</w:t>
            </w:r>
          </w:p>
        </w:tc>
        <w:tc>
          <w:tcPr>
            <w:tcW w:w="4111" w:type="dxa"/>
            <w:tcBorders>
              <w:top w:val="nil"/>
              <w:left w:val="nil"/>
              <w:bottom w:val="single" w:color="auto" w:sz="4" w:space="0"/>
              <w:right w:val="single" w:color="auto" w:sz="4" w:space="0"/>
            </w:tcBorders>
            <w:vAlign w:val="center"/>
          </w:tcPr>
          <w:p w14:paraId="5A0B9E79">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工作正常、位置准确可靠</w:t>
            </w:r>
          </w:p>
        </w:tc>
        <w:tc>
          <w:tcPr>
            <w:tcW w:w="1379" w:type="dxa"/>
            <w:tcBorders>
              <w:top w:val="nil"/>
              <w:left w:val="nil"/>
              <w:bottom w:val="single" w:color="auto" w:sz="4" w:space="0"/>
              <w:right w:val="single" w:color="auto" w:sz="4" w:space="0"/>
            </w:tcBorders>
            <w:vAlign w:val="center"/>
          </w:tcPr>
          <w:p w14:paraId="2D2996B5">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34F249DE">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3D6D937D">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1536A114">
            <w:pPr>
              <w:adjustRightInd w:val="0"/>
              <w:snapToGrid w:val="0"/>
              <w:spacing w:line="360" w:lineRule="auto"/>
              <w:rPr>
                <w:rFonts w:hint="eastAsia" w:ascii="宋体" w:hAnsi="宋体" w:eastAsia="宋体" w:cs="宋体"/>
                <w:sz w:val="21"/>
                <w:szCs w:val="21"/>
                <w:highlight w:val="none"/>
              </w:rPr>
            </w:pPr>
          </w:p>
        </w:tc>
      </w:tr>
      <w:tr w14:paraId="2EFCF0A3">
        <w:tblPrEx>
          <w:tblCellMar>
            <w:top w:w="0" w:type="dxa"/>
            <w:left w:w="108" w:type="dxa"/>
            <w:bottom w:w="0" w:type="dxa"/>
            <w:right w:w="108" w:type="dxa"/>
          </w:tblCellMar>
        </w:tblPrEx>
        <w:trPr>
          <w:trHeight w:val="810" w:hRule="atLeast"/>
          <w:jc w:val="center"/>
        </w:trPr>
        <w:tc>
          <w:tcPr>
            <w:tcW w:w="799" w:type="dxa"/>
            <w:vMerge w:val="continue"/>
            <w:tcBorders>
              <w:top w:val="nil"/>
              <w:left w:val="single" w:color="auto" w:sz="4" w:space="0"/>
              <w:bottom w:val="single" w:color="000000" w:sz="4" w:space="0"/>
              <w:right w:val="single" w:color="auto" w:sz="4" w:space="0"/>
            </w:tcBorders>
            <w:vAlign w:val="center"/>
          </w:tcPr>
          <w:p w14:paraId="4E46F308">
            <w:pPr>
              <w:adjustRightInd w:val="0"/>
              <w:snapToGrid w:val="0"/>
              <w:spacing w:line="360" w:lineRule="auto"/>
              <w:rPr>
                <w:rFonts w:hint="eastAsia" w:ascii="宋体" w:hAnsi="宋体" w:eastAsia="宋体" w:cs="宋体"/>
                <w:sz w:val="21"/>
                <w:szCs w:val="21"/>
                <w:highlight w:val="none"/>
              </w:rPr>
            </w:pPr>
          </w:p>
        </w:tc>
        <w:tc>
          <w:tcPr>
            <w:tcW w:w="1895" w:type="dxa"/>
            <w:tcBorders>
              <w:top w:val="nil"/>
              <w:left w:val="nil"/>
              <w:bottom w:val="single" w:color="auto" w:sz="4" w:space="0"/>
              <w:right w:val="single" w:color="auto" w:sz="4" w:space="0"/>
            </w:tcBorders>
            <w:vAlign w:val="center"/>
          </w:tcPr>
          <w:p w14:paraId="29C3ECFE">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车辆规格检测装置</w:t>
            </w:r>
          </w:p>
        </w:tc>
        <w:tc>
          <w:tcPr>
            <w:tcW w:w="4111" w:type="dxa"/>
            <w:tcBorders>
              <w:top w:val="nil"/>
              <w:left w:val="nil"/>
              <w:bottom w:val="single" w:color="auto" w:sz="4" w:space="0"/>
              <w:right w:val="single" w:color="auto" w:sz="4" w:space="0"/>
            </w:tcBorders>
            <w:vAlign w:val="center"/>
          </w:tcPr>
          <w:p w14:paraId="730BC5DA">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工作正常、表面无尘、固定无松动</w:t>
            </w:r>
          </w:p>
        </w:tc>
        <w:tc>
          <w:tcPr>
            <w:tcW w:w="1379" w:type="dxa"/>
            <w:tcBorders>
              <w:top w:val="nil"/>
              <w:left w:val="nil"/>
              <w:bottom w:val="single" w:color="auto" w:sz="4" w:space="0"/>
              <w:right w:val="single" w:color="auto" w:sz="4" w:space="0"/>
            </w:tcBorders>
            <w:vAlign w:val="center"/>
          </w:tcPr>
          <w:p w14:paraId="33EA3974">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5A2CCF6D">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5611FB11">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3D69F648">
            <w:pPr>
              <w:adjustRightInd w:val="0"/>
              <w:snapToGrid w:val="0"/>
              <w:spacing w:line="360" w:lineRule="auto"/>
              <w:rPr>
                <w:rFonts w:hint="eastAsia" w:ascii="宋体" w:hAnsi="宋体" w:eastAsia="宋体" w:cs="宋体"/>
                <w:sz w:val="21"/>
                <w:szCs w:val="21"/>
                <w:highlight w:val="none"/>
              </w:rPr>
            </w:pPr>
          </w:p>
        </w:tc>
      </w:tr>
      <w:tr w14:paraId="23BE7718">
        <w:tblPrEx>
          <w:tblCellMar>
            <w:top w:w="0" w:type="dxa"/>
            <w:left w:w="108" w:type="dxa"/>
            <w:bottom w:w="0" w:type="dxa"/>
            <w:right w:w="108" w:type="dxa"/>
          </w:tblCellMar>
        </w:tblPrEx>
        <w:trPr>
          <w:trHeight w:val="810" w:hRule="atLeast"/>
          <w:jc w:val="center"/>
        </w:trPr>
        <w:tc>
          <w:tcPr>
            <w:tcW w:w="799" w:type="dxa"/>
            <w:vMerge w:val="continue"/>
            <w:tcBorders>
              <w:top w:val="nil"/>
              <w:left w:val="single" w:color="auto" w:sz="4" w:space="0"/>
              <w:bottom w:val="single" w:color="000000" w:sz="4" w:space="0"/>
              <w:right w:val="single" w:color="auto" w:sz="4" w:space="0"/>
            </w:tcBorders>
            <w:vAlign w:val="center"/>
          </w:tcPr>
          <w:p w14:paraId="09A0F3A8">
            <w:pPr>
              <w:adjustRightInd w:val="0"/>
              <w:snapToGrid w:val="0"/>
              <w:spacing w:line="360" w:lineRule="auto"/>
              <w:rPr>
                <w:rFonts w:hint="eastAsia" w:ascii="宋体" w:hAnsi="宋体" w:eastAsia="宋体" w:cs="宋体"/>
                <w:sz w:val="21"/>
                <w:szCs w:val="21"/>
                <w:highlight w:val="none"/>
              </w:rPr>
            </w:pPr>
          </w:p>
        </w:tc>
        <w:tc>
          <w:tcPr>
            <w:tcW w:w="1895" w:type="dxa"/>
            <w:tcBorders>
              <w:top w:val="nil"/>
              <w:left w:val="nil"/>
              <w:bottom w:val="single" w:color="auto" w:sz="4" w:space="0"/>
              <w:right w:val="single" w:color="auto" w:sz="4" w:space="0"/>
            </w:tcBorders>
            <w:vAlign w:val="center"/>
          </w:tcPr>
          <w:p w14:paraId="1F8FD1D4">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运转警告装置</w:t>
            </w:r>
          </w:p>
        </w:tc>
        <w:tc>
          <w:tcPr>
            <w:tcW w:w="4111" w:type="dxa"/>
            <w:tcBorders>
              <w:top w:val="nil"/>
              <w:left w:val="nil"/>
              <w:bottom w:val="single" w:color="auto" w:sz="4" w:space="0"/>
              <w:right w:val="single" w:color="auto" w:sz="4" w:space="0"/>
            </w:tcBorders>
            <w:vAlign w:val="center"/>
          </w:tcPr>
          <w:p w14:paraId="3AF4D7F4">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工作正常、固定无松动</w:t>
            </w:r>
          </w:p>
        </w:tc>
        <w:tc>
          <w:tcPr>
            <w:tcW w:w="1379" w:type="dxa"/>
            <w:tcBorders>
              <w:top w:val="nil"/>
              <w:left w:val="nil"/>
              <w:bottom w:val="single" w:color="auto" w:sz="4" w:space="0"/>
              <w:right w:val="single" w:color="auto" w:sz="4" w:space="0"/>
            </w:tcBorders>
            <w:vAlign w:val="center"/>
          </w:tcPr>
          <w:p w14:paraId="7646B683">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021930C8">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777ABF3F">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35FBBAA5">
            <w:pPr>
              <w:adjustRightInd w:val="0"/>
              <w:snapToGrid w:val="0"/>
              <w:spacing w:line="360" w:lineRule="auto"/>
              <w:rPr>
                <w:rFonts w:hint="eastAsia" w:ascii="宋体" w:hAnsi="宋体" w:eastAsia="宋体" w:cs="宋体"/>
                <w:sz w:val="21"/>
                <w:szCs w:val="21"/>
                <w:highlight w:val="none"/>
              </w:rPr>
            </w:pPr>
          </w:p>
        </w:tc>
      </w:tr>
      <w:tr w14:paraId="44D545E5">
        <w:tblPrEx>
          <w:tblCellMar>
            <w:top w:w="0" w:type="dxa"/>
            <w:left w:w="108" w:type="dxa"/>
            <w:bottom w:w="0" w:type="dxa"/>
            <w:right w:w="108" w:type="dxa"/>
          </w:tblCellMar>
        </w:tblPrEx>
        <w:trPr>
          <w:trHeight w:val="810" w:hRule="atLeast"/>
          <w:jc w:val="center"/>
        </w:trPr>
        <w:tc>
          <w:tcPr>
            <w:tcW w:w="799" w:type="dxa"/>
            <w:vMerge w:val="continue"/>
            <w:tcBorders>
              <w:top w:val="nil"/>
              <w:left w:val="single" w:color="auto" w:sz="4" w:space="0"/>
              <w:bottom w:val="single" w:color="000000" w:sz="4" w:space="0"/>
              <w:right w:val="single" w:color="auto" w:sz="4" w:space="0"/>
            </w:tcBorders>
            <w:vAlign w:val="center"/>
          </w:tcPr>
          <w:p w14:paraId="4F51453B">
            <w:pPr>
              <w:adjustRightInd w:val="0"/>
              <w:snapToGrid w:val="0"/>
              <w:spacing w:line="360" w:lineRule="auto"/>
              <w:rPr>
                <w:rFonts w:hint="eastAsia" w:ascii="宋体" w:hAnsi="宋体" w:eastAsia="宋体" w:cs="宋体"/>
                <w:sz w:val="21"/>
                <w:szCs w:val="21"/>
                <w:highlight w:val="none"/>
              </w:rPr>
            </w:pPr>
          </w:p>
        </w:tc>
        <w:tc>
          <w:tcPr>
            <w:tcW w:w="1895" w:type="dxa"/>
            <w:tcBorders>
              <w:top w:val="nil"/>
              <w:left w:val="nil"/>
              <w:bottom w:val="single" w:color="auto" w:sz="4" w:space="0"/>
              <w:right w:val="single" w:color="auto" w:sz="4" w:space="0"/>
            </w:tcBorders>
            <w:vAlign w:val="center"/>
          </w:tcPr>
          <w:p w14:paraId="1B92C53D">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故障报警装置</w:t>
            </w:r>
          </w:p>
        </w:tc>
        <w:tc>
          <w:tcPr>
            <w:tcW w:w="4111" w:type="dxa"/>
            <w:tcBorders>
              <w:top w:val="nil"/>
              <w:left w:val="nil"/>
              <w:bottom w:val="single" w:color="auto" w:sz="4" w:space="0"/>
              <w:right w:val="single" w:color="auto" w:sz="4" w:space="0"/>
            </w:tcBorders>
            <w:vAlign w:val="center"/>
          </w:tcPr>
          <w:p w14:paraId="3DA41324">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工作正常、固定无松动</w:t>
            </w:r>
          </w:p>
        </w:tc>
        <w:tc>
          <w:tcPr>
            <w:tcW w:w="1379" w:type="dxa"/>
            <w:tcBorders>
              <w:top w:val="nil"/>
              <w:left w:val="nil"/>
              <w:bottom w:val="single" w:color="auto" w:sz="4" w:space="0"/>
              <w:right w:val="single" w:color="auto" w:sz="4" w:space="0"/>
            </w:tcBorders>
            <w:vAlign w:val="center"/>
          </w:tcPr>
          <w:p w14:paraId="20DF4EB6">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☑月</w:t>
            </w:r>
          </w:p>
          <w:p w14:paraId="7E15D1FC">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☑季度</w:t>
            </w:r>
          </w:p>
          <w:p w14:paraId="0964204C">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☑年度</w:t>
            </w:r>
          </w:p>
        </w:tc>
        <w:tc>
          <w:tcPr>
            <w:tcW w:w="889" w:type="dxa"/>
            <w:tcBorders>
              <w:top w:val="nil"/>
              <w:left w:val="nil"/>
              <w:bottom w:val="single" w:color="auto" w:sz="4" w:space="0"/>
              <w:right w:val="single" w:color="auto" w:sz="4" w:space="0"/>
            </w:tcBorders>
            <w:vAlign w:val="center"/>
          </w:tcPr>
          <w:p w14:paraId="24498925">
            <w:pPr>
              <w:adjustRightInd w:val="0"/>
              <w:snapToGrid w:val="0"/>
              <w:spacing w:line="360" w:lineRule="auto"/>
              <w:rPr>
                <w:rFonts w:hint="eastAsia" w:ascii="宋体" w:hAnsi="宋体" w:eastAsia="宋体" w:cs="宋体"/>
                <w:sz w:val="21"/>
                <w:szCs w:val="21"/>
                <w:highlight w:val="none"/>
              </w:rPr>
            </w:pPr>
          </w:p>
        </w:tc>
      </w:tr>
    </w:tbl>
    <w:p w14:paraId="4712A9E1">
      <w:pPr>
        <w:adjustRightInd w:val="0"/>
        <w:snapToGrid w:val="0"/>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注：☑为检查项目。</w:t>
      </w:r>
    </w:p>
    <w:p w14:paraId="5EF7233F">
      <w:pPr>
        <w:keepNext w:val="0"/>
        <w:keepLines w:val="0"/>
        <w:pageBreakBefore w:val="0"/>
        <w:widowControl w:val="0"/>
        <w:numPr>
          <w:ilvl w:val="0"/>
          <w:numId w:val="2"/>
        </w:numPr>
        <w:kinsoku/>
        <w:wordWrap/>
        <w:overflowPunct/>
        <w:topLinePunct w:val="0"/>
        <w:autoSpaceDE/>
        <w:autoSpaceDN/>
        <w:bidi w:val="0"/>
        <w:adjustRightInd w:val="0"/>
        <w:snapToGrid w:val="0"/>
        <w:spacing w:line="500" w:lineRule="exact"/>
        <w:ind w:firstLine="420" w:firstLineChars="200"/>
        <w:textAlignment w:val="auto"/>
        <w:rPr>
          <w:rFonts w:hint="eastAsia"/>
          <w:highlight w:val="none"/>
        </w:rPr>
      </w:pPr>
      <w:r>
        <w:rPr>
          <w:rFonts w:hint="eastAsia" w:ascii="宋体" w:hAnsi="宋体" w:eastAsia="宋体" w:cs="宋体"/>
          <w:sz w:val="21"/>
          <w:szCs w:val="21"/>
          <w:highlight w:val="none"/>
        </w:rPr>
        <w:t>培训：负责对现场操作人员进行技术培训，培训内容包含：机械式停车设备的结构、现场操作、常见故障处理等内容，使现场操作人员能进行设备操作及基本的维护。</w:t>
      </w:r>
    </w:p>
    <w:p w14:paraId="502F08E5">
      <w:pPr>
        <w:pStyle w:val="2"/>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default" w:eastAsia="宋体"/>
          <w:highlight w:val="none"/>
          <w:lang w:val="en-US" w:eastAsia="zh-CN"/>
        </w:rPr>
      </w:pPr>
      <w:r>
        <w:rPr>
          <w:rFonts w:hint="eastAsia" w:hAnsi="宋体" w:cs="宋体"/>
          <w:sz w:val="21"/>
          <w:szCs w:val="21"/>
          <w:highlight w:val="none"/>
          <w:lang w:val="en-US" w:eastAsia="zh-CN"/>
        </w:rPr>
        <w:t>6.拟投入本项目的人员，必须具备电工证，且至少配备3人。</w:t>
      </w:r>
    </w:p>
    <w:p w14:paraId="1B4FF8DC">
      <w:pPr>
        <w:pStyle w:val="8"/>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lang w:val="en-US" w:eastAsia="zh-CN"/>
        </w:rPr>
        <w:t>本次服务不含通过技术监督局年度检查费用，但</w:t>
      </w:r>
      <w:r>
        <w:rPr>
          <w:rFonts w:hint="eastAsia" w:ascii="宋体" w:hAnsi="宋体" w:cs="宋体"/>
          <w:sz w:val="21"/>
          <w:szCs w:val="21"/>
          <w:highlight w:val="none"/>
          <w:lang w:val="en-US" w:eastAsia="zh-CN"/>
        </w:rPr>
        <w:t>供应商</w:t>
      </w:r>
      <w:r>
        <w:rPr>
          <w:rFonts w:hint="eastAsia" w:ascii="宋体" w:hAnsi="宋体" w:eastAsia="宋体" w:cs="宋体"/>
          <w:sz w:val="21"/>
          <w:szCs w:val="21"/>
          <w:highlight w:val="none"/>
          <w:lang w:val="en-US" w:eastAsia="zh-CN"/>
        </w:rPr>
        <w:t>需配合</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lang w:val="en-US" w:eastAsia="zh-CN"/>
        </w:rPr>
        <w:t>做好机械式停车设备年检工作。</w:t>
      </w:r>
    </w:p>
    <w:p w14:paraId="285316CC">
      <w:pPr>
        <w:pStyle w:val="8"/>
        <w:keepNext w:val="0"/>
        <w:keepLines w:val="0"/>
        <w:pageBreakBefore w:val="0"/>
        <w:widowControl w:val="0"/>
        <w:kinsoku/>
        <w:wordWrap/>
        <w:overflowPunct/>
        <w:topLinePunct w:val="0"/>
        <w:autoSpaceDE/>
        <w:autoSpaceDN/>
        <w:bidi w:val="0"/>
        <w:spacing w:line="500" w:lineRule="exac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lang w:eastAsia="zh-CN"/>
        </w:rPr>
        <w:t>报价包含：设备维修保养</w:t>
      </w:r>
      <w:r>
        <w:rPr>
          <w:rFonts w:hint="eastAsia" w:ascii="宋体" w:hAnsi="宋体" w:cs="宋体"/>
          <w:sz w:val="21"/>
          <w:szCs w:val="21"/>
          <w:highlight w:val="none"/>
          <w:lang w:eastAsia="zh-CN"/>
        </w:rPr>
        <w:t>费、</w:t>
      </w:r>
      <w:r>
        <w:rPr>
          <w:rFonts w:hint="eastAsia" w:ascii="宋体" w:hAnsi="宋体" w:eastAsia="宋体" w:cs="宋体"/>
          <w:sz w:val="21"/>
          <w:szCs w:val="21"/>
          <w:highlight w:val="none"/>
          <w:lang w:eastAsia="zh-CN"/>
        </w:rPr>
        <w:t>人工费、技术培训</w:t>
      </w:r>
      <w:r>
        <w:rPr>
          <w:rFonts w:hint="eastAsia" w:ascii="宋体" w:hAnsi="宋体" w:cs="宋体"/>
          <w:sz w:val="21"/>
          <w:szCs w:val="21"/>
          <w:highlight w:val="none"/>
          <w:lang w:eastAsia="zh-CN"/>
        </w:rPr>
        <w:t>费</w:t>
      </w:r>
      <w:r>
        <w:rPr>
          <w:rFonts w:hint="eastAsia" w:ascii="宋体" w:hAnsi="宋体" w:eastAsia="宋体" w:cs="宋体"/>
          <w:sz w:val="21"/>
          <w:szCs w:val="21"/>
          <w:highlight w:val="none"/>
          <w:lang w:eastAsia="zh-CN"/>
        </w:rPr>
        <w:t>、公众责任险</w:t>
      </w:r>
      <w:r>
        <w:rPr>
          <w:rFonts w:hint="eastAsia" w:ascii="宋体" w:hAnsi="宋体" w:cs="宋体"/>
          <w:sz w:val="21"/>
          <w:szCs w:val="21"/>
          <w:highlight w:val="none"/>
          <w:lang w:eastAsia="zh-CN"/>
        </w:rPr>
        <w:t>费用</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eastAsia="zh-CN"/>
        </w:rPr>
        <w:t>税费等</w:t>
      </w:r>
      <w:r>
        <w:rPr>
          <w:rFonts w:hint="eastAsia" w:ascii="宋体" w:hAnsi="宋体" w:eastAsia="宋体" w:cs="宋体"/>
          <w:sz w:val="21"/>
          <w:szCs w:val="21"/>
          <w:highlight w:val="none"/>
          <w:lang w:eastAsia="zh-CN"/>
        </w:rPr>
        <w:t>。</w:t>
      </w:r>
    </w:p>
    <w:p w14:paraId="5CCE2B6B">
      <w:pPr>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highlight w:val="none"/>
        </w:rPr>
      </w:pPr>
      <w:r>
        <w:rPr>
          <w:rFonts w:hint="eastAsia"/>
          <w:highlight w:val="none"/>
          <w:lang w:val="en-US" w:eastAsia="zh-CN"/>
        </w:rPr>
        <w:t>9.</w:t>
      </w:r>
      <w:r>
        <w:rPr>
          <w:rFonts w:hint="eastAsia"/>
          <w:highlight w:val="none"/>
        </w:rPr>
        <w:t>供应商对附件</w:t>
      </w:r>
      <w:r>
        <w:rPr>
          <w:rFonts w:hint="eastAsia"/>
          <w:highlight w:val="none"/>
          <w:lang w:val="en-US" w:eastAsia="zh-CN"/>
        </w:rPr>
        <w:t>2</w:t>
      </w:r>
      <w:r>
        <w:rPr>
          <w:rFonts w:hint="eastAsia"/>
          <w:highlight w:val="none"/>
        </w:rPr>
        <w:t>“机械式停车设备维保服务配件单价表”内容进行</w:t>
      </w:r>
      <w:r>
        <w:rPr>
          <w:rFonts w:hint="eastAsia"/>
          <w:highlight w:val="none"/>
          <w:lang w:eastAsia="zh-CN"/>
        </w:rPr>
        <w:t>响应</w:t>
      </w:r>
      <w:r>
        <w:rPr>
          <w:rFonts w:hint="eastAsia"/>
          <w:highlight w:val="none"/>
        </w:rPr>
        <w:t>，服务期内采购人可根据</w:t>
      </w:r>
      <w:r>
        <w:rPr>
          <w:rFonts w:hint="eastAsia"/>
          <w:highlight w:val="none"/>
          <w:lang w:eastAsia="zh-CN"/>
        </w:rPr>
        <w:t>此价格</w:t>
      </w:r>
      <w:r>
        <w:rPr>
          <w:rFonts w:hint="eastAsia"/>
          <w:highlight w:val="none"/>
        </w:rPr>
        <w:t>向其购买材料，也可自行购买。表中的材料费用不含在本次预算中。</w:t>
      </w:r>
    </w:p>
    <w:p w14:paraId="079EE4D7">
      <w:pPr>
        <w:keepNext w:val="0"/>
        <w:keepLines w:val="0"/>
        <w:pageBreakBefore w:val="0"/>
        <w:widowControl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四、商务条款:</w:t>
      </w:r>
    </w:p>
    <w:p w14:paraId="4C36979D">
      <w:pPr>
        <w:keepNext w:val="0"/>
        <w:keepLines w:val="0"/>
        <w:pageBreakBefore w:val="0"/>
        <w:widowControl w:val="0"/>
        <w:numPr>
          <w:ilvl w:val="0"/>
          <w:numId w:val="3"/>
        </w:numPr>
        <w:kinsoku/>
        <w:wordWrap/>
        <w:overflowPunct/>
        <w:topLinePunct w:val="0"/>
        <w:autoSpaceDE/>
        <w:autoSpaceDN/>
        <w:bidi w:val="0"/>
        <w:spacing w:line="500" w:lineRule="exact"/>
        <w:jc w:val="left"/>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付款方式: </w:t>
      </w:r>
      <w:r>
        <w:rPr>
          <w:rFonts w:hint="eastAsia" w:ascii="宋体" w:hAnsi="宋体" w:cs="宋体"/>
          <w:sz w:val="21"/>
          <w:szCs w:val="21"/>
          <w:highlight w:val="none"/>
          <w:lang w:eastAsia="zh-CN"/>
        </w:rPr>
        <w:t>每六个月结算一次，</w:t>
      </w:r>
      <w:r>
        <w:rPr>
          <w:rFonts w:hint="eastAsia" w:ascii="宋体" w:hAnsi="宋体" w:eastAsia="宋体" w:cs="宋体"/>
          <w:sz w:val="21"/>
          <w:szCs w:val="21"/>
          <w:highlight w:val="none"/>
        </w:rPr>
        <w:t>双方对考核表扣减费用进行核对后，</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开具有效票据，并提供付款材料至采购人，采购人完成付款审批手续后15个工作日将上一季度费</w:t>
      </w:r>
      <w:r>
        <w:rPr>
          <w:rFonts w:hint="eastAsia" w:ascii="宋体" w:hAnsi="宋体" w:cs="宋体"/>
          <w:sz w:val="21"/>
          <w:szCs w:val="21"/>
          <w:highlight w:val="none"/>
          <w:lang w:eastAsia="zh-CN"/>
        </w:rPr>
        <w:t>用</w:t>
      </w:r>
      <w:r>
        <w:rPr>
          <w:rFonts w:hint="eastAsia" w:ascii="宋体" w:hAnsi="宋体" w:eastAsia="宋体" w:cs="宋体"/>
          <w:sz w:val="21"/>
          <w:szCs w:val="21"/>
          <w:highlight w:val="none"/>
        </w:rPr>
        <w:t>汇至</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指定账户。</w:t>
      </w:r>
    </w:p>
    <w:p w14:paraId="403A293F">
      <w:pPr>
        <w:keepNext w:val="0"/>
        <w:keepLines w:val="0"/>
        <w:pageBreakBefore w:val="0"/>
        <w:widowControl w:val="0"/>
        <w:numPr>
          <w:ilvl w:val="0"/>
          <w:numId w:val="3"/>
        </w:numPr>
        <w:kinsoku/>
        <w:wordWrap/>
        <w:overflowPunct/>
        <w:topLinePunct w:val="0"/>
        <w:autoSpaceDE/>
        <w:autoSpaceDN/>
        <w:bidi w:val="0"/>
        <w:spacing w:line="5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验收标准：符合现行国家相关标准、行业标准、地方标准或者其他标准、规范。</w:t>
      </w:r>
    </w:p>
    <w:p w14:paraId="0712C68A">
      <w:pPr>
        <w:keepNext w:val="0"/>
        <w:keepLines w:val="0"/>
        <w:pageBreakBefore w:val="0"/>
        <w:widowControl w:val="0"/>
        <w:tabs>
          <w:tab w:val="left" w:pos="180"/>
          <w:tab w:val="left" w:pos="1620"/>
        </w:tabs>
        <w:kinsoku/>
        <w:wordWrap/>
        <w:overflowPunct/>
        <w:topLinePunct w:val="0"/>
        <w:autoSpaceDE/>
        <w:autoSpaceDN/>
        <w:bidi w:val="0"/>
        <w:spacing w:line="500" w:lineRule="exact"/>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五、采购人联系方式</w:t>
      </w:r>
    </w:p>
    <w:p w14:paraId="7E6ACBEA">
      <w:pPr>
        <w:pStyle w:val="15"/>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名    称：广西医科大学第一附属医院</w:t>
      </w:r>
    </w:p>
    <w:p w14:paraId="4410805E">
      <w:pPr>
        <w:pStyle w:val="15"/>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    址：广西南宁市双拥路6号</w:t>
      </w:r>
    </w:p>
    <w:p w14:paraId="7A9604B1">
      <w:pPr>
        <w:pStyle w:val="15"/>
        <w:keepNext w:val="0"/>
        <w:keepLines w:val="0"/>
        <w:pageBreakBefore w:val="0"/>
        <w:widowControl w:val="0"/>
        <w:kinsoku/>
        <w:wordWrap/>
        <w:overflowPunct/>
        <w:topLinePunct w:val="0"/>
        <w:autoSpaceDE/>
        <w:autoSpaceDN/>
        <w:bidi w:val="0"/>
        <w:spacing w:line="50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联系方式：黄工，0771-5356589</w:t>
      </w:r>
    </w:p>
    <w:p w14:paraId="163152B3">
      <w:pPr>
        <w:keepNext w:val="0"/>
        <w:keepLines w:val="0"/>
        <w:pageBreakBefore w:val="0"/>
        <w:widowControl w:val="0"/>
        <w:kinsoku/>
        <w:wordWrap/>
        <w:overflowPunct/>
        <w:topLinePunct w:val="0"/>
        <w:autoSpaceDE/>
        <w:autoSpaceDN/>
        <w:bidi w:val="0"/>
        <w:spacing w:after="120" w:line="500" w:lineRule="exact"/>
        <w:textAlignment w:val="auto"/>
        <w:rPr>
          <w:rFonts w:hint="eastAsia" w:ascii="宋体" w:hAnsi="宋体" w:eastAsia="宋体" w:cs="宋体"/>
          <w:b/>
          <w:bCs/>
          <w:sz w:val="21"/>
          <w:szCs w:val="21"/>
          <w:highlight w:val="none"/>
        </w:rPr>
        <w:sectPr>
          <w:footerReference r:id="rId4" w:type="first"/>
          <w:footerReference r:id="rId3" w:type="default"/>
          <w:pgSz w:w="11906" w:h="16838"/>
          <w:pgMar w:top="1440" w:right="1800" w:bottom="1440" w:left="1800" w:header="851" w:footer="992" w:gutter="0"/>
          <w:pgNumType w:fmt="decimal"/>
          <w:cols w:space="425" w:num="1"/>
          <w:docGrid w:type="lines" w:linePitch="312" w:charSpace="0"/>
        </w:sectPr>
      </w:pPr>
    </w:p>
    <w:p w14:paraId="0B57C01D">
      <w:pPr>
        <w:spacing w:before="67"/>
        <w:jc w:val="left"/>
        <w:rPr>
          <w:rFonts w:hint="eastAsia" w:ascii="Calibri" w:hAnsi="Calibri" w:eastAsia="宋体" w:cs="宋体"/>
          <w:b/>
          <w:color w:val="000000"/>
          <w:sz w:val="24"/>
          <w:highlight w:val="none"/>
          <w:lang w:eastAsia="zh-CN"/>
        </w:rPr>
      </w:pPr>
      <w:r>
        <w:rPr>
          <w:rFonts w:hint="eastAsia" w:ascii="宋体" w:hAnsi="宋体" w:cs="宋体"/>
          <w:b/>
          <w:bCs/>
          <w:sz w:val="28"/>
          <w:szCs w:val="28"/>
          <w:highlight w:val="none"/>
        </w:rPr>
        <w:t>附件</w:t>
      </w:r>
      <w:r>
        <w:rPr>
          <w:rFonts w:hint="eastAsia" w:ascii="宋体" w:hAnsi="宋体" w:cs="宋体"/>
          <w:b/>
          <w:bCs/>
          <w:sz w:val="28"/>
          <w:szCs w:val="28"/>
          <w:highlight w:val="none"/>
          <w:lang w:val="en-US" w:eastAsia="zh-CN"/>
        </w:rPr>
        <w:t>1</w:t>
      </w:r>
      <w:r>
        <w:rPr>
          <w:rFonts w:hint="eastAsia" w:ascii="宋体" w:hAnsi="宋体" w:cs="宋体"/>
          <w:b/>
          <w:bCs/>
          <w:sz w:val="28"/>
          <w:szCs w:val="28"/>
          <w:highlight w:val="none"/>
        </w:rPr>
        <w:t>：</w:t>
      </w:r>
      <w:r>
        <w:rPr>
          <w:rFonts w:hint="eastAsia" w:ascii="宋体" w:hAnsi="宋体" w:cs="宋体"/>
          <w:b/>
          <w:bCs/>
          <w:sz w:val="28"/>
          <w:szCs w:val="28"/>
          <w:highlight w:val="none"/>
          <w:lang w:eastAsia="zh-CN"/>
        </w:rPr>
        <w:t>机械式停车设备</w:t>
      </w:r>
      <w:r>
        <w:rPr>
          <w:rFonts w:hint="eastAsia" w:ascii="宋体" w:hAnsi="宋体" w:cs="宋体"/>
          <w:b/>
          <w:bCs/>
          <w:sz w:val="28"/>
          <w:szCs w:val="28"/>
          <w:highlight w:val="none"/>
        </w:rPr>
        <w:t>维保服务质量考核表</w:t>
      </w:r>
    </w:p>
    <w:tbl>
      <w:tblPr>
        <w:tblStyle w:val="21"/>
        <w:tblW w:w="8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129"/>
        <w:gridCol w:w="904"/>
        <w:gridCol w:w="3897"/>
      </w:tblGrid>
      <w:tr w14:paraId="35B4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Align w:val="center"/>
          </w:tcPr>
          <w:p w14:paraId="13C77D59">
            <w:pPr>
              <w:jc w:val="center"/>
              <w:rPr>
                <w:rFonts w:ascii="Calibri" w:hAnsi="Calibri" w:cs="宋体"/>
                <w:color w:val="000000"/>
                <w:szCs w:val="21"/>
                <w:highlight w:val="none"/>
              </w:rPr>
            </w:pPr>
            <w:r>
              <w:rPr>
                <w:rFonts w:hint="eastAsia" w:ascii="宋体" w:hAnsi="宋体"/>
                <w:color w:val="000000"/>
                <w:highlight w:val="none"/>
              </w:rPr>
              <w:t>类别</w:t>
            </w:r>
          </w:p>
        </w:tc>
        <w:tc>
          <w:tcPr>
            <w:tcW w:w="3129" w:type="dxa"/>
            <w:vAlign w:val="center"/>
          </w:tcPr>
          <w:p w14:paraId="20EDF908">
            <w:pPr>
              <w:jc w:val="center"/>
              <w:rPr>
                <w:rFonts w:ascii="Calibri" w:hAnsi="Calibri" w:cs="宋体"/>
                <w:color w:val="000000"/>
                <w:szCs w:val="21"/>
                <w:highlight w:val="none"/>
              </w:rPr>
            </w:pPr>
            <w:r>
              <w:rPr>
                <w:rFonts w:hint="eastAsia" w:ascii="宋体" w:hAnsi="宋体"/>
                <w:color w:val="000000"/>
                <w:highlight w:val="none"/>
              </w:rPr>
              <w:t>考核内容</w:t>
            </w:r>
          </w:p>
        </w:tc>
        <w:tc>
          <w:tcPr>
            <w:tcW w:w="904" w:type="dxa"/>
            <w:vAlign w:val="center"/>
          </w:tcPr>
          <w:p w14:paraId="4C80D6F9">
            <w:pPr>
              <w:jc w:val="center"/>
              <w:rPr>
                <w:rFonts w:ascii="Calibri" w:hAnsi="Calibri" w:cs="宋体"/>
                <w:color w:val="000000"/>
                <w:szCs w:val="21"/>
                <w:highlight w:val="none"/>
              </w:rPr>
            </w:pPr>
            <w:r>
              <w:rPr>
                <w:rFonts w:hint="eastAsia" w:ascii="宋体" w:hAnsi="宋体"/>
                <w:color w:val="000000"/>
                <w:highlight w:val="none"/>
              </w:rPr>
              <w:t>分值</w:t>
            </w:r>
          </w:p>
        </w:tc>
        <w:tc>
          <w:tcPr>
            <w:tcW w:w="3897" w:type="dxa"/>
            <w:vAlign w:val="center"/>
          </w:tcPr>
          <w:p w14:paraId="78D5868C">
            <w:pPr>
              <w:jc w:val="center"/>
              <w:rPr>
                <w:rFonts w:ascii="Calibri" w:hAnsi="Calibri" w:cs="宋体"/>
                <w:color w:val="000000"/>
                <w:szCs w:val="21"/>
                <w:highlight w:val="none"/>
              </w:rPr>
            </w:pPr>
            <w:r>
              <w:rPr>
                <w:rFonts w:hint="eastAsia" w:ascii="宋体" w:hAnsi="宋体"/>
                <w:color w:val="000000"/>
                <w:highlight w:val="none"/>
              </w:rPr>
              <w:t>基本要求</w:t>
            </w:r>
          </w:p>
        </w:tc>
      </w:tr>
      <w:tr w14:paraId="170B3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restart"/>
            <w:vAlign w:val="center"/>
          </w:tcPr>
          <w:p w14:paraId="00D214A9">
            <w:pPr>
              <w:jc w:val="center"/>
              <w:rPr>
                <w:rFonts w:cs="宋体"/>
                <w:color w:val="000000"/>
                <w:highlight w:val="none"/>
              </w:rPr>
            </w:pPr>
            <w:r>
              <w:rPr>
                <w:rFonts w:hint="eastAsia" w:ascii="宋体" w:hAnsi="宋体"/>
                <w:color w:val="000000"/>
                <w:highlight w:val="none"/>
              </w:rPr>
              <w:t>设备设施</w:t>
            </w:r>
          </w:p>
          <w:p w14:paraId="31618337">
            <w:pPr>
              <w:jc w:val="center"/>
              <w:rPr>
                <w:rFonts w:ascii="Calibri" w:hAnsi="Calibri" w:cs="宋体"/>
                <w:color w:val="000000"/>
                <w:szCs w:val="21"/>
                <w:highlight w:val="none"/>
              </w:rPr>
            </w:pPr>
            <w:r>
              <w:rPr>
                <w:rFonts w:hint="eastAsia" w:ascii="宋体" w:hAnsi="宋体"/>
                <w:color w:val="000000"/>
                <w:highlight w:val="none"/>
              </w:rPr>
              <w:t>运行状况</w:t>
            </w:r>
          </w:p>
        </w:tc>
        <w:tc>
          <w:tcPr>
            <w:tcW w:w="3129" w:type="dxa"/>
          </w:tcPr>
          <w:p w14:paraId="55E8780B">
            <w:pPr>
              <w:rPr>
                <w:rFonts w:ascii="Calibri" w:hAnsi="宋体" w:cs="宋体"/>
                <w:color w:val="000000"/>
                <w:szCs w:val="21"/>
                <w:highlight w:val="none"/>
              </w:rPr>
            </w:pPr>
            <w:r>
              <w:rPr>
                <w:color w:val="000000"/>
                <w:highlight w:val="none"/>
              </w:rPr>
              <w:t>1</w:t>
            </w:r>
            <w:r>
              <w:rPr>
                <w:rFonts w:hint="eastAsia" w:ascii="宋体" w:hAnsi="宋体"/>
                <w:color w:val="000000"/>
                <w:highlight w:val="none"/>
              </w:rPr>
              <w:t>、维保单位责任范围内的设备设施处于正常的工作状态，有关设备设施运行</w:t>
            </w:r>
            <w:r>
              <w:rPr>
                <w:rFonts w:hAnsi="宋体"/>
                <w:color w:val="000000"/>
                <w:highlight w:val="none"/>
              </w:rPr>
              <w:t>/</w:t>
            </w:r>
            <w:r>
              <w:rPr>
                <w:rFonts w:hint="eastAsia" w:ascii="宋体" w:hAnsi="宋体"/>
                <w:color w:val="000000"/>
                <w:highlight w:val="none"/>
              </w:rPr>
              <w:t>试运行正常，各运行参数符合设备设施运行标准要求。</w:t>
            </w:r>
          </w:p>
        </w:tc>
        <w:tc>
          <w:tcPr>
            <w:tcW w:w="904" w:type="dxa"/>
            <w:vMerge w:val="restart"/>
          </w:tcPr>
          <w:p w14:paraId="587D9305">
            <w:pPr>
              <w:rPr>
                <w:rFonts w:ascii="Calibri" w:hAnsi="Calibri" w:cs="宋体"/>
                <w:color w:val="000000"/>
                <w:szCs w:val="21"/>
                <w:highlight w:val="none"/>
              </w:rPr>
            </w:pPr>
            <w:r>
              <w:rPr>
                <w:color w:val="000000"/>
                <w:highlight w:val="none"/>
              </w:rPr>
              <w:t>40</w:t>
            </w:r>
            <w:r>
              <w:rPr>
                <w:rFonts w:hint="eastAsia" w:ascii="宋体" w:hAnsi="宋体"/>
                <w:color w:val="000000"/>
                <w:highlight w:val="none"/>
              </w:rPr>
              <w:t>分</w:t>
            </w:r>
          </w:p>
        </w:tc>
        <w:tc>
          <w:tcPr>
            <w:tcW w:w="3897" w:type="dxa"/>
          </w:tcPr>
          <w:p w14:paraId="6FC263B9">
            <w:pPr>
              <w:rPr>
                <w:rFonts w:ascii="Calibri" w:hAnsi="Calibri" w:cs="宋体"/>
                <w:color w:val="000000"/>
                <w:szCs w:val="21"/>
                <w:highlight w:val="none"/>
              </w:rPr>
            </w:pPr>
            <w:r>
              <w:rPr>
                <w:rFonts w:hint="eastAsia" w:ascii="宋体" w:hAnsi="宋体"/>
                <w:color w:val="000000"/>
                <w:highlight w:val="none"/>
                <w:lang w:eastAsia="zh-CN"/>
              </w:rPr>
              <w:t>机械式停车设备</w:t>
            </w:r>
            <w:r>
              <w:rPr>
                <w:rFonts w:hint="eastAsia" w:ascii="宋体" w:hAnsi="宋体"/>
                <w:color w:val="000000"/>
                <w:highlight w:val="none"/>
              </w:rPr>
              <w:t>不能正常工作，且维保单位未按要求提交书面整改维修报告的扣</w:t>
            </w:r>
            <w:r>
              <w:rPr>
                <w:color w:val="000000"/>
                <w:highlight w:val="none"/>
              </w:rPr>
              <w:t>5</w:t>
            </w:r>
            <w:r>
              <w:rPr>
                <w:rFonts w:hint="eastAsia" w:ascii="宋体" w:hAnsi="宋体"/>
                <w:color w:val="000000"/>
                <w:highlight w:val="none"/>
              </w:rPr>
              <w:t>分</w:t>
            </w:r>
            <w:r>
              <w:rPr>
                <w:color w:val="000000"/>
                <w:highlight w:val="none"/>
              </w:rPr>
              <w:t>/</w:t>
            </w:r>
            <w:r>
              <w:rPr>
                <w:rFonts w:hint="eastAsia" w:ascii="宋体" w:hAnsi="宋体"/>
                <w:color w:val="000000"/>
                <w:highlight w:val="none"/>
              </w:rPr>
              <w:t>台，</w:t>
            </w:r>
            <w:r>
              <w:rPr>
                <w:rFonts w:hint="eastAsia" w:ascii="宋体" w:hAnsi="宋体" w:cs="Arial"/>
                <w:kern w:val="0"/>
                <w:highlight w:val="none"/>
              </w:rPr>
              <w:t>立体车库</w:t>
            </w:r>
            <w:r>
              <w:rPr>
                <w:rFonts w:hint="eastAsia" w:ascii="宋体" w:hAnsi="宋体"/>
                <w:color w:val="000000"/>
                <w:highlight w:val="none"/>
              </w:rPr>
              <w:t>运行状态参数与标准要求不符合的扣</w:t>
            </w:r>
            <w:r>
              <w:rPr>
                <w:color w:val="000000"/>
                <w:highlight w:val="none"/>
              </w:rPr>
              <w:t>2</w:t>
            </w:r>
            <w:r>
              <w:rPr>
                <w:rFonts w:hint="eastAsia" w:ascii="宋体" w:hAnsi="宋体"/>
                <w:color w:val="000000"/>
                <w:highlight w:val="none"/>
              </w:rPr>
              <w:t>分</w:t>
            </w:r>
            <w:r>
              <w:rPr>
                <w:color w:val="000000"/>
                <w:highlight w:val="none"/>
              </w:rPr>
              <w:t>/</w:t>
            </w:r>
            <w:r>
              <w:rPr>
                <w:rFonts w:hint="eastAsia" w:ascii="宋体" w:hAnsi="宋体"/>
                <w:color w:val="000000"/>
                <w:highlight w:val="none"/>
              </w:rPr>
              <w:t>台。</w:t>
            </w:r>
          </w:p>
        </w:tc>
      </w:tr>
      <w:tr w14:paraId="75CA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21C2D483">
            <w:pPr>
              <w:widowControl/>
              <w:jc w:val="left"/>
              <w:rPr>
                <w:rFonts w:ascii="Calibri" w:hAnsi="Calibri" w:cs="宋体"/>
                <w:color w:val="000000"/>
                <w:szCs w:val="21"/>
                <w:highlight w:val="none"/>
              </w:rPr>
            </w:pPr>
          </w:p>
        </w:tc>
        <w:tc>
          <w:tcPr>
            <w:tcW w:w="3129" w:type="dxa"/>
          </w:tcPr>
          <w:p w14:paraId="353FDED0">
            <w:pPr>
              <w:rPr>
                <w:rFonts w:hAnsi="宋体" w:cs="宋体"/>
                <w:color w:val="000000"/>
                <w:highlight w:val="none"/>
              </w:rPr>
            </w:pPr>
            <w:r>
              <w:rPr>
                <w:color w:val="000000"/>
                <w:highlight w:val="none"/>
              </w:rPr>
              <w:t>2</w:t>
            </w:r>
            <w:r>
              <w:rPr>
                <w:rFonts w:hint="eastAsia" w:ascii="宋体" w:hAnsi="宋体"/>
                <w:color w:val="000000"/>
                <w:highlight w:val="none"/>
              </w:rPr>
              <w:t>、不因维保单位的原因造成设备设施故障、停机及安全责任事故。</w:t>
            </w:r>
          </w:p>
          <w:p w14:paraId="2664BA8E">
            <w:pPr>
              <w:rPr>
                <w:rFonts w:ascii="Calibri" w:hAnsi="宋体" w:cs="宋体"/>
                <w:color w:val="000000"/>
                <w:szCs w:val="21"/>
                <w:highlight w:val="none"/>
              </w:rPr>
            </w:pPr>
          </w:p>
        </w:tc>
        <w:tc>
          <w:tcPr>
            <w:tcW w:w="904" w:type="dxa"/>
            <w:vMerge w:val="continue"/>
            <w:vAlign w:val="center"/>
          </w:tcPr>
          <w:p w14:paraId="547BDAE5">
            <w:pPr>
              <w:widowControl/>
              <w:jc w:val="left"/>
              <w:rPr>
                <w:rFonts w:ascii="Calibri" w:hAnsi="Calibri" w:cs="宋体"/>
                <w:color w:val="000000"/>
                <w:szCs w:val="21"/>
                <w:highlight w:val="none"/>
              </w:rPr>
            </w:pPr>
          </w:p>
        </w:tc>
        <w:tc>
          <w:tcPr>
            <w:tcW w:w="3897" w:type="dxa"/>
          </w:tcPr>
          <w:p w14:paraId="31F0FFFB">
            <w:pPr>
              <w:rPr>
                <w:rFonts w:ascii="Calibri" w:hAnsi="Calibri" w:cs="宋体"/>
                <w:color w:val="000000"/>
                <w:szCs w:val="21"/>
                <w:highlight w:val="none"/>
              </w:rPr>
            </w:pPr>
            <w:r>
              <w:rPr>
                <w:rFonts w:hint="eastAsia" w:ascii="宋体" w:hAnsi="宋体"/>
                <w:color w:val="000000"/>
                <w:highlight w:val="none"/>
              </w:rPr>
              <w:t>因维保单位操作不当造成</w:t>
            </w:r>
            <w:r>
              <w:rPr>
                <w:rFonts w:hint="eastAsia" w:ascii="宋体" w:hAnsi="宋体" w:cs="Arial"/>
                <w:kern w:val="0"/>
                <w:highlight w:val="none"/>
              </w:rPr>
              <w:t>立体车库</w:t>
            </w:r>
            <w:r>
              <w:rPr>
                <w:rFonts w:hint="eastAsia" w:ascii="宋体" w:hAnsi="宋体"/>
                <w:color w:val="000000"/>
                <w:highlight w:val="none"/>
              </w:rPr>
              <w:t>出现故障、停机等事故，每次扣</w:t>
            </w:r>
            <w:r>
              <w:rPr>
                <w:color w:val="000000"/>
                <w:highlight w:val="none"/>
              </w:rPr>
              <w:t>10</w:t>
            </w:r>
            <w:r>
              <w:rPr>
                <w:rFonts w:hint="eastAsia" w:ascii="宋体" w:hAnsi="宋体"/>
                <w:color w:val="000000"/>
                <w:highlight w:val="none"/>
              </w:rPr>
              <w:t>分，情况严重的，甲方有权解除合同；因维保单位原因造成安全责任事故的，甲方有权结合具体实际情况扣除当期维保款项，并追究维保单位的法律责任。</w:t>
            </w:r>
          </w:p>
        </w:tc>
      </w:tr>
      <w:tr w14:paraId="6140D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326276A3">
            <w:pPr>
              <w:widowControl/>
              <w:jc w:val="left"/>
              <w:rPr>
                <w:rFonts w:ascii="Calibri" w:hAnsi="Calibri" w:cs="宋体"/>
                <w:color w:val="000000"/>
                <w:szCs w:val="21"/>
                <w:highlight w:val="none"/>
              </w:rPr>
            </w:pPr>
          </w:p>
        </w:tc>
        <w:tc>
          <w:tcPr>
            <w:tcW w:w="3129" w:type="dxa"/>
          </w:tcPr>
          <w:p w14:paraId="7A02D0A9">
            <w:pPr>
              <w:rPr>
                <w:rFonts w:ascii="Calibri" w:hAnsi="宋体" w:cs="宋体"/>
                <w:color w:val="000000"/>
                <w:szCs w:val="21"/>
                <w:highlight w:val="none"/>
              </w:rPr>
            </w:pPr>
            <w:r>
              <w:rPr>
                <w:color w:val="000000"/>
                <w:highlight w:val="none"/>
              </w:rPr>
              <w:t>3</w:t>
            </w:r>
            <w:r>
              <w:rPr>
                <w:rFonts w:hint="eastAsia" w:ascii="宋体" w:hAnsi="宋体"/>
                <w:color w:val="000000"/>
                <w:highlight w:val="none"/>
              </w:rPr>
              <w:t>、设备设施存在漏油、漏水等现象，因维保单位的原因长时间得不到维修。</w:t>
            </w:r>
          </w:p>
        </w:tc>
        <w:tc>
          <w:tcPr>
            <w:tcW w:w="904" w:type="dxa"/>
            <w:vMerge w:val="continue"/>
            <w:vAlign w:val="center"/>
          </w:tcPr>
          <w:p w14:paraId="4124D76C">
            <w:pPr>
              <w:widowControl/>
              <w:jc w:val="left"/>
              <w:rPr>
                <w:rFonts w:ascii="Calibri" w:hAnsi="Calibri" w:cs="宋体"/>
                <w:color w:val="000000"/>
                <w:szCs w:val="21"/>
                <w:highlight w:val="none"/>
              </w:rPr>
            </w:pPr>
          </w:p>
        </w:tc>
        <w:tc>
          <w:tcPr>
            <w:tcW w:w="3897" w:type="dxa"/>
          </w:tcPr>
          <w:p w14:paraId="7490B543">
            <w:pPr>
              <w:rPr>
                <w:rFonts w:hint="eastAsia" w:ascii="Calibri" w:hAnsi="Calibri" w:eastAsia="宋体" w:cs="宋体"/>
                <w:color w:val="000000"/>
                <w:szCs w:val="21"/>
                <w:highlight w:val="none"/>
                <w:lang w:eastAsia="zh-CN"/>
              </w:rPr>
            </w:pPr>
            <w:r>
              <w:rPr>
                <w:rFonts w:hint="eastAsia" w:ascii="宋体" w:hAnsi="宋体" w:cs="Arial"/>
                <w:kern w:val="0"/>
                <w:highlight w:val="none"/>
              </w:rPr>
              <w:t>立体车库</w:t>
            </w:r>
            <w:r>
              <w:rPr>
                <w:rFonts w:hint="eastAsia" w:ascii="宋体" w:hAnsi="宋体"/>
                <w:color w:val="000000"/>
                <w:highlight w:val="none"/>
              </w:rPr>
              <w:t>长时间存在停车板不能正常运行等现象，且因维保单位原因未及时书面告知及提出维修解决方案的扣</w:t>
            </w:r>
            <w:r>
              <w:rPr>
                <w:color w:val="000000"/>
                <w:highlight w:val="none"/>
              </w:rPr>
              <w:t>2</w:t>
            </w:r>
            <w:r>
              <w:rPr>
                <w:rFonts w:hint="eastAsia" w:ascii="宋体" w:hAnsi="宋体"/>
                <w:color w:val="000000"/>
                <w:highlight w:val="none"/>
              </w:rPr>
              <w:t>分</w:t>
            </w:r>
            <w:r>
              <w:rPr>
                <w:color w:val="000000"/>
                <w:highlight w:val="none"/>
              </w:rPr>
              <w:t>/</w:t>
            </w:r>
            <w:r>
              <w:rPr>
                <w:rFonts w:hint="eastAsia" w:ascii="宋体" w:hAnsi="宋体"/>
                <w:color w:val="000000"/>
                <w:highlight w:val="none"/>
              </w:rPr>
              <w:t>处</w:t>
            </w:r>
            <w:r>
              <w:rPr>
                <w:rFonts w:hint="eastAsia" w:ascii="宋体" w:hAnsi="宋体"/>
                <w:color w:val="000000"/>
                <w:highlight w:val="none"/>
                <w:lang w:eastAsia="zh-CN"/>
              </w:rPr>
              <w:t>。</w:t>
            </w:r>
          </w:p>
        </w:tc>
      </w:tr>
      <w:tr w14:paraId="2456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68E4F3D1">
            <w:pPr>
              <w:widowControl/>
              <w:jc w:val="left"/>
              <w:rPr>
                <w:rFonts w:ascii="Calibri" w:hAnsi="Calibri" w:cs="宋体"/>
                <w:color w:val="000000"/>
                <w:szCs w:val="21"/>
                <w:highlight w:val="none"/>
              </w:rPr>
            </w:pPr>
          </w:p>
        </w:tc>
        <w:tc>
          <w:tcPr>
            <w:tcW w:w="3129" w:type="dxa"/>
          </w:tcPr>
          <w:p w14:paraId="780C4A95">
            <w:pPr>
              <w:rPr>
                <w:rFonts w:hAnsi="宋体" w:cs="宋体"/>
                <w:color w:val="000000"/>
                <w:highlight w:val="none"/>
              </w:rPr>
            </w:pPr>
            <w:r>
              <w:rPr>
                <w:color w:val="000000"/>
                <w:highlight w:val="none"/>
              </w:rPr>
              <w:t>4</w:t>
            </w:r>
            <w:r>
              <w:rPr>
                <w:rFonts w:hint="eastAsia" w:ascii="宋体" w:hAnsi="宋体"/>
                <w:color w:val="000000"/>
                <w:highlight w:val="none"/>
              </w:rPr>
              <w:t>、设备设施月故障停机率</w:t>
            </w:r>
            <w:r>
              <w:rPr>
                <w:rFonts w:hAnsi="宋体"/>
                <w:color w:val="000000"/>
                <w:highlight w:val="none"/>
              </w:rPr>
              <w:t>/</w:t>
            </w:r>
            <w:r>
              <w:rPr>
                <w:rFonts w:hint="eastAsia" w:ascii="宋体" w:hAnsi="宋体"/>
                <w:color w:val="000000"/>
                <w:highlight w:val="none"/>
              </w:rPr>
              <w:t>故障停机时间</w:t>
            </w:r>
          </w:p>
          <w:p w14:paraId="063826C2">
            <w:pPr>
              <w:rPr>
                <w:rFonts w:ascii="Calibri" w:hAnsi="宋体" w:cs="宋体"/>
                <w:color w:val="000000"/>
                <w:szCs w:val="21"/>
                <w:highlight w:val="none"/>
              </w:rPr>
            </w:pPr>
          </w:p>
        </w:tc>
        <w:tc>
          <w:tcPr>
            <w:tcW w:w="904" w:type="dxa"/>
            <w:vMerge w:val="continue"/>
            <w:vAlign w:val="center"/>
          </w:tcPr>
          <w:p w14:paraId="6C11957D">
            <w:pPr>
              <w:widowControl/>
              <w:jc w:val="left"/>
              <w:rPr>
                <w:rFonts w:ascii="Calibri" w:hAnsi="Calibri" w:cs="宋体"/>
                <w:color w:val="000000"/>
                <w:szCs w:val="21"/>
                <w:highlight w:val="none"/>
              </w:rPr>
            </w:pPr>
          </w:p>
        </w:tc>
        <w:tc>
          <w:tcPr>
            <w:tcW w:w="3897" w:type="dxa"/>
          </w:tcPr>
          <w:p w14:paraId="4F77F991">
            <w:pPr>
              <w:rPr>
                <w:rFonts w:ascii="Calibri" w:hAnsi="Calibri" w:cs="宋体"/>
                <w:color w:val="000000"/>
                <w:szCs w:val="21"/>
                <w:highlight w:val="none"/>
              </w:rPr>
            </w:pPr>
            <w:r>
              <w:rPr>
                <w:rFonts w:hint="eastAsia" w:ascii="宋体" w:hAnsi="宋体"/>
                <w:color w:val="000000"/>
                <w:highlight w:val="none"/>
              </w:rPr>
              <w:t>非使用人人为原因导致的</w:t>
            </w:r>
            <w:r>
              <w:rPr>
                <w:rFonts w:hint="eastAsia" w:ascii="宋体" w:hAnsi="宋体" w:cs="Arial"/>
                <w:kern w:val="0"/>
                <w:highlight w:val="none"/>
              </w:rPr>
              <w:t>立体车库</w:t>
            </w:r>
            <w:r>
              <w:rPr>
                <w:rFonts w:hint="eastAsia" w:ascii="宋体" w:hAnsi="宋体"/>
                <w:color w:val="000000"/>
                <w:highlight w:val="none"/>
              </w:rPr>
              <w:t>每区停止故障次数单台每季度不超过</w:t>
            </w:r>
            <w:r>
              <w:rPr>
                <w:rFonts w:hint="eastAsia"/>
                <w:color w:val="000000"/>
                <w:highlight w:val="none"/>
              </w:rPr>
              <w:t>2</w:t>
            </w:r>
            <w:r>
              <w:rPr>
                <w:rFonts w:hint="eastAsia" w:ascii="宋体" w:hAnsi="宋体"/>
                <w:color w:val="000000"/>
                <w:highlight w:val="none"/>
              </w:rPr>
              <w:t>次，因车库维保不当等原因致使停车板出现故障次数单台每月不超过</w:t>
            </w:r>
            <w:r>
              <w:rPr>
                <w:rFonts w:hint="eastAsia"/>
                <w:color w:val="000000"/>
                <w:highlight w:val="none"/>
              </w:rPr>
              <w:t>2</w:t>
            </w:r>
            <w:r>
              <w:rPr>
                <w:rFonts w:hint="eastAsia" w:ascii="宋体" w:hAnsi="宋体"/>
                <w:color w:val="000000"/>
                <w:highlight w:val="none"/>
              </w:rPr>
              <w:t>次，每超过</w:t>
            </w:r>
            <w:r>
              <w:rPr>
                <w:color w:val="000000"/>
                <w:highlight w:val="none"/>
              </w:rPr>
              <w:t>1</w:t>
            </w:r>
            <w:r>
              <w:rPr>
                <w:rFonts w:hint="eastAsia" w:ascii="宋体" w:hAnsi="宋体"/>
                <w:color w:val="000000"/>
                <w:highlight w:val="none"/>
              </w:rPr>
              <w:t>次扣</w:t>
            </w:r>
            <w:r>
              <w:rPr>
                <w:color w:val="000000"/>
                <w:highlight w:val="none"/>
              </w:rPr>
              <w:t>2</w:t>
            </w:r>
            <w:r>
              <w:rPr>
                <w:rFonts w:hint="eastAsia" w:ascii="宋体" w:hAnsi="宋体"/>
                <w:color w:val="000000"/>
                <w:highlight w:val="none"/>
              </w:rPr>
              <w:t>分。</w:t>
            </w:r>
          </w:p>
        </w:tc>
      </w:tr>
      <w:tr w14:paraId="0293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10" w:type="dxa"/>
            <w:vMerge w:val="continue"/>
            <w:vAlign w:val="center"/>
          </w:tcPr>
          <w:p w14:paraId="5E3640BC">
            <w:pPr>
              <w:widowControl/>
              <w:jc w:val="left"/>
              <w:rPr>
                <w:rFonts w:ascii="Calibri" w:hAnsi="Calibri" w:cs="宋体"/>
                <w:color w:val="000000"/>
                <w:szCs w:val="21"/>
                <w:highlight w:val="none"/>
              </w:rPr>
            </w:pPr>
          </w:p>
        </w:tc>
        <w:tc>
          <w:tcPr>
            <w:tcW w:w="3129" w:type="dxa"/>
          </w:tcPr>
          <w:p w14:paraId="6FAF4D32">
            <w:pPr>
              <w:rPr>
                <w:rFonts w:ascii="Calibri" w:hAnsi="Calibri" w:cs="宋体"/>
                <w:color w:val="000000"/>
                <w:szCs w:val="21"/>
                <w:highlight w:val="none"/>
              </w:rPr>
            </w:pPr>
            <w:r>
              <w:rPr>
                <w:color w:val="000000"/>
                <w:highlight w:val="none"/>
              </w:rPr>
              <w:t>5</w:t>
            </w:r>
            <w:r>
              <w:rPr>
                <w:rFonts w:hint="eastAsia" w:ascii="宋体" w:hAnsi="宋体"/>
                <w:color w:val="000000"/>
                <w:highlight w:val="none"/>
              </w:rPr>
              <w:t>、车库设备完好率</w:t>
            </w:r>
          </w:p>
        </w:tc>
        <w:tc>
          <w:tcPr>
            <w:tcW w:w="904" w:type="dxa"/>
            <w:vMerge w:val="continue"/>
            <w:vAlign w:val="center"/>
          </w:tcPr>
          <w:p w14:paraId="27D7A69C">
            <w:pPr>
              <w:widowControl/>
              <w:jc w:val="left"/>
              <w:rPr>
                <w:rFonts w:ascii="Calibri" w:hAnsi="Calibri" w:cs="宋体"/>
                <w:color w:val="000000"/>
                <w:szCs w:val="21"/>
                <w:highlight w:val="none"/>
              </w:rPr>
            </w:pPr>
          </w:p>
        </w:tc>
        <w:tc>
          <w:tcPr>
            <w:tcW w:w="3897" w:type="dxa"/>
          </w:tcPr>
          <w:p w14:paraId="4F87C843">
            <w:pPr>
              <w:rPr>
                <w:rFonts w:ascii="Calibri" w:hAnsi="Calibri" w:cs="宋体"/>
                <w:color w:val="000000"/>
                <w:szCs w:val="21"/>
                <w:highlight w:val="none"/>
              </w:rPr>
            </w:pPr>
            <w:r>
              <w:rPr>
                <w:rFonts w:hint="eastAsia" w:ascii="宋体" w:hAnsi="宋体"/>
                <w:color w:val="000000"/>
                <w:highlight w:val="none"/>
              </w:rPr>
              <w:t>车库完好率不能低于</w:t>
            </w:r>
            <w:r>
              <w:rPr>
                <w:color w:val="000000"/>
                <w:highlight w:val="none"/>
              </w:rPr>
              <w:t>9</w:t>
            </w:r>
            <w:r>
              <w:rPr>
                <w:rFonts w:hint="eastAsia"/>
                <w:color w:val="000000"/>
                <w:highlight w:val="none"/>
              </w:rPr>
              <w:t>0</w:t>
            </w:r>
            <w:r>
              <w:rPr>
                <w:color w:val="000000"/>
                <w:highlight w:val="none"/>
              </w:rPr>
              <w:t>%</w:t>
            </w:r>
            <w:r>
              <w:rPr>
                <w:rFonts w:hint="eastAsia" w:ascii="宋体" w:hAnsi="宋体"/>
                <w:color w:val="000000"/>
                <w:highlight w:val="none"/>
              </w:rPr>
              <w:t>，即每区不能有</w:t>
            </w:r>
            <w:r>
              <w:rPr>
                <w:color w:val="000000"/>
                <w:highlight w:val="none"/>
              </w:rPr>
              <w:t>3</w:t>
            </w:r>
            <w:r>
              <w:rPr>
                <w:rFonts w:hint="eastAsia" w:ascii="宋体" w:hAnsi="宋体"/>
                <w:color w:val="000000"/>
                <w:highlight w:val="none"/>
              </w:rPr>
              <w:t>台以上停车板不能同时使用：若连续一周出现有</w:t>
            </w:r>
            <w:r>
              <w:rPr>
                <w:rFonts w:hint="eastAsia"/>
                <w:color w:val="000000"/>
                <w:highlight w:val="none"/>
              </w:rPr>
              <w:t>10</w:t>
            </w:r>
            <w:r>
              <w:rPr>
                <w:rFonts w:hint="eastAsia" w:ascii="宋体" w:hAnsi="宋体"/>
                <w:color w:val="000000"/>
                <w:highlight w:val="none"/>
              </w:rPr>
              <w:t>个以上停车板不能同时使用，每次扣</w:t>
            </w:r>
            <w:r>
              <w:rPr>
                <w:color w:val="000000"/>
                <w:highlight w:val="none"/>
              </w:rPr>
              <w:t>2</w:t>
            </w:r>
            <w:r>
              <w:rPr>
                <w:rFonts w:hint="eastAsia" w:ascii="宋体" w:hAnsi="宋体"/>
                <w:color w:val="000000"/>
                <w:highlight w:val="none"/>
              </w:rPr>
              <w:t>分，出现有</w:t>
            </w:r>
            <w:r>
              <w:rPr>
                <w:rFonts w:hint="eastAsia"/>
                <w:color w:val="000000"/>
                <w:highlight w:val="none"/>
              </w:rPr>
              <w:t>15</w:t>
            </w:r>
            <w:r>
              <w:rPr>
                <w:rFonts w:hint="eastAsia" w:ascii="宋体" w:hAnsi="宋体"/>
                <w:color w:val="000000"/>
                <w:highlight w:val="none"/>
              </w:rPr>
              <w:t>台</w:t>
            </w:r>
            <w:r>
              <w:rPr>
                <w:rFonts w:hint="eastAsia" w:ascii="宋体" w:hAnsi="宋体"/>
                <w:color w:val="000000"/>
                <w:highlight w:val="none"/>
                <w:lang w:eastAsia="zh-CN"/>
              </w:rPr>
              <w:t>机械式停车设备</w:t>
            </w:r>
            <w:r>
              <w:rPr>
                <w:rFonts w:hint="eastAsia" w:ascii="宋体" w:hAnsi="宋体"/>
                <w:color w:val="000000"/>
                <w:highlight w:val="none"/>
              </w:rPr>
              <w:t>不能使用，每次扣</w:t>
            </w:r>
            <w:r>
              <w:rPr>
                <w:color w:val="000000"/>
                <w:highlight w:val="none"/>
              </w:rPr>
              <w:t>4</w:t>
            </w:r>
            <w:r>
              <w:rPr>
                <w:rFonts w:hint="eastAsia" w:ascii="宋体" w:hAnsi="宋体"/>
                <w:color w:val="000000"/>
                <w:highlight w:val="none"/>
              </w:rPr>
              <w:t>分，依些类推。</w:t>
            </w:r>
          </w:p>
        </w:tc>
      </w:tr>
      <w:tr w14:paraId="343A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restart"/>
            <w:vAlign w:val="center"/>
          </w:tcPr>
          <w:p w14:paraId="57E5E2EB">
            <w:pPr>
              <w:jc w:val="center"/>
              <w:rPr>
                <w:rFonts w:cs="宋体"/>
                <w:color w:val="000000"/>
                <w:highlight w:val="none"/>
              </w:rPr>
            </w:pPr>
            <w:r>
              <w:rPr>
                <w:rFonts w:hint="eastAsia" w:ascii="宋体" w:hAnsi="宋体"/>
                <w:color w:val="000000"/>
                <w:highlight w:val="none"/>
              </w:rPr>
              <w:t>维保服务</w:t>
            </w:r>
          </w:p>
          <w:p w14:paraId="6F971F0C">
            <w:pPr>
              <w:jc w:val="center"/>
              <w:rPr>
                <w:rFonts w:ascii="Calibri" w:hAnsi="Calibri" w:cs="宋体"/>
                <w:color w:val="000000"/>
                <w:szCs w:val="21"/>
                <w:highlight w:val="none"/>
              </w:rPr>
            </w:pPr>
            <w:r>
              <w:rPr>
                <w:rFonts w:hint="eastAsia" w:ascii="宋体" w:hAnsi="宋体"/>
                <w:color w:val="000000"/>
                <w:highlight w:val="none"/>
              </w:rPr>
              <w:t>质量</w:t>
            </w:r>
          </w:p>
        </w:tc>
        <w:tc>
          <w:tcPr>
            <w:tcW w:w="3129" w:type="dxa"/>
          </w:tcPr>
          <w:p w14:paraId="1EEED3C9">
            <w:pPr>
              <w:rPr>
                <w:rFonts w:ascii="Calibri" w:hAnsi="宋体" w:cs="宋体"/>
                <w:color w:val="000000"/>
                <w:szCs w:val="21"/>
                <w:highlight w:val="none"/>
              </w:rPr>
            </w:pPr>
            <w:r>
              <w:rPr>
                <w:rFonts w:hAnsi="宋体"/>
                <w:color w:val="000000"/>
                <w:highlight w:val="none"/>
              </w:rPr>
              <w:t>1</w:t>
            </w:r>
            <w:r>
              <w:rPr>
                <w:rFonts w:hint="eastAsia" w:ascii="宋体" w:hAnsi="宋体"/>
                <w:color w:val="000000"/>
                <w:highlight w:val="none"/>
              </w:rPr>
              <w:t>、维保单位维修责任人通讯设施保持良好联络状态，接到甲方报修电话，维保单位按规定时间到达现场实施维修。</w:t>
            </w:r>
          </w:p>
        </w:tc>
        <w:tc>
          <w:tcPr>
            <w:tcW w:w="904" w:type="dxa"/>
            <w:vMerge w:val="restart"/>
          </w:tcPr>
          <w:p w14:paraId="5AA48AD2">
            <w:pPr>
              <w:rPr>
                <w:rFonts w:ascii="Calibri" w:hAnsi="Calibri" w:cs="宋体"/>
                <w:color w:val="000000"/>
                <w:szCs w:val="21"/>
                <w:highlight w:val="none"/>
              </w:rPr>
            </w:pPr>
            <w:r>
              <w:rPr>
                <w:color w:val="000000"/>
                <w:highlight w:val="none"/>
              </w:rPr>
              <w:t>40</w:t>
            </w:r>
            <w:r>
              <w:rPr>
                <w:rFonts w:hint="eastAsia" w:ascii="宋体" w:hAnsi="宋体"/>
                <w:color w:val="000000"/>
                <w:highlight w:val="none"/>
              </w:rPr>
              <w:t>分</w:t>
            </w:r>
          </w:p>
        </w:tc>
        <w:tc>
          <w:tcPr>
            <w:tcW w:w="3897" w:type="dxa"/>
          </w:tcPr>
          <w:p w14:paraId="6D202258">
            <w:pPr>
              <w:rPr>
                <w:rFonts w:hint="eastAsia" w:ascii="Calibri" w:hAnsi="Calibri" w:eastAsia="宋体" w:cs="宋体"/>
                <w:color w:val="000000"/>
                <w:szCs w:val="21"/>
                <w:highlight w:val="none"/>
                <w:lang w:eastAsia="zh-CN"/>
              </w:rPr>
            </w:pPr>
            <w:r>
              <w:rPr>
                <w:rFonts w:hint="eastAsia" w:ascii="宋体" w:hAnsi="宋体"/>
                <w:color w:val="000000"/>
                <w:highlight w:val="none"/>
              </w:rPr>
              <w:t>车库发生困人等故障时拨打维保单位紧急抢修电话，连续拨打三次未能及时接听的扣</w:t>
            </w:r>
            <w:r>
              <w:rPr>
                <w:color w:val="000000"/>
                <w:highlight w:val="none"/>
              </w:rPr>
              <w:t>2</w:t>
            </w:r>
            <w:r>
              <w:rPr>
                <w:rFonts w:hint="eastAsia" w:ascii="宋体" w:hAnsi="宋体"/>
                <w:color w:val="000000"/>
                <w:highlight w:val="none"/>
              </w:rPr>
              <w:t>分</w:t>
            </w:r>
            <w:r>
              <w:rPr>
                <w:color w:val="000000"/>
                <w:highlight w:val="none"/>
              </w:rPr>
              <w:t>/</w:t>
            </w:r>
            <w:r>
              <w:rPr>
                <w:rFonts w:hint="eastAsia" w:ascii="宋体" w:hAnsi="宋体"/>
                <w:color w:val="000000"/>
                <w:highlight w:val="none"/>
              </w:rPr>
              <w:t>次</w:t>
            </w:r>
            <w:r>
              <w:rPr>
                <w:rFonts w:hint="eastAsia" w:ascii="宋体" w:hAnsi="宋体"/>
                <w:color w:val="000000"/>
                <w:highlight w:val="none"/>
                <w:lang w:eastAsia="zh-CN"/>
              </w:rPr>
              <w:t>。</w:t>
            </w:r>
          </w:p>
        </w:tc>
      </w:tr>
      <w:tr w14:paraId="2259F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05F25137">
            <w:pPr>
              <w:widowControl/>
              <w:jc w:val="left"/>
              <w:rPr>
                <w:rFonts w:ascii="Calibri" w:hAnsi="Calibri" w:cs="宋体"/>
                <w:color w:val="000000"/>
                <w:szCs w:val="21"/>
                <w:highlight w:val="none"/>
              </w:rPr>
            </w:pPr>
          </w:p>
        </w:tc>
        <w:tc>
          <w:tcPr>
            <w:tcW w:w="3129" w:type="dxa"/>
          </w:tcPr>
          <w:p w14:paraId="4B324738">
            <w:pPr>
              <w:adjustRightInd w:val="0"/>
              <w:snapToGrid w:val="0"/>
              <w:jc w:val="left"/>
              <w:textAlignment w:val="baseline"/>
              <w:rPr>
                <w:rFonts w:ascii="Calibri" w:hAnsi="宋体" w:cs="宋体"/>
                <w:color w:val="000000"/>
                <w:szCs w:val="21"/>
                <w:highlight w:val="none"/>
              </w:rPr>
            </w:pPr>
            <w:r>
              <w:rPr>
                <w:color w:val="000000"/>
                <w:highlight w:val="none"/>
              </w:rPr>
              <w:t>2</w:t>
            </w:r>
            <w:r>
              <w:rPr>
                <w:rFonts w:hint="eastAsia" w:ascii="宋体" w:hAnsi="宋体"/>
                <w:color w:val="000000"/>
                <w:highlight w:val="none"/>
              </w:rPr>
              <w:t>、因设备检查维护工作不及时，或设备发生故障严重影响业主生活，发生有效投诉情况（包含投诉到甲方、投诉到社会媒体或政府主管部门三种类型）。</w:t>
            </w:r>
          </w:p>
        </w:tc>
        <w:tc>
          <w:tcPr>
            <w:tcW w:w="904" w:type="dxa"/>
            <w:vMerge w:val="continue"/>
            <w:vAlign w:val="center"/>
          </w:tcPr>
          <w:p w14:paraId="476C0FFB">
            <w:pPr>
              <w:widowControl/>
              <w:jc w:val="left"/>
              <w:rPr>
                <w:rFonts w:ascii="Calibri" w:hAnsi="Calibri" w:cs="宋体"/>
                <w:color w:val="000000"/>
                <w:szCs w:val="21"/>
                <w:highlight w:val="none"/>
              </w:rPr>
            </w:pPr>
          </w:p>
        </w:tc>
        <w:tc>
          <w:tcPr>
            <w:tcW w:w="3897" w:type="dxa"/>
          </w:tcPr>
          <w:p w14:paraId="5C066778">
            <w:pPr>
              <w:rPr>
                <w:rFonts w:ascii="Calibri" w:hAnsi="Calibri" w:cs="宋体"/>
                <w:color w:val="000000"/>
                <w:szCs w:val="21"/>
                <w:highlight w:val="none"/>
              </w:rPr>
            </w:pPr>
            <w:r>
              <w:rPr>
                <w:rFonts w:hint="eastAsia" w:ascii="宋体" w:hAnsi="宋体"/>
                <w:color w:val="000000"/>
                <w:highlight w:val="none"/>
              </w:rPr>
              <w:t>因车库维保单位维保不当等原因，导致车库故障停机严重影响业主生活而发生有效投诉的，投诉到甲方</w:t>
            </w:r>
            <w:r>
              <w:rPr>
                <w:color w:val="000000"/>
                <w:highlight w:val="none"/>
              </w:rPr>
              <w:t>10</w:t>
            </w:r>
            <w:r>
              <w:rPr>
                <w:rFonts w:hint="eastAsia" w:ascii="宋体" w:hAnsi="宋体"/>
                <w:color w:val="000000"/>
                <w:highlight w:val="none"/>
              </w:rPr>
              <w:t>分</w:t>
            </w:r>
            <w:r>
              <w:rPr>
                <w:color w:val="000000"/>
                <w:highlight w:val="none"/>
              </w:rPr>
              <w:t>/</w:t>
            </w:r>
            <w:r>
              <w:rPr>
                <w:rFonts w:hint="eastAsia" w:ascii="宋体" w:hAnsi="宋体"/>
                <w:color w:val="000000"/>
                <w:highlight w:val="none"/>
              </w:rPr>
              <w:t>次，投诉到社会媒体或政府主管部门</w:t>
            </w:r>
            <w:r>
              <w:rPr>
                <w:color w:val="000000"/>
                <w:highlight w:val="none"/>
              </w:rPr>
              <w:t>15</w:t>
            </w:r>
            <w:r>
              <w:rPr>
                <w:rFonts w:hint="eastAsia" w:ascii="宋体" w:hAnsi="宋体"/>
                <w:color w:val="000000"/>
                <w:highlight w:val="none"/>
              </w:rPr>
              <w:t>分</w:t>
            </w:r>
            <w:r>
              <w:rPr>
                <w:color w:val="000000"/>
                <w:highlight w:val="none"/>
              </w:rPr>
              <w:t>/</w:t>
            </w:r>
            <w:r>
              <w:rPr>
                <w:rFonts w:hint="eastAsia" w:ascii="宋体" w:hAnsi="宋体"/>
                <w:color w:val="000000"/>
                <w:highlight w:val="none"/>
              </w:rPr>
              <w:t>次。</w:t>
            </w:r>
          </w:p>
        </w:tc>
      </w:tr>
      <w:tr w14:paraId="4A451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262EFBC7">
            <w:pPr>
              <w:widowControl/>
              <w:jc w:val="left"/>
              <w:rPr>
                <w:rFonts w:ascii="Calibri" w:hAnsi="Calibri" w:cs="宋体"/>
                <w:color w:val="000000"/>
                <w:szCs w:val="21"/>
                <w:highlight w:val="none"/>
              </w:rPr>
            </w:pPr>
          </w:p>
        </w:tc>
        <w:tc>
          <w:tcPr>
            <w:tcW w:w="3129" w:type="dxa"/>
          </w:tcPr>
          <w:p w14:paraId="12F7AE58">
            <w:pPr>
              <w:rPr>
                <w:rFonts w:ascii="Calibri" w:hAnsi="Calibri" w:cs="宋体"/>
                <w:color w:val="000000"/>
                <w:szCs w:val="21"/>
                <w:highlight w:val="none"/>
              </w:rPr>
            </w:pPr>
            <w:r>
              <w:rPr>
                <w:color w:val="000000"/>
                <w:highlight w:val="none"/>
              </w:rPr>
              <w:t>3</w:t>
            </w:r>
            <w:r>
              <w:rPr>
                <w:rFonts w:hint="eastAsia" w:ascii="宋体" w:hAnsi="宋体"/>
                <w:color w:val="000000"/>
                <w:highlight w:val="none"/>
              </w:rPr>
              <w:t>、针对责任范围内的设备设施存在的故障、安全隐患等维保单位在规定时限内向甲方提出书面的故障分析报告（内容包括原因分析及处理意见）。</w:t>
            </w:r>
          </w:p>
        </w:tc>
        <w:tc>
          <w:tcPr>
            <w:tcW w:w="904" w:type="dxa"/>
            <w:vMerge w:val="continue"/>
            <w:vAlign w:val="center"/>
          </w:tcPr>
          <w:p w14:paraId="23F2B6A7">
            <w:pPr>
              <w:widowControl/>
              <w:jc w:val="left"/>
              <w:rPr>
                <w:rFonts w:ascii="Calibri" w:hAnsi="Calibri" w:cs="宋体"/>
                <w:color w:val="000000"/>
                <w:szCs w:val="21"/>
                <w:highlight w:val="none"/>
              </w:rPr>
            </w:pPr>
          </w:p>
        </w:tc>
        <w:tc>
          <w:tcPr>
            <w:tcW w:w="3897" w:type="dxa"/>
          </w:tcPr>
          <w:p w14:paraId="64BDC7D0">
            <w:pPr>
              <w:rPr>
                <w:rFonts w:ascii="Calibri" w:hAnsi="Calibri" w:cs="宋体"/>
                <w:color w:val="000000"/>
                <w:szCs w:val="21"/>
                <w:highlight w:val="none"/>
              </w:rPr>
            </w:pPr>
            <w:r>
              <w:rPr>
                <w:rFonts w:hint="eastAsia" w:ascii="宋体" w:hAnsi="宋体"/>
                <w:color w:val="000000"/>
                <w:highlight w:val="none"/>
              </w:rPr>
              <w:t>针对车库设备存在的故障、安全隐患未在</w:t>
            </w:r>
            <w:r>
              <w:rPr>
                <w:color w:val="000000"/>
                <w:highlight w:val="none"/>
              </w:rPr>
              <w:t>3</w:t>
            </w:r>
            <w:r>
              <w:rPr>
                <w:rFonts w:hint="eastAsia" w:ascii="宋体" w:hAnsi="宋体"/>
                <w:color w:val="000000"/>
                <w:highlight w:val="none"/>
              </w:rPr>
              <w:t>个工作日内出具故障分析报告（不包含修理过程中使用的时间），每次扣</w:t>
            </w:r>
            <w:r>
              <w:rPr>
                <w:color w:val="000000"/>
                <w:highlight w:val="none"/>
              </w:rPr>
              <w:t>2</w:t>
            </w:r>
            <w:r>
              <w:rPr>
                <w:rFonts w:hint="eastAsia" w:ascii="宋体" w:hAnsi="宋体"/>
                <w:color w:val="000000"/>
                <w:highlight w:val="none"/>
              </w:rPr>
              <w:t>分。</w:t>
            </w:r>
          </w:p>
        </w:tc>
      </w:tr>
      <w:tr w14:paraId="3CD4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3765783B">
            <w:pPr>
              <w:widowControl/>
              <w:jc w:val="left"/>
              <w:rPr>
                <w:rFonts w:ascii="Calibri" w:hAnsi="Calibri" w:cs="宋体"/>
                <w:color w:val="000000"/>
                <w:szCs w:val="21"/>
                <w:highlight w:val="none"/>
              </w:rPr>
            </w:pPr>
          </w:p>
        </w:tc>
        <w:tc>
          <w:tcPr>
            <w:tcW w:w="3129" w:type="dxa"/>
          </w:tcPr>
          <w:p w14:paraId="7DEB05DB">
            <w:pPr>
              <w:rPr>
                <w:rFonts w:ascii="Calibri" w:hAnsi="Calibri" w:cs="宋体"/>
                <w:color w:val="000000"/>
                <w:szCs w:val="21"/>
                <w:highlight w:val="none"/>
              </w:rPr>
            </w:pPr>
            <w:r>
              <w:rPr>
                <w:rFonts w:hint="eastAsia"/>
                <w:color w:val="000000"/>
                <w:highlight w:val="none"/>
                <w:lang w:val="en-US" w:eastAsia="zh-CN"/>
              </w:rPr>
              <w:t>4</w:t>
            </w:r>
            <w:r>
              <w:rPr>
                <w:rFonts w:hint="eastAsia" w:ascii="宋体" w:hAnsi="宋体"/>
                <w:color w:val="000000"/>
                <w:highlight w:val="none"/>
              </w:rPr>
              <w:t>、维保单位应结合实际情况制订与维保工作有关的完善的制度、操作标准、流程，并书面交由甲方备案。</w:t>
            </w:r>
          </w:p>
        </w:tc>
        <w:tc>
          <w:tcPr>
            <w:tcW w:w="904" w:type="dxa"/>
            <w:vMerge w:val="continue"/>
            <w:vAlign w:val="center"/>
          </w:tcPr>
          <w:p w14:paraId="29C2C1B1">
            <w:pPr>
              <w:widowControl/>
              <w:jc w:val="left"/>
              <w:rPr>
                <w:rFonts w:ascii="Calibri" w:hAnsi="Calibri" w:cs="宋体"/>
                <w:color w:val="000000"/>
                <w:szCs w:val="21"/>
                <w:highlight w:val="none"/>
              </w:rPr>
            </w:pPr>
          </w:p>
        </w:tc>
        <w:tc>
          <w:tcPr>
            <w:tcW w:w="3897" w:type="dxa"/>
          </w:tcPr>
          <w:p w14:paraId="21FBB384">
            <w:pPr>
              <w:rPr>
                <w:rFonts w:hint="eastAsia" w:ascii="Calibri" w:hAnsi="Calibri" w:eastAsia="宋体" w:cs="宋体"/>
                <w:color w:val="000000"/>
                <w:szCs w:val="21"/>
                <w:highlight w:val="none"/>
                <w:lang w:val="en-US" w:eastAsia="zh-CN"/>
              </w:rPr>
            </w:pPr>
            <w:r>
              <w:rPr>
                <w:rFonts w:hint="eastAsia" w:ascii="宋体" w:hAnsi="宋体"/>
                <w:color w:val="000000"/>
                <w:highlight w:val="none"/>
              </w:rPr>
              <w:t>未将车库相关的制度，保养记录及维修记录等按要求完善并交由甲方备案的扣</w:t>
            </w:r>
            <w:r>
              <w:rPr>
                <w:color w:val="000000"/>
                <w:highlight w:val="none"/>
              </w:rPr>
              <w:t>2</w:t>
            </w:r>
            <w:r>
              <w:rPr>
                <w:rFonts w:hint="eastAsia" w:ascii="宋体" w:hAnsi="宋体"/>
                <w:color w:val="000000"/>
                <w:highlight w:val="none"/>
              </w:rPr>
              <w:t>分</w:t>
            </w:r>
            <w:r>
              <w:rPr>
                <w:rFonts w:hint="eastAsia" w:ascii="宋体" w:hAnsi="宋体"/>
                <w:color w:val="000000"/>
                <w:highlight w:val="none"/>
                <w:lang w:eastAsia="zh-CN"/>
              </w:rPr>
              <w:t>。</w:t>
            </w:r>
          </w:p>
        </w:tc>
      </w:tr>
      <w:tr w14:paraId="3C94F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10" w:type="dxa"/>
            <w:vMerge w:val="continue"/>
            <w:vAlign w:val="center"/>
          </w:tcPr>
          <w:p w14:paraId="3EC9EA3C">
            <w:pPr>
              <w:widowControl/>
              <w:jc w:val="left"/>
              <w:rPr>
                <w:rFonts w:ascii="Calibri" w:hAnsi="Calibri" w:cs="宋体"/>
                <w:color w:val="000000"/>
                <w:szCs w:val="21"/>
                <w:highlight w:val="none"/>
              </w:rPr>
            </w:pPr>
          </w:p>
        </w:tc>
        <w:tc>
          <w:tcPr>
            <w:tcW w:w="3129" w:type="dxa"/>
          </w:tcPr>
          <w:p w14:paraId="23FAB18F">
            <w:pPr>
              <w:rPr>
                <w:rFonts w:ascii="Calibri" w:hAnsi="Calibri" w:cs="宋体"/>
                <w:color w:val="000000"/>
                <w:szCs w:val="21"/>
                <w:highlight w:val="none"/>
              </w:rPr>
            </w:pPr>
            <w:r>
              <w:rPr>
                <w:rFonts w:hint="eastAsia"/>
                <w:color w:val="000000"/>
                <w:highlight w:val="none"/>
                <w:lang w:val="en-US" w:eastAsia="zh-CN"/>
              </w:rPr>
              <w:t>5</w:t>
            </w:r>
            <w:r>
              <w:rPr>
                <w:rFonts w:hint="eastAsia" w:ascii="宋体" w:hAnsi="宋体"/>
                <w:color w:val="000000"/>
                <w:highlight w:val="none"/>
              </w:rPr>
              <w:t>、维保人员应严格按维保计划及相关操作规程、标准开展维保服务，维保服务工作开展前及时与甲方沟通、协调。</w:t>
            </w:r>
          </w:p>
        </w:tc>
        <w:tc>
          <w:tcPr>
            <w:tcW w:w="904" w:type="dxa"/>
            <w:vMerge w:val="continue"/>
            <w:vAlign w:val="center"/>
          </w:tcPr>
          <w:p w14:paraId="12677B7C">
            <w:pPr>
              <w:widowControl/>
              <w:jc w:val="left"/>
              <w:rPr>
                <w:rFonts w:ascii="Calibri" w:hAnsi="Calibri" w:cs="宋体"/>
                <w:color w:val="000000"/>
                <w:szCs w:val="21"/>
                <w:highlight w:val="none"/>
              </w:rPr>
            </w:pPr>
          </w:p>
        </w:tc>
        <w:tc>
          <w:tcPr>
            <w:tcW w:w="3897" w:type="dxa"/>
          </w:tcPr>
          <w:p w14:paraId="0E7CA60E">
            <w:pPr>
              <w:rPr>
                <w:rFonts w:ascii="Calibri" w:hAnsi="Calibri" w:cs="宋体"/>
                <w:color w:val="000000"/>
                <w:szCs w:val="21"/>
                <w:highlight w:val="none"/>
              </w:rPr>
            </w:pPr>
            <w:r>
              <w:rPr>
                <w:rFonts w:hint="eastAsia" w:ascii="宋体" w:hAnsi="宋体"/>
                <w:color w:val="000000"/>
                <w:highlight w:val="none"/>
              </w:rPr>
              <w:t>未按保养合同维保计划的时间、频次、内容开展维保服务扣</w:t>
            </w:r>
            <w:r>
              <w:rPr>
                <w:color w:val="000000"/>
                <w:highlight w:val="none"/>
              </w:rPr>
              <w:t>2</w:t>
            </w:r>
            <w:r>
              <w:rPr>
                <w:rFonts w:hint="eastAsia" w:ascii="宋体" w:hAnsi="宋体"/>
                <w:color w:val="000000"/>
                <w:highlight w:val="none"/>
              </w:rPr>
              <w:t>分</w:t>
            </w:r>
            <w:r>
              <w:rPr>
                <w:color w:val="000000"/>
                <w:highlight w:val="none"/>
              </w:rPr>
              <w:t>/</w:t>
            </w:r>
            <w:r>
              <w:rPr>
                <w:rFonts w:hint="eastAsia" w:ascii="宋体" w:hAnsi="宋体"/>
                <w:color w:val="000000"/>
                <w:highlight w:val="none"/>
              </w:rPr>
              <w:t>次；维保计划有变动的，维保人员未及时与甲方协调、确认的扣</w:t>
            </w:r>
            <w:r>
              <w:rPr>
                <w:color w:val="000000"/>
                <w:highlight w:val="none"/>
              </w:rPr>
              <w:t>2</w:t>
            </w:r>
            <w:r>
              <w:rPr>
                <w:rFonts w:hint="eastAsia" w:ascii="宋体" w:hAnsi="宋体"/>
                <w:color w:val="000000"/>
                <w:highlight w:val="none"/>
              </w:rPr>
              <w:t>分</w:t>
            </w:r>
            <w:r>
              <w:rPr>
                <w:color w:val="000000"/>
                <w:highlight w:val="none"/>
              </w:rPr>
              <w:t>/</w:t>
            </w:r>
            <w:r>
              <w:rPr>
                <w:rFonts w:hint="eastAsia" w:ascii="宋体" w:hAnsi="宋体"/>
                <w:color w:val="000000"/>
                <w:highlight w:val="none"/>
              </w:rPr>
              <w:t>次</w:t>
            </w:r>
            <w:r>
              <w:rPr>
                <w:rFonts w:hint="eastAsia" w:ascii="宋体" w:hAnsi="宋体"/>
                <w:color w:val="000000"/>
                <w:highlight w:val="none"/>
                <w:lang w:eastAsia="zh-CN"/>
              </w:rPr>
              <w:t>。</w:t>
            </w:r>
          </w:p>
        </w:tc>
      </w:tr>
      <w:tr w14:paraId="3243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3586B3BC">
            <w:pPr>
              <w:widowControl/>
              <w:jc w:val="left"/>
              <w:rPr>
                <w:rFonts w:ascii="Calibri" w:hAnsi="Calibri" w:cs="宋体"/>
                <w:color w:val="000000"/>
                <w:szCs w:val="21"/>
                <w:highlight w:val="none"/>
              </w:rPr>
            </w:pPr>
          </w:p>
        </w:tc>
        <w:tc>
          <w:tcPr>
            <w:tcW w:w="3129" w:type="dxa"/>
          </w:tcPr>
          <w:p w14:paraId="70E8EFCB">
            <w:pPr>
              <w:rPr>
                <w:rFonts w:ascii="Calibri" w:hAnsi="Calibri" w:cs="宋体"/>
                <w:color w:val="000000"/>
                <w:szCs w:val="21"/>
                <w:highlight w:val="none"/>
              </w:rPr>
            </w:pPr>
            <w:r>
              <w:rPr>
                <w:rFonts w:hint="eastAsia"/>
                <w:color w:val="000000"/>
                <w:highlight w:val="none"/>
                <w:lang w:val="en-US" w:eastAsia="zh-CN"/>
              </w:rPr>
              <w:t>6</w:t>
            </w:r>
            <w:r>
              <w:rPr>
                <w:rFonts w:hint="eastAsia" w:ascii="宋体" w:hAnsi="宋体"/>
                <w:color w:val="000000"/>
                <w:highlight w:val="none"/>
              </w:rPr>
              <w:t>、维保人员严格按照制度、操作标准、流程的要求填写记录，相关记录内容、重要设备参数的测试结果等要求真实、准确。</w:t>
            </w:r>
          </w:p>
        </w:tc>
        <w:tc>
          <w:tcPr>
            <w:tcW w:w="904" w:type="dxa"/>
            <w:vMerge w:val="continue"/>
            <w:vAlign w:val="center"/>
          </w:tcPr>
          <w:p w14:paraId="67B33B95">
            <w:pPr>
              <w:widowControl/>
              <w:jc w:val="left"/>
              <w:rPr>
                <w:rFonts w:ascii="Calibri" w:hAnsi="Calibri" w:cs="宋体"/>
                <w:color w:val="000000"/>
                <w:szCs w:val="21"/>
                <w:highlight w:val="none"/>
              </w:rPr>
            </w:pPr>
          </w:p>
        </w:tc>
        <w:tc>
          <w:tcPr>
            <w:tcW w:w="3897" w:type="dxa"/>
          </w:tcPr>
          <w:p w14:paraId="2C32C183">
            <w:pPr>
              <w:rPr>
                <w:rFonts w:ascii="Calibri" w:hAnsi="Calibri" w:cs="宋体"/>
                <w:color w:val="000000"/>
                <w:szCs w:val="21"/>
                <w:highlight w:val="none"/>
              </w:rPr>
            </w:pPr>
            <w:r>
              <w:rPr>
                <w:rFonts w:hint="eastAsia" w:ascii="宋体" w:hAnsi="宋体"/>
                <w:color w:val="000000"/>
                <w:highlight w:val="none"/>
              </w:rPr>
              <w:t>车库设备维保人员未按要求填写记录的，扣</w:t>
            </w:r>
            <w:r>
              <w:rPr>
                <w:color w:val="000000"/>
                <w:highlight w:val="none"/>
              </w:rPr>
              <w:t>2</w:t>
            </w:r>
            <w:r>
              <w:rPr>
                <w:rFonts w:hint="eastAsia" w:ascii="宋体" w:hAnsi="宋体"/>
                <w:color w:val="000000"/>
                <w:highlight w:val="none"/>
              </w:rPr>
              <w:t>分</w:t>
            </w:r>
            <w:r>
              <w:rPr>
                <w:color w:val="000000"/>
                <w:highlight w:val="none"/>
              </w:rPr>
              <w:t>/</w:t>
            </w:r>
            <w:r>
              <w:rPr>
                <w:rFonts w:hint="eastAsia" w:ascii="宋体" w:hAnsi="宋体"/>
                <w:color w:val="000000"/>
                <w:highlight w:val="none"/>
              </w:rPr>
              <w:t>处；维保记录的内容、重要参数的测试结果不真实、准确的扣</w:t>
            </w:r>
            <w:r>
              <w:rPr>
                <w:color w:val="000000"/>
                <w:highlight w:val="none"/>
              </w:rPr>
              <w:t>3</w:t>
            </w:r>
            <w:r>
              <w:rPr>
                <w:rFonts w:hint="eastAsia" w:ascii="宋体" w:hAnsi="宋体"/>
                <w:color w:val="000000"/>
                <w:highlight w:val="none"/>
              </w:rPr>
              <w:t>分</w:t>
            </w:r>
            <w:r>
              <w:rPr>
                <w:color w:val="000000"/>
                <w:highlight w:val="none"/>
              </w:rPr>
              <w:t>/</w:t>
            </w:r>
            <w:r>
              <w:rPr>
                <w:rFonts w:hint="eastAsia" w:ascii="宋体" w:hAnsi="宋体"/>
                <w:color w:val="000000"/>
                <w:highlight w:val="none"/>
              </w:rPr>
              <w:t>次。</w:t>
            </w:r>
          </w:p>
        </w:tc>
      </w:tr>
      <w:tr w14:paraId="70A3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1FB02576">
            <w:pPr>
              <w:widowControl/>
              <w:jc w:val="left"/>
              <w:rPr>
                <w:rFonts w:ascii="Calibri" w:hAnsi="Calibri" w:cs="宋体"/>
                <w:color w:val="000000"/>
                <w:szCs w:val="21"/>
                <w:highlight w:val="none"/>
              </w:rPr>
            </w:pPr>
          </w:p>
        </w:tc>
        <w:tc>
          <w:tcPr>
            <w:tcW w:w="3129" w:type="dxa"/>
          </w:tcPr>
          <w:p w14:paraId="0BDD8231">
            <w:pPr>
              <w:rPr>
                <w:rFonts w:ascii="Calibri" w:hAnsi="Calibri" w:cs="宋体"/>
                <w:color w:val="000000"/>
                <w:szCs w:val="21"/>
                <w:highlight w:val="none"/>
              </w:rPr>
            </w:pPr>
            <w:r>
              <w:rPr>
                <w:rFonts w:hint="eastAsia"/>
                <w:color w:val="000000"/>
                <w:highlight w:val="none"/>
                <w:lang w:val="en-US" w:eastAsia="zh-CN"/>
              </w:rPr>
              <w:t>7</w:t>
            </w:r>
            <w:r>
              <w:rPr>
                <w:rFonts w:hint="eastAsia" w:ascii="宋体" w:hAnsi="宋体"/>
                <w:color w:val="000000"/>
                <w:highlight w:val="none"/>
              </w:rPr>
              <w:t>、针对特种设备维保服务，维保人员应严格执行安全技术规范的相关要求，落实好现场安全防护措施。维保单位应按照有关法律、法规的要求及时办理特种设备各类证照、年审手续等。</w:t>
            </w:r>
          </w:p>
        </w:tc>
        <w:tc>
          <w:tcPr>
            <w:tcW w:w="904" w:type="dxa"/>
            <w:vMerge w:val="continue"/>
            <w:vAlign w:val="center"/>
          </w:tcPr>
          <w:p w14:paraId="079B27BC">
            <w:pPr>
              <w:widowControl/>
              <w:jc w:val="left"/>
              <w:rPr>
                <w:rFonts w:ascii="Calibri" w:hAnsi="Calibri" w:cs="宋体"/>
                <w:color w:val="000000"/>
                <w:szCs w:val="21"/>
                <w:highlight w:val="none"/>
              </w:rPr>
            </w:pPr>
          </w:p>
        </w:tc>
        <w:tc>
          <w:tcPr>
            <w:tcW w:w="3897" w:type="dxa"/>
          </w:tcPr>
          <w:p w14:paraId="34B8E760">
            <w:pPr>
              <w:rPr>
                <w:rFonts w:ascii="Calibri" w:hAnsi="Calibri" w:cs="宋体"/>
                <w:color w:val="000000"/>
                <w:szCs w:val="21"/>
                <w:highlight w:val="none"/>
              </w:rPr>
            </w:pPr>
            <w:r>
              <w:rPr>
                <w:rFonts w:hint="eastAsia" w:ascii="宋体" w:hAnsi="宋体"/>
                <w:color w:val="000000"/>
                <w:highlight w:val="none"/>
              </w:rPr>
              <w:t>未按合同要求协助甲方办理车库各类证照、年审等手续的扣</w:t>
            </w:r>
            <w:r>
              <w:rPr>
                <w:color w:val="000000"/>
                <w:highlight w:val="none"/>
              </w:rPr>
              <w:t>2</w:t>
            </w:r>
            <w:r>
              <w:rPr>
                <w:rFonts w:hint="eastAsia" w:ascii="宋体" w:hAnsi="宋体"/>
                <w:color w:val="000000"/>
                <w:highlight w:val="none"/>
              </w:rPr>
              <w:t>分</w:t>
            </w:r>
            <w:r>
              <w:rPr>
                <w:color w:val="000000"/>
                <w:highlight w:val="none"/>
              </w:rPr>
              <w:t>/</w:t>
            </w:r>
            <w:r>
              <w:rPr>
                <w:rFonts w:hint="eastAsia" w:ascii="宋体" w:hAnsi="宋体"/>
                <w:color w:val="000000"/>
                <w:highlight w:val="none"/>
              </w:rPr>
              <w:t>次。</w:t>
            </w:r>
          </w:p>
        </w:tc>
      </w:tr>
      <w:tr w14:paraId="5A4E4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736EA64D">
            <w:pPr>
              <w:widowControl/>
              <w:jc w:val="left"/>
              <w:rPr>
                <w:rFonts w:ascii="Calibri" w:hAnsi="Calibri" w:cs="宋体"/>
                <w:color w:val="000000"/>
                <w:szCs w:val="21"/>
                <w:highlight w:val="none"/>
              </w:rPr>
            </w:pPr>
          </w:p>
        </w:tc>
        <w:tc>
          <w:tcPr>
            <w:tcW w:w="3129" w:type="dxa"/>
          </w:tcPr>
          <w:p w14:paraId="5763804B">
            <w:pPr>
              <w:rPr>
                <w:rFonts w:ascii="Calibri" w:hAnsi="Calibri" w:cs="宋体"/>
                <w:color w:val="000000"/>
                <w:szCs w:val="21"/>
                <w:highlight w:val="none"/>
              </w:rPr>
            </w:pPr>
            <w:r>
              <w:rPr>
                <w:rFonts w:hint="eastAsia"/>
                <w:color w:val="000000"/>
                <w:highlight w:val="none"/>
                <w:lang w:val="en-US" w:eastAsia="zh-CN"/>
              </w:rPr>
              <w:t>8</w:t>
            </w:r>
            <w:r>
              <w:rPr>
                <w:rFonts w:hint="eastAsia" w:ascii="宋体" w:hAnsi="宋体"/>
                <w:color w:val="000000"/>
                <w:highlight w:val="none"/>
              </w:rPr>
              <w:t>、发生紧急抢修时，维保单位应在合同规定时间内到达现场实施抢修；各种故障的维修处理时效符合合同的相关规定。</w:t>
            </w:r>
          </w:p>
        </w:tc>
        <w:tc>
          <w:tcPr>
            <w:tcW w:w="904" w:type="dxa"/>
            <w:vMerge w:val="continue"/>
            <w:vAlign w:val="center"/>
          </w:tcPr>
          <w:p w14:paraId="7F4818A7">
            <w:pPr>
              <w:widowControl/>
              <w:jc w:val="left"/>
              <w:rPr>
                <w:rFonts w:ascii="Calibri" w:hAnsi="Calibri" w:cs="宋体"/>
                <w:color w:val="000000"/>
                <w:szCs w:val="21"/>
                <w:highlight w:val="none"/>
              </w:rPr>
            </w:pPr>
          </w:p>
        </w:tc>
        <w:tc>
          <w:tcPr>
            <w:tcW w:w="3897" w:type="dxa"/>
          </w:tcPr>
          <w:p w14:paraId="4393E842">
            <w:pPr>
              <w:rPr>
                <w:rFonts w:ascii="Calibri" w:hAnsi="Calibri" w:cs="宋体"/>
                <w:color w:val="000000"/>
                <w:szCs w:val="21"/>
                <w:highlight w:val="none"/>
              </w:rPr>
            </w:pPr>
            <w:r>
              <w:rPr>
                <w:rFonts w:hint="eastAsia" w:ascii="宋体" w:hAnsi="宋体"/>
                <w:color w:val="000000"/>
                <w:highlight w:val="none"/>
              </w:rPr>
              <w:t>车库发生重大故障故障，维保单位应在接到通知后</w:t>
            </w:r>
            <w:r>
              <w:rPr>
                <w:rFonts w:hint="eastAsia"/>
                <w:color w:val="000000"/>
                <w:highlight w:val="none"/>
              </w:rPr>
              <w:t>20</w:t>
            </w:r>
            <w:r>
              <w:rPr>
                <w:rFonts w:hint="eastAsia" w:ascii="宋体" w:hAnsi="宋体"/>
                <w:color w:val="000000"/>
                <w:highlight w:val="none"/>
              </w:rPr>
              <w:t>分钟赶到现场实施处理，尽快解决被困车出停车库。每次必须6小时内解决。每超时间一次扣</w:t>
            </w:r>
            <w:r>
              <w:rPr>
                <w:color w:val="000000"/>
                <w:highlight w:val="none"/>
              </w:rPr>
              <w:t>10</w:t>
            </w:r>
            <w:r>
              <w:rPr>
                <w:rFonts w:hint="eastAsia" w:ascii="宋体" w:hAnsi="宋体"/>
                <w:color w:val="000000"/>
                <w:highlight w:val="none"/>
              </w:rPr>
              <w:t>分。</w:t>
            </w:r>
          </w:p>
        </w:tc>
      </w:tr>
      <w:tr w14:paraId="651FF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408E68CC">
            <w:pPr>
              <w:widowControl/>
              <w:jc w:val="left"/>
              <w:rPr>
                <w:rFonts w:ascii="Calibri" w:hAnsi="Calibri" w:cs="宋体"/>
                <w:color w:val="000000"/>
                <w:szCs w:val="21"/>
                <w:highlight w:val="none"/>
              </w:rPr>
            </w:pPr>
          </w:p>
        </w:tc>
        <w:tc>
          <w:tcPr>
            <w:tcW w:w="3129" w:type="dxa"/>
          </w:tcPr>
          <w:p w14:paraId="74065D08">
            <w:pPr>
              <w:rPr>
                <w:rFonts w:ascii="Calibri" w:hAnsi="Calibri" w:cs="宋体"/>
                <w:color w:val="000000"/>
                <w:szCs w:val="21"/>
                <w:highlight w:val="none"/>
              </w:rPr>
            </w:pPr>
            <w:r>
              <w:rPr>
                <w:rFonts w:hint="eastAsia"/>
                <w:color w:val="000000"/>
                <w:highlight w:val="none"/>
                <w:lang w:val="en-US" w:eastAsia="zh-CN"/>
              </w:rPr>
              <w:t>9</w:t>
            </w:r>
            <w:r>
              <w:rPr>
                <w:rFonts w:hint="eastAsia" w:ascii="宋体" w:hAnsi="宋体"/>
                <w:color w:val="000000"/>
                <w:highlight w:val="none"/>
              </w:rPr>
              <w:t>、在甲方月检、季度检查、节前检查、内审及政府部门实施的各类检查、考核中，发现不合格项，维保单位应在规定的时间内确定整改方案，落实整改措施；同时应注意不得再次发生同类不合格项</w:t>
            </w:r>
          </w:p>
        </w:tc>
        <w:tc>
          <w:tcPr>
            <w:tcW w:w="904" w:type="dxa"/>
            <w:vMerge w:val="continue"/>
            <w:vAlign w:val="center"/>
          </w:tcPr>
          <w:p w14:paraId="30B3D570">
            <w:pPr>
              <w:widowControl/>
              <w:jc w:val="left"/>
              <w:rPr>
                <w:rFonts w:ascii="Calibri" w:hAnsi="Calibri" w:cs="宋体"/>
                <w:color w:val="000000"/>
                <w:szCs w:val="21"/>
                <w:highlight w:val="none"/>
              </w:rPr>
            </w:pPr>
          </w:p>
        </w:tc>
        <w:tc>
          <w:tcPr>
            <w:tcW w:w="3897" w:type="dxa"/>
          </w:tcPr>
          <w:p w14:paraId="743B34C5">
            <w:pPr>
              <w:rPr>
                <w:rFonts w:ascii="Calibri" w:hAnsi="Calibri" w:cs="宋体"/>
                <w:color w:val="000000"/>
                <w:szCs w:val="21"/>
                <w:highlight w:val="none"/>
              </w:rPr>
            </w:pPr>
            <w:r>
              <w:rPr>
                <w:rFonts w:hint="eastAsia" w:ascii="宋体" w:hAnsi="宋体"/>
                <w:color w:val="000000"/>
                <w:highlight w:val="none"/>
              </w:rPr>
              <w:t>甲方各类检查、考核中，属于车库维保单位责任范围内的不合格项，未在规定时间内进行整改、落实的扣</w:t>
            </w:r>
            <w:r>
              <w:rPr>
                <w:color w:val="000000"/>
                <w:highlight w:val="none"/>
              </w:rPr>
              <w:t>3</w:t>
            </w:r>
            <w:r>
              <w:rPr>
                <w:rFonts w:hint="eastAsia" w:ascii="宋体" w:hAnsi="宋体"/>
                <w:color w:val="000000"/>
                <w:highlight w:val="none"/>
              </w:rPr>
              <w:t>分</w:t>
            </w:r>
            <w:r>
              <w:rPr>
                <w:color w:val="000000"/>
                <w:highlight w:val="none"/>
              </w:rPr>
              <w:t>/</w:t>
            </w:r>
            <w:r>
              <w:rPr>
                <w:rFonts w:hint="eastAsia" w:ascii="宋体" w:hAnsi="宋体"/>
                <w:color w:val="000000"/>
                <w:highlight w:val="none"/>
              </w:rPr>
              <w:t>处；连续两次出现同类不合格项的，扣</w:t>
            </w:r>
            <w:r>
              <w:rPr>
                <w:color w:val="000000"/>
                <w:highlight w:val="none"/>
              </w:rPr>
              <w:t>5</w:t>
            </w:r>
            <w:r>
              <w:rPr>
                <w:rFonts w:hint="eastAsia" w:ascii="宋体" w:hAnsi="宋体"/>
                <w:color w:val="000000"/>
                <w:highlight w:val="none"/>
              </w:rPr>
              <w:t>分</w:t>
            </w:r>
            <w:r>
              <w:rPr>
                <w:color w:val="000000"/>
                <w:highlight w:val="none"/>
              </w:rPr>
              <w:t>/</w:t>
            </w:r>
            <w:r>
              <w:rPr>
                <w:rFonts w:hint="eastAsia" w:ascii="宋体" w:hAnsi="宋体"/>
                <w:color w:val="000000"/>
                <w:highlight w:val="none"/>
              </w:rPr>
              <w:t>处。</w:t>
            </w:r>
          </w:p>
        </w:tc>
      </w:tr>
      <w:tr w14:paraId="65A9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Align w:val="center"/>
          </w:tcPr>
          <w:p w14:paraId="230D6D9A">
            <w:pPr>
              <w:widowControl/>
              <w:jc w:val="left"/>
              <w:rPr>
                <w:rFonts w:ascii="Calibri" w:hAnsi="Calibri" w:cs="宋体"/>
                <w:color w:val="000000"/>
                <w:szCs w:val="21"/>
                <w:highlight w:val="none"/>
              </w:rPr>
            </w:pPr>
          </w:p>
        </w:tc>
        <w:tc>
          <w:tcPr>
            <w:tcW w:w="3129" w:type="dxa"/>
          </w:tcPr>
          <w:p w14:paraId="09D7FAF7">
            <w:pPr>
              <w:rPr>
                <w:rFonts w:hint="eastAsia"/>
                <w:color w:val="000000"/>
                <w:highlight w:val="none"/>
                <w:lang w:val="en-US" w:eastAsia="zh-CN"/>
              </w:rPr>
            </w:pPr>
            <w:r>
              <w:rPr>
                <w:rFonts w:hint="eastAsia" w:ascii="宋体" w:hAnsi="宋体" w:cs="宋体"/>
                <w:sz w:val="21"/>
                <w:szCs w:val="21"/>
                <w:highlight w:val="none"/>
                <w:lang w:val="en-US" w:eastAsia="zh-CN"/>
              </w:rPr>
              <w:t>10、维保单位需要为本项目设备购买设备险，为维保人员购买意外险。</w:t>
            </w:r>
          </w:p>
        </w:tc>
        <w:tc>
          <w:tcPr>
            <w:tcW w:w="904" w:type="dxa"/>
            <w:vAlign w:val="center"/>
          </w:tcPr>
          <w:p w14:paraId="5658FA75">
            <w:pPr>
              <w:widowControl/>
              <w:jc w:val="left"/>
              <w:rPr>
                <w:rFonts w:ascii="Calibri" w:hAnsi="Calibri" w:cs="宋体"/>
                <w:color w:val="000000"/>
                <w:szCs w:val="21"/>
                <w:highlight w:val="none"/>
              </w:rPr>
            </w:pPr>
          </w:p>
        </w:tc>
        <w:tc>
          <w:tcPr>
            <w:tcW w:w="3897" w:type="dxa"/>
          </w:tcPr>
          <w:p w14:paraId="1B1DE22D">
            <w:pPr>
              <w:keepNext w:val="0"/>
              <w:keepLines w:val="0"/>
              <w:pageBreakBefore w:val="0"/>
              <w:kinsoku/>
              <w:wordWrap/>
              <w:overflowPunct/>
              <w:topLinePunct w:val="0"/>
              <w:autoSpaceDE/>
              <w:autoSpaceDN/>
              <w:bidi w:val="0"/>
              <w:adjustRightInd w:val="0"/>
              <w:snapToGrid w:val="0"/>
              <w:spacing w:line="500" w:lineRule="exact"/>
              <w:ind w:firstLine="420" w:firstLineChars="200"/>
              <w:textAlignment w:val="auto"/>
              <w:rPr>
                <w:rFonts w:hint="eastAsia" w:ascii="宋体" w:hAnsi="宋体"/>
                <w:color w:val="000000"/>
                <w:highlight w:val="none"/>
              </w:rPr>
            </w:pPr>
            <w:r>
              <w:rPr>
                <w:rFonts w:hint="eastAsia" w:ascii="宋体" w:hAnsi="宋体" w:cs="宋体"/>
                <w:sz w:val="21"/>
                <w:szCs w:val="21"/>
                <w:highlight w:val="none"/>
                <w:lang w:eastAsia="zh-CN"/>
              </w:rPr>
              <w:t>经检查，维保单位未购买</w:t>
            </w:r>
            <w:r>
              <w:rPr>
                <w:rFonts w:hint="eastAsia" w:ascii="宋体" w:hAnsi="宋体" w:eastAsia="宋体" w:cs="宋体"/>
                <w:sz w:val="21"/>
                <w:szCs w:val="21"/>
                <w:highlight w:val="none"/>
                <w:lang w:eastAsia="zh-CN"/>
              </w:rPr>
              <w:t>设备险</w:t>
            </w:r>
            <w:r>
              <w:rPr>
                <w:rFonts w:hint="eastAsia" w:ascii="宋体" w:hAnsi="宋体" w:cs="宋体"/>
                <w:sz w:val="21"/>
                <w:szCs w:val="21"/>
                <w:highlight w:val="none"/>
                <w:lang w:eastAsia="zh-CN"/>
              </w:rPr>
              <w:t>，未购买维保人员意外险，</w:t>
            </w:r>
            <w:r>
              <w:rPr>
                <w:rFonts w:hint="eastAsia" w:ascii="宋体" w:hAnsi="宋体"/>
                <w:color w:val="000000"/>
                <w:highlight w:val="none"/>
              </w:rPr>
              <w:t>扣</w:t>
            </w:r>
            <w:r>
              <w:rPr>
                <w:rFonts w:hint="eastAsia"/>
                <w:color w:val="000000"/>
                <w:highlight w:val="none"/>
                <w:lang w:val="en-US" w:eastAsia="zh-CN"/>
              </w:rPr>
              <w:t>10</w:t>
            </w:r>
            <w:r>
              <w:rPr>
                <w:rFonts w:hint="eastAsia" w:ascii="宋体" w:hAnsi="宋体"/>
                <w:color w:val="000000"/>
                <w:highlight w:val="none"/>
              </w:rPr>
              <w:t>分</w:t>
            </w:r>
            <w:r>
              <w:rPr>
                <w:color w:val="000000"/>
                <w:highlight w:val="none"/>
              </w:rPr>
              <w:t>/</w:t>
            </w:r>
            <w:r>
              <w:rPr>
                <w:rFonts w:hint="eastAsia"/>
                <w:color w:val="000000"/>
                <w:highlight w:val="none"/>
                <w:lang w:eastAsia="zh-CN"/>
              </w:rPr>
              <w:t>处</w:t>
            </w:r>
            <w:r>
              <w:rPr>
                <w:rFonts w:hint="eastAsia" w:ascii="宋体" w:hAnsi="宋体"/>
                <w:color w:val="000000"/>
                <w:highlight w:val="none"/>
              </w:rPr>
              <w:t>。</w:t>
            </w:r>
          </w:p>
        </w:tc>
      </w:tr>
      <w:tr w14:paraId="5D72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10" w:type="dxa"/>
            <w:vMerge w:val="restart"/>
            <w:vAlign w:val="center"/>
          </w:tcPr>
          <w:p w14:paraId="04895B4D">
            <w:pPr>
              <w:jc w:val="center"/>
              <w:rPr>
                <w:rFonts w:cs="宋体"/>
                <w:color w:val="000000"/>
                <w:highlight w:val="none"/>
              </w:rPr>
            </w:pPr>
            <w:r>
              <w:rPr>
                <w:rFonts w:hint="eastAsia" w:ascii="宋体" w:hAnsi="宋体"/>
                <w:color w:val="000000"/>
                <w:highlight w:val="none"/>
              </w:rPr>
              <w:t>维保人员素质及服务态度</w:t>
            </w:r>
          </w:p>
          <w:p w14:paraId="25B23839">
            <w:pPr>
              <w:jc w:val="center"/>
              <w:rPr>
                <w:color w:val="000000"/>
                <w:highlight w:val="none"/>
              </w:rPr>
            </w:pPr>
          </w:p>
          <w:p w14:paraId="5776AF81">
            <w:pPr>
              <w:jc w:val="center"/>
              <w:rPr>
                <w:color w:val="000000"/>
                <w:highlight w:val="none"/>
              </w:rPr>
            </w:pPr>
          </w:p>
          <w:p w14:paraId="1F25D3BF">
            <w:pPr>
              <w:jc w:val="center"/>
              <w:rPr>
                <w:color w:val="000000"/>
                <w:highlight w:val="none"/>
              </w:rPr>
            </w:pPr>
          </w:p>
          <w:p w14:paraId="1CDEFDF2">
            <w:pPr>
              <w:jc w:val="center"/>
              <w:rPr>
                <w:rFonts w:ascii="Calibri" w:hAnsi="Calibri" w:cs="宋体"/>
                <w:color w:val="000000"/>
                <w:szCs w:val="21"/>
                <w:highlight w:val="none"/>
              </w:rPr>
            </w:pPr>
          </w:p>
        </w:tc>
        <w:tc>
          <w:tcPr>
            <w:tcW w:w="3129" w:type="dxa"/>
          </w:tcPr>
          <w:p w14:paraId="70351CE3">
            <w:pPr>
              <w:rPr>
                <w:rFonts w:ascii="Calibri" w:hAnsi="宋体" w:cs="宋体"/>
                <w:color w:val="000000"/>
                <w:szCs w:val="21"/>
                <w:highlight w:val="none"/>
              </w:rPr>
            </w:pPr>
            <w:r>
              <w:rPr>
                <w:rFonts w:hAnsi="宋体"/>
                <w:color w:val="000000"/>
                <w:highlight w:val="none"/>
              </w:rPr>
              <w:t>1</w:t>
            </w:r>
            <w:r>
              <w:rPr>
                <w:rFonts w:hint="eastAsia" w:ascii="宋体" w:hAnsi="宋体"/>
                <w:color w:val="000000"/>
                <w:highlight w:val="none"/>
              </w:rPr>
              <w:t>、维保单位按合同要求配备专业维修人员，并严格执行维修保养规程。</w:t>
            </w:r>
          </w:p>
        </w:tc>
        <w:tc>
          <w:tcPr>
            <w:tcW w:w="904" w:type="dxa"/>
            <w:vMerge w:val="restart"/>
          </w:tcPr>
          <w:p w14:paraId="73C1460C">
            <w:pPr>
              <w:rPr>
                <w:rFonts w:ascii="Calibri" w:hAnsi="Calibri" w:cs="宋体"/>
                <w:color w:val="000000"/>
                <w:szCs w:val="21"/>
                <w:highlight w:val="none"/>
              </w:rPr>
            </w:pPr>
            <w:r>
              <w:rPr>
                <w:color w:val="000000"/>
                <w:highlight w:val="none"/>
              </w:rPr>
              <w:t>20</w:t>
            </w:r>
            <w:r>
              <w:rPr>
                <w:rFonts w:hint="eastAsia" w:ascii="宋体" w:hAnsi="宋体"/>
                <w:color w:val="000000"/>
                <w:highlight w:val="none"/>
              </w:rPr>
              <w:t>分</w:t>
            </w:r>
          </w:p>
        </w:tc>
        <w:tc>
          <w:tcPr>
            <w:tcW w:w="3897" w:type="dxa"/>
          </w:tcPr>
          <w:p w14:paraId="0DC1EC9E">
            <w:pPr>
              <w:rPr>
                <w:rFonts w:ascii="Calibri" w:hAnsi="Calibri" w:cs="宋体"/>
                <w:color w:val="000000"/>
                <w:szCs w:val="21"/>
                <w:highlight w:val="none"/>
              </w:rPr>
            </w:pPr>
            <w:r>
              <w:rPr>
                <w:rFonts w:hint="eastAsia" w:ascii="宋体" w:hAnsi="宋体"/>
                <w:color w:val="000000"/>
                <w:highlight w:val="none"/>
              </w:rPr>
              <w:t>维保过程中未按要求配备专业维修人员，扣</w:t>
            </w:r>
            <w:r>
              <w:rPr>
                <w:color w:val="000000"/>
                <w:highlight w:val="none"/>
              </w:rPr>
              <w:t>5</w:t>
            </w:r>
            <w:r>
              <w:rPr>
                <w:rFonts w:hint="eastAsia" w:ascii="宋体" w:hAnsi="宋体"/>
                <w:color w:val="000000"/>
                <w:highlight w:val="none"/>
              </w:rPr>
              <w:t>分</w:t>
            </w:r>
            <w:r>
              <w:rPr>
                <w:color w:val="000000"/>
                <w:highlight w:val="none"/>
              </w:rPr>
              <w:t>/</w:t>
            </w:r>
            <w:r>
              <w:rPr>
                <w:rFonts w:hint="eastAsia" w:ascii="宋体" w:hAnsi="宋体"/>
                <w:color w:val="000000"/>
                <w:highlight w:val="none"/>
              </w:rPr>
              <w:t>人</w:t>
            </w:r>
            <w:r>
              <w:rPr>
                <w:rFonts w:hint="eastAsia" w:ascii="宋体" w:hAnsi="宋体"/>
                <w:color w:val="000000"/>
                <w:highlight w:val="none"/>
                <w:lang w:eastAsia="zh-CN"/>
              </w:rPr>
              <w:t>。</w:t>
            </w:r>
          </w:p>
        </w:tc>
      </w:tr>
      <w:tr w14:paraId="50AD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3FF063BA">
            <w:pPr>
              <w:widowControl/>
              <w:jc w:val="left"/>
              <w:rPr>
                <w:rFonts w:ascii="Calibri" w:hAnsi="Calibri" w:cs="宋体"/>
                <w:color w:val="000000"/>
                <w:szCs w:val="21"/>
                <w:highlight w:val="none"/>
              </w:rPr>
            </w:pPr>
          </w:p>
        </w:tc>
        <w:tc>
          <w:tcPr>
            <w:tcW w:w="3129" w:type="dxa"/>
          </w:tcPr>
          <w:p w14:paraId="4D8409E6">
            <w:pPr>
              <w:rPr>
                <w:rFonts w:ascii="Calibri" w:hAnsi="宋体" w:cs="宋体"/>
                <w:color w:val="000000"/>
                <w:szCs w:val="21"/>
                <w:highlight w:val="none"/>
              </w:rPr>
            </w:pPr>
            <w:r>
              <w:rPr>
                <w:rFonts w:hAnsi="宋体"/>
                <w:color w:val="000000"/>
                <w:highlight w:val="none"/>
              </w:rPr>
              <w:t>2</w:t>
            </w:r>
            <w:r>
              <w:rPr>
                <w:rFonts w:hint="eastAsia" w:ascii="宋体" w:hAnsi="宋体"/>
                <w:color w:val="000000"/>
                <w:highlight w:val="none"/>
              </w:rPr>
              <w:t>、维修人员应持证上岗，开展维修工作时应按规定统一着装，佩戴好工作牌。</w:t>
            </w:r>
          </w:p>
        </w:tc>
        <w:tc>
          <w:tcPr>
            <w:tcW w:w="904" w:type="dxa"/>
            <w:vMerge w:val="continue"/>
            <w:vAlign w:val="center"/>
          </w:tcPr>
          <w:p w14:paraId="5D9654CC">
            <w:pPr>
              <w:widowControl/>
              <w:jc w:val="left"/>
              <w:rPr>
                <w:rFonts w:ascii="Calibri" w:hAnsi="Calibri" w:cs="宋体"/>
                <w:color w:val="000000"/>
                <w:szCs w:val="21"/>
                <w:highlight w:val="none"/>
              </w:rPr>
            </w:pPr>
          </w:p>
        </w:tc>
        <w:tc>
          <w:tcPr>
            <w:tcW w:w="3897" w:type="dxa"/>
          </w:tcPr>
          <w:p w14:paraId="566ACE04">
            <w:pPr>
              <w:rPr>
                <w:rFonts w:ascii="Calibri" w:hAnsi="Calibri" w:cs="宋体"/>
                <w:color w:val="000000"/>
                <w:szCs w:val="21"/>
                <w:highlight w:val="none"/>
              </w:rPr>
            </w:pPr>
            <w:r>
              <w:rPr>
                <w:rFonts w:hint="eastAsia" w:ascii="宋体" w:hAnsi="宋体"/>
                <w:color w:val="000000"/>
                <w:highlight w:val="none"/>
                <w:lang w:eastAsia="zh-CN"/>
              </w:rPr>
              <w:t>机械式停车设备</w:t>
            </w:r>
            <w:r>
              <w:rPr>
                <w:rFonts w:hint="eastAsia" w:ascii="宋体" w:hAnsi="宋体"/>
                <w:color w:val="000000"/>
                <w:highlight w:val="none"/>
              </w:rPr>
              <w:t>维保人员未按要求持证上岗的扣</w:t>
            </w:r>
            <w:r>
              <w:rPr>
                <w:color w:val="000000"/>
                <w:highlight w:val="none"/>
              </w:rPr>
              <w:t>10</w:t>
            </w:r>
            <w:r>
              <w:rPr>
                <w:rFonts w:hint="eastAsia" w:ascii="宋体" w:hAnsi="宋体"/>
                <w:color w:val="000000"/>
                <w:highlight w:val="none"/>
              </w:rPr>
              <w:t>分</w:t>
            </w:r>
            <w:r>
              <w:rPr>
                <w:color w:val="000000"/>
                <w:highlight w:val="none"/>
              </w:rPr>
              <w:t>/</w:t>
            </w:r>
            <w:r>
              <w:rPr>
                <w:rFonts w:hint="eastAsia" w:ascii="宋体" w:hAnsi="宋体"/>
                <w:color w:val="000000"/>
                <w:highlight w:val="none"/>
              </w:rPr>
              <w:t>人</w:t>
            </w:r>
            <w:r>
              <w:rPr>
                <w:rFonts w:hint="eastAsia" w:ascii="宋体" w:hAnsi="宋体"/>
                <w:color w:val="000000"/>
                <w:highlight w:val="none"/>
                <w:lang w:eastAsia="zh-CN"/>
              </w:rPr>
              <w:t>。</w:t>
            </w:r>
          </w:p>
        </w:tc>
      </w:tr>
      <w:tr w14:paraId="384D6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710" w:type="dxa"/>
            <w:vMerge w:val="continue"/>
            <w:vAlign w:val="center"/>
          </w:tcPr>
          <w:p w14:paraId="24A3FB53">
            <w:pPr>
              <w:widowControl/>
              <w:jc w:val="left"/>
              <w:rPr>
                <w:rFonts w:ascii="Calibri" w:hAnsi="Calibri" w:cs="宋体"/>
                <w:color w:val="000000"/>
                <w:szCs w:val="21"/>
                <w:highlight w:val="none"/>
              </w:rPr>
            </w:pPr>
          </w:p>
        </w:tc>
        <w:tc>
          <w:tcPr>
            <w:tcW w:w="3129" w:type="dxa"/>
          </w:tcPr>
          <w:p w14:paraId="25DD38B8">
            <w:pPr>
              <w:rPr>
                <w:rFonts w:ascii="Calibri" w:hAnsi="Calibri" w:cs="宋体"/>
                <w:color w:val="000000"/>
                <w:szCs w:val="21"/>
                <w:highlight w:val="none"/>
              </w:rPr>
            </w:pPr>
            <w:r>
              <w:rPr>
                <w:color w:val="000000"/>
                <w:highlight w:val="none"/>
              </w:rPr>
              <w:t>3</w:t>
            </w:r>
            <w:r>
              <w:rPr>
                <w:rFonts w:hint="eastAsia" w:ascii="宋体" w:hAnsi="宋体"/>
                <w:color w:val="000000"/>
                <w:highlight w:val="none"/>
              </w:rPr>
              <w:t>、维保单位在进行维修保养时，应在维修现场显要位置摆放、悬挂相关警示标识、标志。</w:t>
            </w:r>
          </w:p>
        </w:tc>
        <w:tc>
          <w:tcPr>
            <w:tcW w:w="904" w:type="dxa"/>
            <w:vMerge w:val="continue"/>
            <w:vAlign w:val="center"/>
          </w:tcPr>
          <w:p w14:paraId="17F9AE3E">
            <w:pPr>
              <w:widowControl/>
              <w:jc w:val="left"/>
              <w:rPr>
                <w:rFonts w:ascii="Calibri" w:hAnsi="Calibri" w:cs="宋体"/>
                <w:color w:val="000000"/>
                <w:szCs w:val="21"/>
                <w:highlight w:val="none"/>
              </w:rPr>
            </w:pPr>
          </w:p>
        </w:tc>
        <w:tc>
          <w:tcPr>
            <w:tcW w:w="3897" w:type="dxa"/>
          </w:tcPr>
          <w:p w14:paraId="52F610AE">
            <w:pPr>
              <w:rPr>
                <w:rFonts w:ascii="Calibri" w:hAnsi="Calibri" w:cs="宋体"/>
                <w:color w:val="000000"/>
                <w:szCs w:val="21"/>
                <w:highlight w:val="none"/>
              </w:rPr>
            </w:pPr>
            <w:r>
              <w:rPr>
                <w:rFonts w:hint="eastAsia" w:ascii="宋体" w:hAnsi="宋体"/>
                <w:color w:val="000000"/>
                <w:highlight w:val="none"/>
              </w:rPr>
              <w:t>维修作业时，现场未按要求在显要位置摆放、悬挂相关警示标识、标志的扣</w:t>
            </w:r>
            <w:r>
              <w:rPr>
                <w:color w:val="000000"/>
                <w:highlight w:val="none"/>
              </w:rPr>
              <w:t>2</w:t>
            </w:r>
            <w:r>
              <w:rPr>
                <w:rFonts w:hint="eastAsia" w:ascii="宋体" w:hAnsi="宋体"/>
                <w:color w:val="000000"/>
                <w:highlight w:val="none"/>
              </w:rPr>
              <w:t>分</w:t>
            </w:r>
            <w:r>
              <w:rPr>
                <w:color w:val="000000"/>
                <w:highlight w:val="none"/>
              </w:rPr>
              <w:t>/</w:t>
            </w:r>
            <w:r>
              <w:rPr>
                <w:rFonts w:hint="eastAsia" w:ascii="宋体" w:hAnsi="宋体"/>
                <w:color w:val="000000"/>
                <w:highlight w:val="none"/>
              </w:rPr>
              <w:t>次</w:t>
            </w:r>
            <w:r>
              <w:rPr>
                <w:rFonts w:hint="eastAsia" w:ascii="宋体" w:hAnsi="宋体"/>
                <w:color w:val="000000"/>
                <w:highlight w:val="none"/>
                <w:lang w:eastAsia="zh-CN"/>
              </w:rPr>
              <w:t>。</w:t>
            </w:r>
          </w:p>
        </w:tc>
      </w:tr>
      <w:tr w14:paraId="7421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08F791EA">
            <w:pPr>
              <w:widowControl/>
              <w:jc w:val="left"/>
              <w:rPr>
                <w:rFonts w:ascii="Calibri" w:hAnsi="Calibri" w:cs="宋体"/>
                <w:color w:val="000000"/>
                <w:szCs w:val="21"/>
                <w:highlight w:val="none"/>
              </w:rPr>
            </w:pPr>
          </w:p>
        </w:tc>
        <w:tc>
          <w:tcPr>
            <w:tcW w:w="3129" w:type="dxa"/>
          </w:tcPr>
          <w:p w14:paraId="0165E52B">
            <w:pPr>
              <w:rPr>
                <w:rFonts w:ascii="Calibri" w:hAnsi="宋体" w:cs="宋体"/>
                <w:color w:val="000000"/>
                <w:szCs w:val="21"/>
                <w:highlight w:val="none"/>
              </w:rPr>
            </w:pPr>
            <w:r>
              <w:rPr>
                <w:rFonts w:hAnsi="宋体"/>
                <w:color w:val="000000"/>
                <w:highlight w:val="none"/>
              </w:rPr>
              <w:t>4</w:t>
            </w:r>
            <w:r>
              <w:rPr>
                <w:rFonts w:hint="eastAsia" w:ascii="宋体" w:hAnsi="宋体"/>
                <w:color w:val="000000"/>
                <w:highlight w:val="none"/>
              </w:rPr>
              <w:t>、维保人员无野蛮施工、违规作业行为。</w:t>
            </w:r>
          </w:p>
        </w:tc>
        <w:tc>
          <w:tcPr>
            <w:tcW w:w="904" w:type="dxa"/>
            <w:vMerge w:val="continue"/>
            <w:vAlign w:val="center"/>
          </w:tcPr>
          <w:p w14:paraId="419CE258">
            <w:pPr>
              <w:widowControl/>
              <w:jc w:val="left"/>
              <w:rPr>
                <w:rFonts w:ascii="Calibri" w:hAnsi="Calibri" w:cs="宋体"/>
                <w:color w:val="000000"/>
                <w:szCs w:val="21"/>
                <w:highlight w:val="none"/>
              </w:rPr>
            </w:pPr>
          </w:p>
        </w:tc>
        <w:tc>
          <w:tcPr>
            <w:tcW w:w="3897" w:type="dxa"/>
          </w:tcPr>
          <w:p w14:paraId="257114D3">
            <w:pPr>
              <w:rPr>
                <w:rFonts w:ascii="Calibri" w:hAnsi="Calibri" w:cs="宋体"/>
                <w:color w:val="000000"/>
                <w:szCs w:val="21"/>
                <w:highlight w:val="none"/>
              </w:rPr>
            </w:pPr>
            <w:r>
              <w:rPr>
                <w:rFonts w:hint="eastAsia" w:ascii="宋体" w:hAnsi="宋体"/>
                <w:color w:val="000000"/>
                <w:highlight w:val="none"/>
              </w:rPr>
              <w:t>现场检查中发现</w:t>
            </w:r>
            <w:r>
              <w:rPr>
                <w:rFonts w:hint="eastAsia" w:ascii="宋体" w:hAnsi="宋体"/>
                <w:color w:val="000000"/>
                <w:highlight w:val="none"/>
                <w:lang w:eastAsia="zh-CN"/>
              </w:rPr>
              <w:t>机械式停车设备</w:t>
            </w:r>
            <w:r>
              <w:rPr>
                <w:rFonts w:hint="eastAsia" w:ascii="宋体" w:hAnsi="宋体"/>
                <w:color w:val="000000"/>
                <w:highlight w:val="none"/>
              </w:rPr>
              <w:t>维保单位人员野蛮施工、违规作业的扣</w:t>
            </w:r>
            <w:r>
              <w:rPr>
                <w:color w:val="000000"/>
                <w:highlight w:val="none"/>
              </w:rPr>
              <w:t>5</w:t>
            </w:r>
            <w:r>
              <w:rPr>
                <w:rFonts w:hint="eastAsia" w:ascii="宋体" w:hAnsi="宋体"/>
                <w:color w:val="000000"/>
                <w:highlight w:val="none"/>
              </w:rPr>
              <w:t>分</w:t>
            </w:r>
            <w:r>
              <w:rPr>
                <w:color w:val="000000"/>
                <w:highlight w:val="none"/>
              </w:rPr>
              <w:t>/</w:t>
            </w:r>
            <w:r>
              <w:rPr>
                <w:rFonts w:hint="eastAsia" w:ascii="宋体" w:hAnsi="宋体"/>
                <w:color w:val="000000"/>
                <w:highlight w:val="none"/>
              </w:rPr>
              <w:t>次</w:t>
            </w:r>
            <w:r>
              <w:rPr>
                <w:rFonts w:hint="eastAsia" w:ascii="宋体" w:hAnsi="宋体"/>
                <w:color w:val="000000"/>
                <w:highlight w:val="none"/>
                <w:lang w:eastAsia="zh-CN"/>
              </w:rPr>
              <w:t>。</w:t>
            </w:r>
          </w:p>
        </w:tc>
      </w:tr>
      <w:tr w14:paraId="41B1D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47C130EC">
            <w:pPr>
              <w:widowControl/>
              <w:jc w:val="left"/>
              <w:rPr>
                <w:rFonts w:ascii="Calibri" w:hAnsi="Calibri" w:cs="宋体"/>
                <w:color w:val="000000"/>
                <w:szCs w:val="21"/>
                <w:highlight w:val="none"/>
              </w:rPr>
            </w:pPr>
          </w:p>
        </w:tc>
        <w:tc>
          <w:tcPr>
            <w:tcW w:w="3129" w:type="dxa"/>
          </w:tcPr>
          <w:p w14:paraId="62E141E5">
            <w:pPr>
              <w:rPr>
                <w:rFonts w:ascii="Calibri" w:hAnsi="Calibri" w:cs="宋体"/>
                <w:color w:val="000000"/>
                <w:szCs w:val="21"/>
                <w:highlight w:val="none"/>
              </w:rPr>
            </w:pPr>
            <w:r>
              <w:rPr>
                <w:rFonts w:hAnsi="宋体"/>
                <w:color w:val="000000"/>
                <w:highlight w:val="none"/>
              </w:rPr>
              <w:t>5</w:t>
            </w:r>
            <w:r>
              <w:rPr>
                <w:rFonts w:hint="eastAsia" w:ascii="宋体" w:hAnsi="宋体"/>
                <w:color w:val="000000"/>
                <w:highlight w:val="none"/>
              </w:rPr>
              <w:t>、维保人员不按合同要求履行维修职责，设备出现故障时不认真进行检查，或夸大设备故障</w:t>
            </w:r>
          </w:p>
        </w:tc>
        <w:tc>
          <w:tcPr>
            <w:tcW w:w="904" w:type="dxa"/>
            <w:vMerge w:val="continue"/>
            <w:vAlign w:val="center"/>
          </w:tcPr>
          <w:p w14:paraId="1E8D83F7">
            <w:pPr>
              <w:widowControl/>
              <w:jc w:val="left"/>
              <w:rPr>
                <w:rFonts w:ascii="Calibri" w:hAnsi="Calibri" w:cs="宋体"/>
                <w:color w:val="000000"/>
                <w:szCs w:val="21"/>
                <w:highlight w:val="none"/>
              </w:rPr>
            </w:pPr>
          </w:p>
        </w:tc>
        <w:tc>
          <w:tcPr>
            <w:tcW w:w="3897" w:type="dxa"/>
          </w:tcPr>
          <w:p w14:paraId="6522EB1D">
            <w:pPr>
              <w:rPr>
                <w:rFonts w:ascii="Calibri" w:hAnsi="Calibri" w:cs="宋体"/>
                <w:color w:val="000000"/>
                <w:szCs w:val="21"/>
                <w:highlight w:val="none"/>
              </w:rPr>
            </w:pPr>
            <w:r>
              <w:rPr>
                <w:rFonts w:hint="eastAsia" w:ascii="宋体" w:hAnsi="宋体"/>
                <w:color w:val="000000"/>
                <w:highlight w:val="none"/>
              </w:rPr>
              <w:t>未按合同要求履行维保职责，不认真检查设备故障或夸大设备故障扣</w:t>
            </w:r>
            <w:r>
              <w:rPr>
                <w:color w:val="000000"/>
                <w:highlight w:val="none"/>
              </w:rPr>
              <w:t>5</w:t>
            </w:r>
            <w:r>
              <w:rPr>
                <w:rFonts w:hint="eastAsia" w:ascii="宋体" w:hAnsi="宋体"/>
                <w:color w:val="000000"/>
                <w:highlight w:val="none"/>
              </w:rPr>
              <w:t>分</w:t>
            </w:r>
            <w:r>
              <w:rPr>
                <w:color w:val="000000"/>
                <w:highlight w:val="none"/>
              </w:rPr>
              <w:t>/</w:t>
            </w:r>
            <w:r>
              <w:rPr>
                <w:rFonts w:hint="eastAsia" w:ascii="宋体" w:hAnsi="宋体"/>
                <w:color w:val="000000"/>
                <w:highlight w:val="none"/>
              </w:rPr>
              <w:t>次</w:t>
            </w:r>
            <w:r>
              <w:rPr>
                <w:rFonts w:hint="eastAsia" w:ascii="宋体" w:hAnsi="宋体"/>
                <w:color w:val="000000"/>
                <w:highlight w:val="none"/>
                <w:lang w:eastAsia="zh-CN"/>
              </w:rPr>
              <w:t>。</w:t>
            </w:r>
          </w:p>
        </w:tc>
      </w:tr>
      <w:tr w14:paraId="2F3F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Merge w:val="continue"/>
            <w:vAlign w:val="center"/>
          </w:tcPr>
          <w:p w14:paraId="02284183">
            <w:pPr>
              <w:widowControl/>
              <w:jc w:val="left"/>
              <w:rPr>
                <w:rFonts w:ascii="Calibri" w:hAnsi="Calibri" w:cs="宋体"/>
                <w:color w:val="000000"/>
                <w:szCs w:val="21"/>
                <w:highlight w:val="none"/>
              </w:rPr>
            </w:pPr>
          </w:p>
        </w:tc>
        <w:tc>
          <w:tcPr>
            <w:tcW w:w="3129" w:type="dxa"/>
          </w:tcPr>
          <w:p w14:paraId="58A279C7">
            <w:pPr>
              <w:rPr>
                <w:rFonts w:ascii="Calibri" w:hAnsi="Calibri" w:cs="宋体"/>
                <w:color w:val="000000"/>
                <w:szCs w:val="21"/>
                <w:highlight w:val="none"/>
              </w:rPr>
            </w:pPr>
            <w:r>
              <w:rPr>
                <w:color w:val="000000"/>
                <w:highlight w:val="none"/>
              </w:rPr>
              <w:t>6</w:t>
            </w:r>
            <w:r>
              <w:rPr>
                <w:rFonts w:hint="eastAsia" w:ascii="宋体" w:hAnsi="宋体"/>
                <w:color w:val="000000"/>
                <w:highlight w:val="none"/>
              </w:rPr>
              <w:t>、维保结束后，应及时清理维保工作现场，保持机房</w:t>
            </w:r>
            <w:r>
              <w:rPr>
                <w:color w:val="000000"/>
                <w:highlight w:val="none"/>
              </w:rPr>
              <w:t>/</w:t>
            </w:r>
            <w:r>
              <w:rPr>
                <w:rFonts w:hint="eastAsia" w:ascii="宋体" w:hAnsi="宋体"/>
                <w:color w:val="000000"/>
                <w:highlight w:val="none"/>
              </w:rPr>
              <w:t>维保现场环境整洁，无杂物、灰尘。</w:t>
            </w:r>
          </w:p>
        </w:tc>
        <w:tc>
          <w:tcPr>
            <w:tcW w:w="904" w:type="dxa"/>
            <w:vMerge w:val="continue"/>
            <w:vAlign w:val="center"/>
          </w:tcPr>
          <w:p w14:paraId="66A31D7D">
            <w:pPr>
              <w:widowControl/>
              <w:jc w:val="left"/>
              <w:rPr>
                <w:rFonts w:ascii="Calibri" w:hAnsi="Calibri" w:cs="宋体"/>
                <w:color w:val="000000"/>
                <w:szCs w:val="21"/>
                <w:highlight w:val="none"/>
              </w:rPr>
            </w:pPr>
          </w:p>
        </w:tc>
        <w:tc>
          <w:tcPr>
            <w:tcW w:w="3897" w:type="dxa"/>
          </w:tcPr>
          <w:p w14:paraId="7B199879">
            <w:pPr>
              <w:rPr>
                <w:rFonts w:ascii="Calibri" w:hAnsi="Calibri" w:cs="宋体"/>
                <w:color w:val="000000"/>
                <w:szCs w:val="21"/>
                <w:highlight w:val="none"/>
              </w:rPr>
            </w:pPr>
            <w:r>
              <w:rPr>
                <w:rFonts w:hint="eastAsia" w:ascii="宋体" w:hAnsi="宋体"/>
                <w:color w:val="000000"/>
                <w:highlight w:val="none"/>
              </w:rPr>
              <w:t>维修完毕未及时清理维修现场、设备机房的扣</w:t>
            </w:r>
            <w:r>
              <w:rPr>
                <w:color w:val="000000"/>
                <w:highlight w:val="none"/>
              </w:rPr>
              <w:t>2</w:t>
            </w:r>
            <w:r>
              <w:rPr>
                <w:rFonts w:hint="eastAsia" w:ascii="宋体" w:hAnsi="宋体"/>
                <w:color w:val="000000"/>
                <w:highlight w:val="none"/>
              </w:rPr>
              <w:t>分</w:t>
            </w:r>
            <w:r>
              <w:rPr>
                <w:color w:val="000000"/>
                <w:highlight w:val="none"/>
              </w:rPr>
              <w:t>/</w:t>
            </w:r>
            <w:r>
              <w:rPr>
                <w:rFonts w:hint="eastAsia" w:ascii="宋体" w:hAnsi="宋体"/>
                <w:color w:val="000000"/>
                <w:highlight w:val="none"/>
              </w:rPr>
              <w:t>次；造成现场二次污染无法立即有效清洁的（如油迹、手印等）扣</w:t>
            </w:r>
            <w:r>
              <w:rPr>
                <w:color w:val="000000"/>
                <w:highlight w:val="none"/>
              </w:rPr>
              <w:t>3</w:t>
            </w:r>
            <w:r>
              <w:rPr>
                <w:rFonts w:hint="eastAsia" w:ascii="宋体" w:hAnsi="宋体"/>
                <w:color w:val="000000"/>
                <w:highlight w:val="none"/>
              </w:rPr>
              <w:t>分</w:t>
            </w:r>
            <w:r>
              <w:rPr>
                <w:color w:val="000000"/>
                <w:highlight w:val="none"/>
              </w:rPr>
              <w:t>/</w:t>
            </w:r>
            <w:r>
              <w:rPr>
                <w:rFonts w:hint="eastAsia" w:ascii="宋体" w:hAnsi="宋体"/>
                <w:color w:val="000000"/>
                <w:highlight w:val="none"/>
              </w:rPr>
              <w:t>次。</w:t>
            </w:r>
          </w:p>
        </w:tc>
      </w:tr>
      <w:tr w14:paraId="735D7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710" w:type="dxa"/>
            <w:vAlign w:val="center"/>
          </w:tcPr>
          <w:p w14:paraId="45F8D39A">
            <w:pPr>
              <w:widowControl/>
              <w:jc w:val="left"/>
              <w:rPr>
                <w:rFonts w:ascii="Calibri" w:hAnsi="Calibri" w:cs="宋体"/>
                <w:color w:val="000000"/>
                <w:szCs w:val="21"/>
                <w:highlight w:val="none"/>
              </w:rPr>
            </w:pPr>
          </w:p>
        </w:tc>
        <w:tc>
          <w:tcPr>
            <w:tcW w:w="3129" w:type="dxa"/>
          </w:tcPr>
          <w:p w14:paraId="680A23EB">
            <w:pPr>
              <w:rPr>
                <w:rFonts w:hint="eastAsia" w:eastAsia="宋体"/>
                <w:color w:val="000000"/>
                <w:highlight w:val="none"/>
                <w:lang w:val="en-US" w:eastAsia="zh-CN"/>
              </w:rPr>
            </w:pPr>
            <w:r>
              <w:rPr>
                <w:rFonts w:hint="eastAsia"/>
                <w:color w:val="000000"/>
                <w:highlight w:val="none"/>
                <w:lang w:val="en-US" w:eastAsia="zh-CN"/>
              </w:rPr>
              <w:t>7、</w:t>
            </w:r>
            <w:r>
              <w:rPr>
                <w:rFonts w:hint="eastAsia" w:ascii="宋体" w:hAnsi="宋体"/>
                <w:color w:val="000000"/>
                <w:highlight w:val="none"/>
              </w:rPr>
              <w:t>维修人员</w:t>
            </w:r>
            <w:r>
              <w:rPr>
                <w:rFonts w:hint="eastAsia" w:ascii="宋体" w:hAnsi="宋体"/>
                <w:color w:val="000000"/>
                <w:highlight w:val="none"/>
                <w:lang w:eastAsia="zh-CN"/>
              </w:rPr>
              <w:t>应佩戴安全帽，确保施工安全。</w:t>
            </w:r>
          </w:p>
        </w:tc>
        <w:tc>
          <w:tcPr>
            <w:tcW w:w="904" w:type="dxa"/>
            <w:vAlign w:val="center"/>
          </w:tcPr>
          <w:p w14:paraId="096408C3">
            <w:pPr>
              <w:widowControl/>
              <w:jc w:val="left"/>
              <w:rPr>
                <w:rFonts w:ascii="Calibri" w:hAnsi="Calibri" w:cs="宋体"/>
                <w:color w:val="000000"/>
                <w:szCs w:val="21"/>
                <w:highlight w:val="none"/>
              </w:rPr>
            </w:pPr>
          </w:p>
        </w:tc>
        <w:tc>
          <w:tcPr>
            <w:tcW w:w="3897" w:type="dxa"/>
          </w:tcPr>
          <w:p w14:paraId="643C6CE7">
            <w:pPr>
              <w:rPr>
                <w:rFonts w:hint="eastAsia" w:ascii="宋体" w:hAnsi="宋体"/>
                <w:color w:val="000000"/>
                <w:highlight w:val="none"/>
              </w:rPr>
            </w:pPr>
            <w:r>
              <w:rPr>
                <w:rFonts w:hint="eastAsia" w:ascii="宋体" w:hAnsi="宋体"/>
                <w:color w:val="000000"/>
                <w:highlight w:val="none"/>
                <w:lang w:eastAsia="zh-CN"/>
              </w:rPr>
              <w:t>未佩戴安全帽的，不执行安全生产要求的，</w:t>
            </w:r>
            <w:r>
              <w:rPr>
                <w:rFonts w:hint="eastAsia" w:ascii="宋体" w:hAnsi="宋体"/>
                <w:color w:val="000000"/>
                <w:highlight w:val="none"/>
              </w:rPr>
              <w:t>扣</w:t>
            </w:r>
            <w:r>
              <w:rPr>
                <w:rFonts w:hint="eastAsia"/>
                <w:color w:val="000000"/>
                <w:highlight w:val="none"/>
                <w:lang w:val="en-US" w:eastAsia="zh-CN"/>
              </w:rPr>
              <w:t>5</w:t>
            </w:r>
            <w:r>
              <w:rPr>
                <w:rFonts w:hint="eastAsia" w:ascii="宋体" w:hAnsi="宋体"/>
                <w:color w:val="000000"/>
                <w:highlight w:val="none"/>
              </w:rPr>
              <w:t>分</w:t>
            </w:r>
            <w:r>
              <w:rPr>
                <w:color w:val="000000"/>
                <w:highlight w:val="none"/>
              </w:rPr>
              <w:t>/</w:t>
            </w:r>
            <w:r>
              <w:rPr>
                <w:rFonts w:hint="eastAsia" w:ascii="宋体" w:hAnsi="宋体"/>
                <w:color w:val="000000"/>
                <w:highlight w:val="none"/>
              </w:rPr>
              <w:t>次。</w:t>
            </w:r>
          </w:p>
        </w:tc>
      </w:tr>
      <w:tr w14:paraId="1459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8640" w:type="dxa"/>
            <w:gridSpan w:val="4"/>
            <w:vAlign w:val="center"/>
          </w:tcPr>
          <w:p w14:paraId="6429BA6C">
            <w:pPr>
              <w:adjustRightInd w:val="0"/>
              <w:snapToGrid w:val="0"/>
              <w:spacing w:line="360" w:lineRule="exact"/>
              <w:ind w:firstLine="420" w:firstLineChars="200"/>
              <w:rPr>
                <w:rFonts w:hint="eastAsia" w:ascii="宋体" w:hAnsi="宋体" w:cs="Arial"/>
                <w:kern w:val="0"/>
                <w:highlight w:val="none"/>
                <w:lang w:eastAsia="zh-CN"/>
              </w:rPr>
            </w:pPr>
            <w:r>
              <w:rPr>
                <w:rFonts w:hint="eastAsia" w:ascii="宋体" w:hAnsi="宋体" w:cs="Arial"/>
                <w:kern w:val="0"/>
                <w:highlight w:val="none"/>
                <w:lang w:eastAsia="zh-CN"/>
              </w:rPr>
              <w:t>备注：</w:t>
            </w:r>
          </w:p>
          <w:p w14:paraId="6DF2C7E7">
            <w:pPr>
              <w:adjustRightInd w:val="0"/>
              <w:snapToGrid w:val="0"/>
              <w:spacing w:line="360" w:lineRule="exact"/>
              <w:ind w:firstLine="420" w:firstLineChars="200"/>
              <w:rPr>
                <w:rFonts w:hint="eastAsia" w:ascii="宋体" w:hAnsi="宋体"/>
                <w:color w:val="000000"/>
                <w:highlight w:val="none"/>
              </w:rPr>
            </w:pPr>
            <w:r>
              <w:rPr>
                <w:rFonts w:hint="eastAsia" w:ascii="宋体" w:hAnsi="宋体" w:cs="Arial"/>
                <w:kern w:val="0"/>
                <w:highlight w:val="none"/>
                <w:lang w:eastAsia="zh-CN"/>
              </w:rPr>
              <w:t>按每半年进行</w:t>
            </w:r>
            <w:r>
              <w:rPr>
                <w:rFonts w:hint="eastAsia" w:ascii="宋体" w:hAnsi="宋体" w:cs="Arial"/>
                <w:kern w:val="0"/>
                <w:highlight w:val="none"/>
              </w:rPr>
              <w:t>考核，按有关考核细则采取扣分制，总分为</w:t>
            </w:r>
            <w:r>
              <w:rPr>
                <w:rFonts w:hint="eastAsia" w:ascii="宋体" w:hAnsi="宋体" w:cs="Arial"/>
                <w:color w:val="000000"/>
                <w:kern w:val="0"/>
                <w:highlight w:val="none"/>
              </w:rPr>
              <w:t>100分。经过公平、公正、客观、有效考核打分，总分低于85分（不含85分）的，甲方有权结合具体实际情况扣除当期10%—20%的维保款项，维保服务未达到合同要求情况严重的，甲方有权解除合同，相关责任由维保单位自行承担；总分85分—95分（不含95分），甲方有权按每扣1分扣除当期维保款项金额的1%；总分95分及以上按全额支付维保款项。</w:t>
            </w:r>
          </w:p>
        </w:tc>
      </w:tr>
    </w:tbl>
    <w:p w14:paraId="5B164B41">
      <w:pPr>
        <w:rPr>
          <w:rFonts w:hint="eastAsia" w:ascii="Calibri" w:hAnsi="Calibri" w:eastAsia="宋体"/>
          <w:color w:val="000000"/>
          <w:sz w:val="24"/>
          <w:highlight w:val="none"/>
          <w:lang w:eastAsia="zh-CN"/>
        </w:rPr>
      </w:pPr>
    </w:p>
    <w:p w14:paraId="70C99DD3">
      <w:pPr>
        <w:rPr>
          <w:rFonts w:ascii="仿宋_GB2312" w:hAnsi="宋体" w:eastAsia="仿宋_GB2312"/>
          <w:b/>
          <w:color w:val="000000"/>
          <w:sz w:val="24"/>
          <w:highlight w:val="none"/>
        </w:rPr>
      </w:pPr>
      <w:r>
        <w:rPr>
          <w:rFonts w:hint="eastAsia" w:ascii="宋体" w:hAnsi="宋体"/>
          <w:color w:val="000000"/>
          <w:sz w:val="24"/>
          <w:highlight w:val="none"/>
        </w:rPr>
        <w:t>甲方考核</w:t>
      </w:r>
      <w:r>
        <w:rPr>
          <w:rFonts w:hint="eastAsia" w:ascii="宋体" w:hAnsi="宋体"/>
          <w:color w:val="000000"/>
          <w:sz w:val="24"/>
          <w:highlight w:val="none"/>
          <w:lang w:eastAsia="zh-CN"/>
        </w:rPr>
        <w:t>小组</w:t>
      </w:r>
      <w:r>
        <w:rPr>
          <w:rFonts w:hint="eastAsia" w:ascii="宋体" w:hAnsi="宋体"/>
          <w:color w:val="000000"/>
          <w:sz w:val="24"/>
          <w:highlight w:val="none"/>
        </w:rPr>
        <w:t>签字：</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乙方签字：</w:t>
      </w:r>
    </w:p>
    <w:p w14:paraId="40C467F2">
      <w:pPr>
        <w:rPr>
          <w:highlight w:val="none"/>
        </w:rPr>
      </w:pPr>
    </w:p>
    <w:p w14:paraId="740C9573">
      <w:pPr>
        <w:pStyle w:val="8"/>
        <w:rPr>
          <w:rFonts w:hint="eastAsia"/>
          <w:highlight w:val="none"/>
        </w:rPr>
        <w:sectPr>
          <w:pgSz w:w="11906" w:h="16838"/>
          <w:pgMar w:top="1440" w:right="1800" w:bottom="1440" w:left="1800" w:header="851" w:footer="992" w:gutter="0"/>
          <w:pgNumType w:fmt="decimal"/>
          <w:cols w:space="425" w:num="1"/>
          <w:docGrid w:type="lines" w:linePitch="312" w:charSpace="0"/>
        </w:sectPr>
      </w:pPr>
    </w:p>
    <w:p w14:paraId="48FDDF96">
      <w:pPr>
        <w:rPr>
          <w:rFonts w:hint="eastAsia" w:ascii="宋体" w:hAnsi="宋体"/>
          <w:color w:val="000000"/>
          <w:sz w:val="24"/>
          <w:highlight w:val="none"/>
        </w:rPr>
      </w:pPr>
      <w:r>
        <w:rPr>
          <w:rFonts w:hint="eastAsia" w:ascii="宋体" w:hAnsi="宋体"/>
          <w:color w:val="000000"/>
          <w:sz w:val="24"/>
          <w:highlight w:val="none"/>
        </w:rPr>
        <w:t>附件</w:t>
      </w:r>
      <w:r>
        <w:rPr>
          <w:rFonts w:hint="eastAsia" w:ascii="宋体" w:hAnsi="宋体"/>
          <w:color w:val="000000"/>
          <w:sz w:val="24"/>
          <w:highlight w:val="none"/>
          <w:lang w:val="en-US" w:eastAsia="zh-CN"/>
        </w:rPr>
        <w:t>2</w:t>
      </w:r>
      <w:r>
        <w:rPr>
          <w:rFonts w:hint="eastAsia" w:ascii="宋体" w:hAnsi="宋体"/>
          <w:color w:val="000000"/>
          <w:sz w:val="24"/>
          <w:highlight w:val="none"/>
        </w:rPr>
        <w:t>：</w:t>
      </w:r>
      <w:r>
        <w:rPr>
          <w:rFonts w:hint="eastAsia" w:ascii="宋体" w:hAnsi="宋体"/>
          <w:color w:val="000000"/>
          <w:sz w:val="24"/>
          <w:highlight w:val="none"/>
          <w:lang w:val="en-US" w:eastAsia="zh-CN"/>
        </w:rPr>
        <w:t>机械式停车设备维保服务配件单价表</w:t>
      </w:r>
    </w:p>
    <w:tbl>
      <w:tblPr>
        <w:tblStyle w:val="21"/>
        <w:tblW w:w="75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6"/>
        <w:gridCol w:w="2160"/>
        <w:gridCol w:w="868"/>
        <w:gridCol w:w="756"/>
        <w:gridCol w:w="1739"/>
      </w:tblGrid>
      <w:tr w14:paraId="4739E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89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F2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型号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E4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F0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35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单价限价（元）</w:t>
            </w:r>
          </w:p>
        </w:tc>
      </w:tr>
      <w:tr w14:paraId="35C8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B801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EF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德力西2</w:t>
            </w:r>
            <w:r>
              <w:rPr>
                <w:rStyle w:val="39"/>
                <w:highlight w:val="none"/>
                <w:lang w:val="en-US" w:eastAsia="zh-CN" w:bidi="ar"/>
              </w:rPr>
              <w:t>50A</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9F86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58D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415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r>
      <w:tr w14:paraId="335DC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76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双电源开关</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FA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德力西2</w:t>
            </w:r>
            <w:r>
              <w:rPr>
                <w:rStyle w:val="39"/>
                <w:highlight w:val="none"/>
                <w:lang w:val="en-US" w:eastAsia="zh-CN" w:bidi="ar"/>
              </w:rPr>
              <w:t>25A</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A7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18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357B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1800</w:t>
            </w:r>
          </w:p>
        </w:tc>
      </w:tr>
      <w:tr w14:paraId="713A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70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44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德力西25A</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12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1D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066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r>
      <w:tr w14:paraId="52FBD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4569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电压表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9A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德力西</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84F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23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05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w:t>
            </w:r>
          </w:p>
        </w:tc>
      </w:tr>
      <w:tr w14:paraId="5663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E42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电箱</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E7B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800*1200*250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90D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4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BC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800</w:t>
            </w:r>
          </w:p>
        </w:tc>
      </w:tr>
      <w:tr w14:paraId="2121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5980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F8C3">
            <w:pPr>
              <w:jc w:val="center"/>
              <w:rPr>
                <w:rFonts w:hint="eastAsia" w:ascii="宋体" w:hAnsi="宋体" w:eastAsia="宋体" w:cs="宋体"/>
                <w:i w:val="0"/>
                <w:iCs w:val="0"/>
                <w:color w:val="000000"/>
                <w:sz w:val="24"/>
                <w:szCs w:val="24"/>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67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414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A52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r>
      <w:tr w14:paraId="4AEE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29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互感器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EE7F">
            <w:pPr>
              <w:jc w:val="center"/>
              <w:rPr>
                <w:rFonts w:hint="eastAsia" w:ascii="宋体" w:hAnsi="宋体" w:eastAsia="宋体" w:cs="宋体"/>
                <w:i w:val="0"/>
                <w:iCs w:val="0"/>
                <w:color w:val="000000"/>
                <w:sz w:val="24"/>
                <w:szCs w:val="24"/>
                <w:highlight w:val="none"/>
                <w:u w:val="none"/>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330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AC9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81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r>
      <w:tr w14:paraId="0FE1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64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操作器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04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J</w:t>
            </w:r>
            <w:r>
              <w:rPr>
                <w:rStyle w:val="39"/>
                <w:highlight w:val="none"/>
                <w:lang w:val="en-US" w:eastAsia="zh-CN" w:bidi="ar"/>
              </w:rPr>
              <w:t>L-HMI</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88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06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81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1520</w:t>
            </w:r>
          </w:p>
        </w:tc>
      </w:tr>
      <w:tr w14:paraId="31A68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416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拖链</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B5D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w:t>
            </w:r>
            <w:r>
              <w:rPr>
                <w:rStyle w:val="39"/>
                <w:highlight w:val="none"/>
                <w:lang w:val="en-US" w:eastAsia="zh-CN" w:bidi="ar"/>
              </w:rPr>
              <w:t>90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7C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4E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713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w:t>
            </w:r>
          </w:p>
        </w:tc>
      </w:tr>
      <w:tr w14:paraId="40F8F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0C8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拖链接头</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497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w:t>
            </w:r>
            <w:r>
              <w:rPr>
                <w:rStyle w:val="39"/>
                <w:highlight w:val="none"/>
                <w:lang w:val="en-US" w:eastAsia="zh-CN" w:bidi="ar"/>
              </w:rPr>
              <w:t>90</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A009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55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556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r>
      <w:tr w14:paraId="5D4DE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CE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专用电缆线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330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Style w:val="39"/>
                <w:highlight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B1F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54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38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w:t>
            </w:r>
          </w:p>
        </w:tc>
      </w:tr>
      <w:tr w14:paraId="744E4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46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拖链槽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59E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r>
              <w:rPr>
                <w:rStyle w:val="39"/>
                <w:highlight w:val="none"/>
                <w:lang w:val="en-US" w:eastAsia="zh-CN" w:bidi="ar"/>
              </w:rPr>
              <w:t>5*70*1.5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388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ED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E36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r>
      <w:tr w14:paraId="1CF36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F4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槽支架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023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现场做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DD9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6EE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9C0A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160</w:t>
            </w:r>
          </w:p>
        </w:tc>
      </w:tr>
      <w:tr w14:paraId="0F57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D5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电机电缆线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24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r>
              <w:rPr>
                <w:rStyle w:val="39"/>
                <w:highlight w:val="none"/>
                <w:lang w:val="en-US" w:eastAsia="zh-CN" w:bidi="ar"/>
              </w:rPr>
              <w:t>*2.5+1.5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D8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61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8C0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r>
      <w:tr w14:paraId="5F6C6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E87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电机双驱动链条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F04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r>
              <w:rPr>
                <w:rStyle w:val="39"/>
                <w:highlight w:val="none"/>
                <w:lang w:val="en-US" w:eastAsia="zh-CN" w:bidi="ar"/>
              </w:rPr>
              <w:t>6A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0A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29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A92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280</w:t>
            </w:r>
          </w:p>
        </w:tc>
      </w:tr>
      <w:tr w14:paraId="4DDD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BF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电机减速器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87F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830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A29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A3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600</w:t>
            </w:r>
          </w:p>
        </w:tc>
      </w:tr>
      <w:tr w14:paraId="2DD2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20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电箱门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02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原尺寸订做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AAA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3B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72D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300</w:t>
            </w:r>
          </w:p>
        </w:tc>
      </w:tr>
      <w:tr w14:paraId="134A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44D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松绳开关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ADE2">
            <w:pPr>
              <w:jc w:val="center"/>
              <w:rPr>
                <w:rFonts w:hint="eastAsia" w:ascii="宋体" w:hAnsi="宋体" w:eastAsia="宋体" w:cs="宋体"/>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AD4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4C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64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r>
      <w:tr w14:paraId="6B012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17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挂勾电磁铁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772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５０Ｎ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FA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7E7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7DA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105</w:t>
            </w:r>
          </w:p>
        </w:tc>
      </w:tr>
      <w:tr w14:paraId="48E15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C3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F61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神户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5B4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62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EB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w:t>
            </w:r>
          </w:p>
        </w:tc>
      </w:tr>
      <w:tr w14:paraId="6F75C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58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挂勾开关支架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09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订做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AE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50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DB5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w:t>
            </w:r>
          </w:p>
        </w:tc>
      </w:tr>
      <w:tr w14:paraId="22E81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E2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横移限位机机构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97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AD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6D1C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B7A7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135</w:t>
            </w:r>
          </w:p>
        </w:tc>
      </w:tr>
      <w:tr w14:paraId="7D045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6D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钢丝绳</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3C9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上海展兴6×19w+1ws-8.3mm</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C69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27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11E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w:t>
            </w:r>
          </w:p>
        </w:tc>
      </w:tr>
      <w:tr w14:paraId="61FF5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9B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定向滑轮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BD17">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5B6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905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AD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136</w:t>
            </w:r>
          </w:p>
        </w:tc>
      </w:tr>
      <w:tr w14:paraId="3EFB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421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滑轮轴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7E9D">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F04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18D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件</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0AD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180</w:t>
            </w:r>
          </w:p>
        </w:tc>
      </w:tr>
      <w:tr w14:paraId="345D1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A52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空气开关4P　２０Ａ</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4B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施耐德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22E1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CD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ED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r>
      <w:tr w14:paraId="71644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D9D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空气开关2P　２０Ａ</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395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德力西</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A5B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FDA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5C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r>
      <w:tr w14:paraId="0B9A9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01C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空气开关3P　２０Ａ</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4365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德力西</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F0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7BA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A26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r>
      <w:tr w14:paraId="696B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B0F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交流接触器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EAB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施耐德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BA53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5BA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737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125</w:t>
            </w:r>
          </w:p>
        </w:tc>
      </w:tr>
      <w:tr w14:paraId="3600E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242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热继电器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DF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施耐德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7E4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08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6A0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95</w:t>
            </w:r>
          </w:p>
        </w:tc>
      </w:tr>
      <w:tr w14:paraId="5CEF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5C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中间继电器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C8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施耐德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1E5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EE3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7415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88</w:t>
            </w:r>
          </w:p>
        </w:tc>
      </w:tr>
      <w:tr w14:paraId="43A8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10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光电开关</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800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松下</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498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对</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101D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E61F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r>
      <w:tr w14:paraId="2B5F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E5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行程开关</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2B8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SD-8108</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50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D64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5A4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r>
      <w:tr w14:paraId="745E8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C50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电磁防坠器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7C37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ＤＮ－５０</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A1E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9C6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4B1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380</w:t>
            </w:r>
          </w:p>
        </w:tc>
      </w:tr>
      <w:tr w14:paraId="7E80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7D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横移到位检测</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A8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施耐德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14AD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FF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F56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r>
      <w:tr w14:paraId="11E0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B91E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升降到位检测</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9BC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施耐德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3A8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F7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E61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350</w:t>
            </w:r>
          </w:p>
        </w:tc>
      </w:tr>
      <w:tr w14:paraId="4CA99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445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安全运行指示器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0E1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6A1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A6D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513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w:t>
            </w:r>
          </w:p>
        </w:tc>
      </w:tr>
      <w:tr w14:paraId="1C01F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F8B9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轴承</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A0D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6305</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62D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B48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9314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55</w:t>
            </w:r>
          </w:p>
        </w:tc>
      </w:tr>
      <w:tr w14:paraId="71A47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F93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轴承</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0D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6206</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CFDC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379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186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70</w:t>
            </w:r>
          </w:p>
        </w:tc>
      </w:tr>
      <w:tr w14:paraId="48334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7C3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可编程控制器PLC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401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三菱FX-2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7B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B0B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99D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2960</w:t>
            </w:r>
          </w:p>
        </w:tc>
      </w:tr>
      <w:tr w14:paraId="5A7F0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FB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相序保护器</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14B8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施耐德</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B0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89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0DE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365</w:t>
            </w:r>
          </w:p>
        </w:tc>
      </w:tr>
      <w:tr w14:paraId="2D9F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169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开关电源（24V电源）</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B10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明纬</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CD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53E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13D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320</w:t>
            </w:r>
          </w:p>
        </w:tc>
      </w:tr>
      <w:tr w14:paraId="20F96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3F7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升降机构轴承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7004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3F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0E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EEE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360</w:t>
            </w:r>
          </w:p>
        </w:tc>
      </w:tr>
      <w:tr w14:paraId="5C461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94F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升降机构轴承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D46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20８F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CC2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FA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7C5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280</w:t>
            </w:r>
          </w:p>
        </w:tc>
      </w:tr>
      <w:tr w14:paraId="5CDDD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5B0AE">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横移电机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5D4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明椿0.2KW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B7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3E43">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9D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1200</w:t>
            </w:r>
          </w:p>
        </w:tc>
      </w:tr>
      <w:tr w14:paraId="2481D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253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升降电机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AFEC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明椿2.2KW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E9C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98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E8F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2300</w:t>
            </w:r>
          </w:p>
        </w:tc>
      </w:tr>
      <w:tr w14:paraId="1BE3A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4BD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升降电机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D52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明椿3.7KW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A88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F0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712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3300</w:t>
            </w:r>
          </w:p>
        </w:tc>
      </w:tr>
      <w:tr w14:paraId="57D74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784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横移轮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89F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定做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03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94B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D85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95</w:t>
            </w:r>
          </w:p>
        </w:tc>
      </w:tr>
      <w:tr w14:paraId="5D03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1D8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防跳绳护架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3CF2">
            <w:pPr>
              <w:jc w:val="center"/>
              <w:rPr>
                <w:rFonts w:hint="eastAsia" w:ascii="宋体" w:hAnsi="宋体" w:eastAsia="宋体" w:cs="宋体"/>
                <w:i w:val="0"/>
                <w:iCs w:val="0"/>
                <w:color w:val="000000"/>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D72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B0F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C8A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w:t>
            </w:r>
          </w:p>
        </w:tc>
      </w:tr>
      <w:tr w14:paraId="659F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AF35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电缆线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E96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8CB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523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90D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1.8</w:t>
            </w:r>
          </w:p>
        </w:tc>
      </w:tr>
    </w:tbl>
    <w:p w14:paraId="449968E2">
      <w:pPr>
        <w:pStyle w:val="2"/>
        <w:rPr>
          <w:rFonts w:hint="eastAsia"/>
          <w:highlight w:val="none"/>
          <w:lang w:eastAsia="zh-CN"/>
        </w:rPr>
      </w:pPr>
    </w:p>
    <w:p w14:paraId="23566EC3">
      <w:pPr>
        <w:rPr>
          <w:rFonts w:hint="eastAsia"/>
          <w:highlight w:val="none"/>
        </w:rPr>
      </w:pPr>
    </w:p>
    <w:p w14:paraId="0794EFCE">
      <w:pPr>
        <w:pStyle w:val="2"/>
        <w:rPr>
          <w:rFonts w:hint="eastAsia"/>
          <w:highlight w:val="none"/>
        </w:rPr>
        <w:sectPr>
          <w:pgSz w:w="11906" w:h="16838"/>
          <w:pgMar w:top="1440" w:right="1800" w:bottom="1440" w:left="1800" w:header="851" w:footer="992" w:gutter="0"/>
          <w:pgNumType w:fmt="decimal"/>
          <w:cols w:space="425" w:num="1"/>
          <w:docGrid w:type="lines" w:linePitch="312" w:charSpace="0"/>
        </w:sectPr>
      </w:pPr>
    </w:p>
    <w:p w14:paraId="7D268763">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报价材料要求</w:t>
      </w:r>
    </w:p>
    <w:p w14:paraId="531913EB">
      <w:pPr>
        <w:pStyle w:val="20"/>
        <w:spacing w:line="360" w:lineRule="auto"/>
        <w:ind w:firstLine="562"/>
        <w:rPr>
          <w:rFonts w:ascii="仿宋" w:hAnsi="仿宋" w:eastAsia="仿宋" w:cs="仿宋"/>
          <w:b/>
          <w:szCs w:val="28"/>
          <w:highlight w:val="none"/>
        </w:rPr>
      </w:pPr>
    </w:p>
    <w:p w14:paraId="163E4C97">
      <w:pPr>
        <w:pStyle w:val="20"/>
        <w:spacing w:line="360" w:lineRule="auto"/>
        <w:ind w:firstLine="560"/>
        <w:jc w:val="left"/>
        <w:rPr>
          <w:rFonts w:hint="eastAsia" w:ascii="仿宋" w:hAnsi="仿宋" w:eastAsia="仿宋" w:cs="仿宋"/>
          <w:bCs/>
          <w:szCs w:val="28"/>
          <w:highlight w:val="none"/>
          <w:lang w:eastAsia="zh-CN"/>
        </w:rPr>
      </w:pPr>
      <w:r>
        <w:rPr>
          <w:rFonts w:hint="eastAsia" w:ascii="仿宋" w:hAnsi="仿宋" w:eastAsia="仿宋" w:cs="仿宋"/>
          <w:bCs/>
          <w:szCs w:val="28"/>
          <w:highlight w:val="none"/>
        </w:rPr>
        <w:t>1.营业执照复印件</w:t>
      </w:r>
      <w:r>
        <w:rPr>
          <w:rFonts w:hint="eastAsia" w:ascii="仿宋" w:hAnsi="仿宋" w:eastAsia="仿宋" w:cs="仿宋"/>
          <w:bCs/>
          <w:szCs w:val="28"/>
          <w:highlight w:val="none"/>
          <w:lang w:eastAsia="zh-CN"/>
        </w:rPr>
        <w:t>；</w:t>
      </w:r>
    </w:p>
    <w:p w14:paraId="4DA04003">
      <w:pPr>
        <w:pStyle w:val="20"/>
        <w:spacing w:line="360" w:lineRule="auto"/>
        <w:ind w:firstLine="560"/>
        <w:jc w:val="left"/>
        <w:rPr>
          <w:rFonts w:hint="eastAsia" w:ascii="仿宋" w:hAnsi="仿宋" w:eastAsia="仿宋" w:cs="仿宋"/>
          <w:bCs/>
          <w:szCs w:val="28"/>
          <w:highlight w:val="none"/>
          <w:lang w:eastAsia="zh-CN"/>
        </w:rPr>
      </w:pPr>
      <w:r>
        <w:rPr>
          <w:rFonts w:hint="eastAsia" w:ascii="仿宋" w:hAnsi="仿宋" w:eastAsia="仿宋" w:cs="仿宋"/>
          <w:bCs/>
          <w:szCs w:val="28"/>
          <w:highlight w:val="none"/>
        </w:rPr>
        <w:t>2.法定代表人身份证明或法人授权委托书及被授权人身份证明和联系方式</w:t>
      </w:r>
      <w:r>
        <w:rPr>
          <w:rFonts w:hint="eastAsia" w:ascii="仿宋" w:hAnsi="仿宋" w:eastAsia="仿宋" w:cs="仿宋"/>
          <w:bCs/>
          <w:szCs w:val="28"/>
          <w:highlight w:val="none"/>
          <w:lang w:eastAsia="zh-CN"/>
        </w:rPr>
        <w:t>；</w:t>
      </w:r>
    </w:p>
    <w:p w14:paraId="24067B01">
      <w:pPr>
        <w:pStyle w:val="20"/>
        <w:spacing w:line="360" w:lineRule="auto"/>
        <w:ind w:firstLine="560"/>
        <w:jc w:val="left"/>
        <w:rPr>
          <w:rFonts w:ascii="仿宋" w:hAnsi="仿宋" w:eastAsia="仿宋" w:cs="仿宋"/>
          <w:bCs/>
          <w:szCs w:val="28"/>
          <w:highlight w:val="none"/>
        </w:rPr>
      </w:pPr>
      <w:r>
        <w:rPr>
          <w:rFonts w:hint="eastAsia" w:ascii="仿宋" w:hAnsi="仿宋" w:eastAsia="仿宋" w:cs="仿宋"/>
          <w:bCs/>
          <w:szCs w:val="28"/>
          <w:highlight w:val="none"/>
        </w:rPr>
        <w:t>3. 报价表【报价不得高于预算价，仅一次报价】；</w:t>
      </w:r>
    </w:p>
    <w:p w14:paraId="4BBAFB28">
      <w:pPr>
        <w:pStyle w:val="20"/>
        <w:spacing w:line="360" w:lineRule="auto"/>
        <w:ind w:firstLine="560"/>
        <w:jc w:val="left"/>
        <w:rPr>
          <w:rFonts w:ascii="仿宋" w:hAnsi="仿宋" w:eastAsia="仿宋" w:cs="仿宋"/>
          <w:bCs/>
          <w:szCs w:val="28"/>
          <w:highlight w:val="none"/>
        </w:rPr>
      </w:pPr>
      <w:r>
        <w:rPr>
          <w:rFonts w:hint="eastAsia" w:ascii="仿宋" w:hAnsi="仿宋" w:eastAsia="仿宋" w:cs="仿宋"/>
          <w:bCs/>
          <w:szCs w:val="28"/>
          <w:highlight w:val="none"/>
        </w:rPr>
        <w:t>4. 声明函、公司直接控股股东信息表、公司直接管理关系信息表</w:t>
      </w:r>
    </w:p>
    <w:p w14:paraId="0A3FD827">
      <w:pPr>
        <w:pStyle w:val="20"/>
        <w:spacing w:line="360" w:lineRule="auto"/>
        <w:ind w:firstLine="560"/>
        <w:jc w:val="left"/>
        <w:rPr>
          <w:rFonts w:hint="eastAsia" w:ascii="仿宋" w:hAnsi="仿宋" w:eastAsia="仿宋" w:cs="仿宋"/>
          <w:bCs/>
          <w:szCs w:val="28"/>
          <w:highlight w:val="none"/>
          <w:lang w:eastAsia="zh-CN"/>
        </w:rPr>
      </w:pPr>
      <w:r>
        <w:rPr>
          <w:rFonts w:hint="eastAsia" w:ascii="仿宋" w:hAnsi="仿宋" w:eastAsia="仿宋" w:cs="仿宋"/>
          <w:bCs/>
          <w:szCs w:val="28"/>
          <w:highlight w:val="none"/>
        </w:rPr>
        <w:t>5.供应商必须具有有效期内的《中华人民共和国特种设备生产许可证》，许可项目为起重机械制造（含安装、修理、改造），许可子项目为机械式停车设备</w:t>
      </w:r>
      <w:r>
        <w:rPr>
          <w:rFonts w:hint="eastAsia" w:ascii="仿宋" w:hAnsi="仿宋" w:eastAsia="仿宋" w:cs="仿宋"/>
          <w:bCs/>
          <w:szCs w:val="28"/>
          <w:highlight w:val="none"/>
          <w:lang w:eastAsia="zh-CN"/>
        </w:rPr>
        <w:t>；</w:t>
      </w:r>
    </w:p>
    <w:p w14:paraId="0833A023">
      <w:pPr>
        <w:pStyle w:val="20"/>
        <w:spacing w:line="360" w:lineRule="auto"/>
        <w:ind w:firstLine="560"/>
        <w:jc w:val="left"/>
        <w:rPr>
          <w:rFonts w:hint="default" w:ascii="仿宋" w:hAnsi="仿宋" w:eastAsia="仿宋" w:cs="仿宋"/>
          <w:bCs/>
          <w:szCs w:val="28"/>
          <w:highlight w:val="none"/>
          <w:lang w:val="en-US" w:eastAsia="zh-CN"/>
        </w:rPr>
      </w:pPr>
      <w:r>
        <w:rPr>
          <w:rFonts w:hint="eastAsia" w:ascii="仿宋" w:hAnsi="仿宋" w:eastAsia="仿宋" w:cs="仿宋"/>
          <w:bCs/>
          <w:szCs w:val="28"/>
          <w:highlight w:val="none"/>
          <w:lang w:val="en-US" w:eastAsia="zh-CN"/>
        </w:rPr>
        <w:t>6.服务要求完全响应；</w:t>
      </w:r>
    </w:p>
    <w:p w14:paraId="33E0E865">
      <w:pPr>
        <w:pStyle w:val="20"/>
        <w:spacing w:line="360" w:lineRule="auto"/>
        <w:ind w:firstLine="560"/>
        <w:jc w:val="left"/>
        <w:rPr>
          <w:rFonts w:ascii="仿宋" w:hAnsi="仿宋" w:eastAsia="仿宋" w:cs="仿宋"/>
          <w:bCs/>
          <w:szCs w:val="28"/>
          <w:highlight w:val="none"/>
        </w:rPr>
      </w:pPr>
      <w:r>
        <w:rPr>
          <w:rFonts w:hint="eastAsia" w:ascii="仿宋" w:hAnsi="仿宋" w:eastAsia="仿宋" w:cs="仿宋"/>
          <w:bCs/>
          <w:szCs w:val="28"/>
          <w:highlight w:val="none"/>
          <w:lang w:val="en-US" w:eastAsia="zh-CN"/>
        </w:rPr>
        <w:t>7</w:t>
      </w:r>
      <w:r>
        <w:rPr>
          <w:rFonts w:hint="eastAsia" w:ascii="仿宋" w:hAnsi="仿宋" w:eastAsia="仿宋" w:cs="仿宋"/>
          <w:bCs/>
          <w:szCs w:val="28"/>
          <w:highlight w:val="none"/>
        </w:rPr>
        <w:t>.供应商自行根据评标方案提供评审资料。</w:t>
      </w:r>
    </w:p>
    <w:p w14:paraId="74A04356">
      <w:pPr>
        <w:pStyle w:val="20"/>
        <w:spacing w:line="360" w:lineRule="auto"/>
        <w:ind w:firstLine="560"/>
        <w:jc w:val="left"/>
        <w:rPr>
          <w:rFonts w:hint="eastAsia" w:ascii="仿宋" w:hAnsi="仿宋" w:eastAsia="仿宋" w:cs="仿宋"/>
          <w:bCs/>
          <w:szCs w:val="28"/>
          <w:highlight w:val="none"/>
        </w:rPr>
      </w:pPr>
    </w:p>
    <w:p w14:paraId="46470419">
      <w:pPr>
        <w:pStyle w:val="20"/>
        <w:spacing w:line="360" w:lineRule="auto"/>
        <w:ind w:firstLine="562"/>
        <w:jc w:val="left"/>
        <w:rPr>
          <w:rFonts w:ascii="仿宋" w:hAnsi="仿宋" w:eastAsia="仿宋" w:cs="仿宋"/>
          <w:b/>
          <w:szCs w:val="28"/>
          <w:highlight w:val="none"/>
        </w:rPr>
      </w:pPr>
      <w:r>
        <w:rPr>
          <w:rFonts w:hint="eastAsia" w:ascii="仿宋" w:hAnsi="仿宋" w:eastAsia="仿宋" w:cs="仿宋"/>
          <w:b/>
          <w:szCs w:val="28"/>
          <w:highlight w:val="none"/>
        </w:rPr>
        <w:t>以上材料必须提交。</w:t>
      </w:r>
    </w:p>
    <w:p w14:paraId="6F06FC05">
      <w:pPr>
        <w:ind w:firstLine="560" w:firstLineChars="200"/>
        <w:rPr>
          <w:rFonts w:ascii="仿宋" w:hAnsi="仿宋" w:eastAsia="仿宋" w:cs="仿宋"/>
          <w:bCs/>
          <w:sz w:val="28"/>
          <w:szCs w:val="28"/>
          <w:highlight w:val="none"/>
        </w:rPr>
        <w:sectPr>
          <w:footerReference r:id="rId6" w:type="first"/>
          <w:footerReference r:id="rId5" w:type="default"/>
          <w:pgSz w:w="11906" w:h="16838"/>
          <w:pgMar w:top="1418" w:right="1555" w:bottom="1418" w:left="1531" w:header="851" w:footer="992" w:gutter="0"/>
          <w:pgNumType w:fmt="decimal"/>
          <w:cols w:space="720" w:num="1"/>
          <w:titlePg/>
          <w:docGrid w:type="lines" w:linePitch="312" w:charSpace="0"/>
        </w:sectPr>
      </w:pPr>
      <w:r>
        <w:rPr>
          <w:rFonts w:hint="eastAsia" w:ascii="仿宋" w:hAnsi="仿宋" w:eastAsia="仿宋" w:cs="仿宋"/>
          <w:bCs/>
          <w:sz w:val="28"/>
          <w:szCs w:val="28"/>
          <w:highlight w:val="none"/>
        </w:rPr>
        <w:t>备注：资料要求密封并加盖单位公章，所提交资料恕不退回，请按要求准备文件，如未按要求提供资料，视为不能响应需求。提交时间为</w:t>
      </w:r>
      <w:r>
        <w:rPr>
          <w:rFonts w:hint="eastAsia" w:ascii="仿宋" w:hAnsi="仿宋" w:eastAsia="仿宋" w:cs="仿宋"/>
          <w:bCs/>
          <w:sz w:val="28"/>
          <w:szCs w:val="28"/>
          <w:highlight w:val="none"/>
          <w:lang w:val="en-US" w:eastAsia="zh-CN"/>
        </w:rPr>
        <w:t>2025</w:t>
      </w:r>
      <w:r>
        <w:rPr>
          <w:rFonts w:hint="eastAsia" w:ascii="仿宋" w:hAnsi="仿宋" w:eastAsia="仿宋" w:cs="仿宋"/>
          <w:bCs/>
          <w:sz w:val="28"/>
          <w:szCs w:val="28"/>
          <w:highlight w:val="none"/>
        </w:rPr>
        <w:t>年</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月</w:t>
      </w:r>
      <w:r>
        <w:rPr>
          <w:rFonts w:hint="eastAsia" w:ascii="仿宋" w:hAnsi="仿宋" w:eastAsia="仿宋" w:cs="仿宋"/>
          <w:bCs/>
          <w:sz w:val="28"/>
          <w:szCs w:val="28"/>
          <w:highlight w:val="none"/>
          <w:lang w:val="en-US" w:eastAsia="zh-CN"/>
        </w:rPr>
        <w:t>16</w:t>
      </w:r>
      <w:r>
        <w:rPr>
          <w:rFonts w:hint="eastAsia" w:ascii="仿宋" w:hAnsi="仿宋" w:eastAsia="仿宋" w:cs="仿宋"/>
          <w:bCs/>
          <w:sz w:val="28"/>
          <w:szCs w:val="28"/>
          <w:highlight w:val="none"/>
        </w:rPr>
        <w:t>日上午8:00—9:00</w:t>
      </w:r>
      <w:bookmarkStart w:id="1" w:name="_GoBack"/>
      <w:bookmarkEnd w:id="1"/>
      <w:r>
        <w:rPr>
          <w:rFonts w:hint="eastAsia" w:ascii="仿宋" w:hAnsi="仿宋" w:eastAsia="仿宋" w:cs="仿宋"/>
          <w:bCs/>
          <w:sz w:val="28"/>
          <w:szCs w:val="28"/>
          <w:highlight w:val="none"/>
        </w:rPr>
        <w:t>，逾期不予受理（可提前提交）。递交或邮寄地址：广西南宁市青秀区中山街道广西医科大学附属小学正门，黄工</w:t>
      </w:r>
      <w:r>
        <w:rPr>
          <w:rFonts w:ascii="仿宋" w:hAnsi="仿宋" w:eastAsia="仿宋" w:cs="仿宋"/>
          <w:bCs/>
          <w:sz w:val="28"/>
          <w:szCs w:val="28"/>
          <w:highlight w:val="none"/>
        </w:rPr>
        <w:t>0771-5356589</w:t>
      </w:r>
      <w:r>
        <w:rPr>
          <w:rFonts w:hint="eastAsia" w:ascii="仿宋" w:hAnsi="仿宋" w:eastAsia="仿宋" w:cs="仿宋"/>
          <w:bCs/>
          <w:sz w:val="28"/>
          <w:szCs w:val="28"/>
          <w:highlight w:val="none"/>
        </w:rPr>
        <w:t>。</w:t>
      </w:r>
    </w:p>
    <w:p w14:paraId="45B31CE6">
      <w:pPr>
        <w:tabs>
          <w:tab w:val="left" w:pos="3479"/>
        </w:tabs>
        <w:spacing w:line="520" w:lineRule="exact"/>
        <w:jc w:val="center"/>
        <w:rPr>
          <w:rFonts w:ascii="方正小标宋简体" w:hAnsi="方正小标宋简体" w:eastAsia="方正小标宋简体" w:cs="方正小标宋简体"/>
          <w:bCs/>
          <w:color w:val="000000"/>
          <w:sz w:val="32"/>
          <w:szCs w:val="32"/>
          <w:highlight w:val="none"/>
        </w:rPr>
      </w:pPr>
      <w:r>
        <w:rPr>
          <w:rFonts w:hint="eastAsia" w:ascii="方正小标宋简体" w:hAnsi="方正小标宋简体" w:eastAsia="方正小标宋简体" w:cs="方正小标宋简体"/>
          <w:bCs/>
          <w:color w:val="000000"/>
          <w:sz w:val="44"/>
          <w:szCs w:val="44"/>
          <w:highlight w:val="none"/>
        </w:rPr>
        <w:t xml:space="preserve"> 报  价  表</w:t>
      </w:r>
    </w:p>
    <w:p w14:paraId="44FA08ED">
      <w:pPr>
        <w:snapToGrid w:val="0"/>
        <w:spacing w:before="50" w:after="50" w:line="360" w:lineRule="auto"/>
        <w:rPr>
          <w:rFonts w:ascii="宋体" w:hAnsi="宋体" w:cs="仿宋_GB2312"/>
          <w:color w:val="000000"/>
          <w:sz w:val="24"/>
          <w:highlight w:val="none"/>
        </w:rPr>
      </w:pPr>
      <w:r>
        <w:rPr>
          <w:rFonts w:hint="eastAsia" w:ascii="宋体" w:hAnsi="宋体" w:cs="仿宋_GB2312"/>
          <w:color w:val="000000"/>
          <w:sz w:val="24"/>
          <w:highlight w:val="none"/>
        </w:rPr>
        <w:t xml:space="preserve">                    </w:t>
      </w:r>
    </w:p>
    <w:p w14:paraId="15CB1DDC">
      <w:pPr>
        <w:snapToGrid w:val="0"/>
        <w:spacing w:before="50" w:after="50" w:line="360" w:lineRule="auto"/>
        <w:ind w:firstLine="5520" w:firstLineChars="2300"/>
        <w:jc w:val="right"/>
        <w:rPr>
          <w:rFonts w:ascii="宋体" w:hAnsi="宋体" w:cs="仿宋_GB2312"/>
          <w:color w:val="000000"/>
          <w:sz w:val="24"/>
          <w:highlight w:val="none"/>
        </w:rPr>
      </w:pPr>
      <w:r>
        <w:rPr>
          <w:rFonts w:hint="eastAsia" w:ascii="宋体" w:hAnsi="宋体" w:cs="仿宋_GB2312"/>
          <w:color w:val="000000"/>
          <w:sz w:val="24"/>
          <w:highlight w:val="none"/>
        </w:rPr>
        <w:t>单位：元</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856"/>
        <w:gridCol w:w="936"/>
        <w:gridCol w:w="696"/>
        <w:gridCol w:w="1776"/>
        <w:gridCol w:w="1416"/>
      </w:tblGrid>
      <w:tr w14:paraId="0B153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6B4766D1">
            <w:pPr>
              <w:spacing w:line="220" w:lineRule="atLeast"/>
              <w:jc w:val="center"/>
              <w:rPr>
                <w:rFonts w:hint="eastAsia" w:ascii="宋体" w:hAnsi="宋体" w:eastAsia="宋体" w:cs="仿宋"/>
                <w:color w:val="000000"/>
                <w:sz w:val="24"/>
                <w:szCs w:val="22"/>
                <w:highlight w:val="none"/>
                <w:lang w:eastAsia="zh-CN"/>
              </w:rPr>
            </w:pPr>
            <w:r>
              <w:rPr>
                <w:rFonts w:hint="eastAsia" w:ascii="宋体" w:hAnsi="宋体" w:cs="仿宋"/>
                <w:color w:val="000000"/>
                <w:sz w:val="24"/>
                <w:szCs w:val="22"/>
                <w:highlight w:val="none"/>
                <w:lang w:eastAsia="zh-CN"/>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A316086">
            <w:pPr>
              <w:spacing w:line="220" w:lineRule="atLeast"/>
              <w:jc w:val="center"/>
              <w:rPr>
                <w:rFonts w:hint="eastAsia" w:ascii="宋体" w:hAnsi="宋体" w:eastAsia="宋体" w:cs="仿宋"/>
                <w:color w:val="000000"/>
                <w:sz w:val="24"/>
                <w:szCs w:val="22"/>
                <w:highlight w:val="none"/>
                <w:lang w:eastAsia="zh-CN"/>
              </w:rPr>
            </w:pPr>
            <w:r>
              <w:rPr>
                <w:rFonts w:hint="eastAsia" w:ascii="宋体" w:hAnsi="宋体" w:cs="仿宋"/>
                <w:color w:val="000000"/>
                <w:sz w:val="24"/>
                <w:szCs w:val="22"/>
                <w:highlight w:val="none"/>
                <w:lang w:eastAsia="zh-CN"/>
              </w:rPr>
              <w:t>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F2F004B">
            <w:pPr>
              <w:pStyle w:val="2"/>
              <w:rPr>
                <w:rFonts w:hint="eastAsia" w:eastAsia="宋体"/>
                <w:color w:val="000000"/>
                <w:highlight w:val="none"/>
                <w:lang w:val="en-US" w:eastAsia="zh-CN"/>
              </w:rPr>
            </w:pPr>
            <w:r>
              <w:rPr>
                <w:rFonts w:hint="eastAsia" w:hAnsi="宋体" w:cs="仿宋"/>
                <w:color w:val="000000"/>
                <w:sz w:val="24"/>
                <w:highlight w:val="none"/>
                <w:lang w:eastAsia="zh-CN"/>
              </w:rPr>
              <w:t>车位数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5AA1254">
            <w:pPr>
              <w:spacing w:line="220" w:lineRule="atLeast"/>
              <w:jc w:val="center"/>
              <w:rPr>
                <w:rFonts w:hint="eastAsia" w:ascii="宋体" w:hAnsi="宋体" w:cs="仿宋"/>
                <w:color w:val="000000"/>
                <w:sz w:val="24"/>
                <w:highlight w:val="none"/>
              </w:rPr>
            </w:pPr>
            <w:r>
              <w:rPr>
                <w:rFonts w:hint="eastAsia" w:ascii="宋体" w:hAnsi="宋体" w:cs="仿宋"/>
                <w:color w:val="000000"/>
                <w:sz w:val="24"/>
                <w:highlight w:val="none"/>
              </w:rPr>
              <w:t>月数</w:t>
            </w:r>
          </w:p>
          <w:p w14:paraId="4F321CCF">
            <w:pPr>
              <w:spacing w:line="220" w:lineRule="atLeast"/>
              <w:jc w:val="center"/>
              <w:rPr>
                <w:rFonts w:hint="eastAsia" w:ascii="宋体" w:hAnsi="宋体" w:cs="仿宋"/>
                <w:color w:val="000000"/>
                <w:sz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3D2D3DC">
            <w:pPr>
              <w:spacing w:line="220" w:lineRule="atLeast"/>
              <w:jc w:val="center"/>
              <w:rPr>
                <w:rFonts w:hint="eastAsia" w:ascii="宋体" w:hAnsi="宋体" w:cs="仿宋"/>
                <w:color w:val="000000"/>
                <w:sz w:val="24"/>
                <w:highlight w:val="none"/>
              </w:rPr>
            </w:pPr>
            <w:r>
              <w:rPr>
                <w:rFonts w:hint="eastAsia" w:ascii="宋体" w:hAnsi="宋体" w:cs="仿宋"/>
                <w:color w:val="000000"/>
                <w:sz w:val="24"/>
                <w:highlight w:val="none"/>
              </w:rPr>
              <w:t>单价（元/月）</w:t>
            </w:r>
          </w:p>
          <w:p w14:paraId="21BDE1A1">
            <w:pPr>
              <w:pStyle w:val="2"/>
              <w:rPr>
                <w:rFonts w:hint="eastAsia"/>
                <w:color w:val="000000"/>
                <w:highlight w:val="none"/>
                <w:lang w:val="en-US" w:eastAsia="zh-CN"/>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3EBAD0A7">
            <w:pPr>
              <w:spacing w:line="220" w:lineRule="atLeast"/>
              <w:jc w:val="center"/>
              <w:rPr>
                <w:rFonts w:hint="eastAsia" w:ascii="宋体" w:hAnsi="宋体" w:cs="仿宋"/>
                <w:color w:val="000000"/>
                <w:sz w:val="24"/>
                <w:highlight w:val="none"/>
              </w:rPr>
            </w:pPr>
            <w:r>
              <w:rPr>
                <w:rFonts w:hint="eastAsia" w:ascii="宋体" w:hAnsi="宋体" w:cs="仿宋"/>
                <w:color w:val="000000"/>
                <w:sz w:val="24"/>
                <w:highlight w:val="none"/>
              </w:rPr>
              <w:t>总价（元）</w:t>
            </w:r>
          </w:p>
          <w:p w14:paraId="16BDA517">
            <w:pPr>
              <w:pStyle w:val="2"/>
              <w:rPr>
                <w:rFonts w:hint="default"/>
                <w:color w:val="000000"/>
                <w:highlight w:val="none"/>
                <w:lang w:val="en-US" w:eastAsia="zh-CN"/>
              </w:rPr>
            </w:pPr>
            <w:r>
              <w:rPr>
                <w:rFonts w:hint="eastAsia"/>
                <w:color w:val="000000"/>
                <w:highlight w:val="none"/>
                <w:lang w:val="en-US" w:eastAsia="zh-CN"/>
              </w:rPr>
              <w:t>=月数*单价</w:t>
            </w:r>
          </w:p>
        </w:tc>
      </w:tr>
      <w:tr w14:paraId="05E3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14:paraId="3E38CDDD">
            <w:pPr>
              <w:spacing w:line="220" w:lineRule="atLeast"/>
              <w:jc w:val="center"/>
              <w:rPr>
                <w:rFonts w:hint="eastAsia" w:ascii="宋体" w:hAnsi="宋体" w:eastAsia="宋体" w:cs="仿宋"/>
                <w:color w:val="000000"/>
                <w:sz w:val="24"/>
                <w:highlight w:val="none"/>
                <w:lang w:eastAsia="zh-CN"/>
              </w:rPr>
            </w:pPr>
            <w:r>
              <w:rPr>
                <w:rFonts w:hint="eastAsia" w:ascii="宋体" w:hAnsi="宋体" w:cs="仿宋"/>
                <w:color w:val="000000"/>
                <w:sz w:val="24"/>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EC83BA6">
            <w:pPr>
              <w:spacing w:line="220" w:lineRule="atLeast"/>
              <w:jc w:val="center"/>
              <w:rPr>
                <w:rFonts w:hint="eastAsia" w:ascii="宋体" w:hAnsi="宋体" w:cs="仿宋"/>
                <w:color w:val="000000"/>
                <w:sz w:val="24"/>
                <w:highlight w:val="none"/>
              </w:rPr>
            </w:pPr>
            <w:r>
              <w:rPr>
                <w:rFonts w:hint="eastAsia" w:ascii="宋体" w:hAnsi="宋体" w:cs="仿宋"/>
                <w:color w:val="000000"/>
                <w:sz w:val="24"/>
                <w:highlight w:val="none"/>
              </w:rPr>
              <w:t>机械式停车设备维保服务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14B0AAD">
            <w:pPr>
              <w:spacing w:line="220" w:lineRule="atLeast"/>
              <w:jc w:val="center"/>
              <w:rPr>
                <w:rFonts w:hint="default" w:ascii="宋体" w:hAnsi="宋体" w:eastAsia="宋体" w:cs="仿宋"/>
                <w:color w:val="000000"/>
                <w:sz w:val="24"/>
                <w:highlight w:val="none"/>
                <w:lang w:val="en-US" w:eastAsia="zh-CN"/>
              </w:rPr>
            </w:pPr>
            <w:r>
              <w:rPr>
                <w:rFonts w:hint="eastAsia" w:ascii="宋体" w:hAnsi="宋体" w:cs="仿宋"/>
                <w:color w:val="000000"/>
                <w:sz w:val="24"/>
                <w:highlight w:val="none"/>
                <w:lang w:val="en-US" w:eastAsia="zh-CN"/>
              </w:rPr>
              <w:t>340</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26F4E79">
            <w:pPr>
              <w:spacing w:line="220" w:lineRule="atLeast"/>
              <w:jc w:val="center"/>
              <w:rPr>
                <w:rFonts w:hint="default" w:ascii="宋体" w:hAnsi="宋体" w:eastAsia="宋体" w:cs="仿宋"/>
                <w:color w:val="000000"/>
                <w:sz w:val="24"/>
                <w:highlight w:val="none"/>
                <w:lang w:val="en-US" w:eastAsia="zh-CN"/>
              </w:rPr>
            </w:pPr>
            <w:r>
              <w:rPr>
                <w:rFonts w:hint="eastAsia" w:ascii="宋体" w:hAnsi="宋体" w:cs="仿宋"/>
                <w:color w:val="000000"/>
                <w:sz w:val="24"/>
                <w:highlight w:val="none"/>
                <w:lang w:val="en-US" w:eastAsia="zh-CN"/>
              </w:rPr>
              <w:t>24</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C2C2BF">
            <w:pPr>
              <w:spacing w:line="220" w:lineRule="atLeast"/>
              <w:jc w:val="center"/>
              <w:rPr>
                <w:rFonts w:hint="eastAsia" w:ascii="宋体" w:hAnsi="宋体" w:cs="仿宋"/>
                <w:color w:val="000000"/>
                <w:sz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14:paraId="2FA0BE9E">
            <w:pPr>
              <w:spacing w:line="220" w:lineRule="atLeast"/>
              <w:jc w:val="center"/>
              <w:rPr>
                <w:rFonts w:hint="eastAsia" w:ascii="宋体" w:hAnsi="宋体" w:cs="仿宋"/>
                <w:color w:val="000000"/>
                <w:sz w:val="24"/>
                <w:highlight w:val="none"/>
              </w:rPr>
            </w:pPr>
          </w:p>
        </w:tc>
      </w:tr>
      <w:tr w14:paraId="1531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14:paraId="7A0AFE5E">
            <w:pPr>
              <w:spacing w:line="220" w:lineRule="atLeast"/>
              <w:jc w:val="center"/>
              <w:rPr>
                <w:rFonts w:hint="eastAsia" w:ascii="宋体" w:hAnsi="宋体" w:cs="仿宋"/>
                <w:color w:val="000000"/>
                <w:sz w:val="24"/>
                <w:highlight w:val="none"/>
              </w:rPr>
            </w:pPr>
            <w:r>
              <w:rPr>
                <w:rFonts w:hint="eastAsia" w:ascii="宋体" w:hAnsi="宋体" w:cs="仿宋"/>
                <w:color w:val="000000"/>
                <w:sz w:val="24"/>
                <w:highlight w:val="none"/>
              </w:rPr>
              <w:t>合计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37095F7A">
            <w:pPr>
              <w:spacing w:line="220" w:lineRule="atLeast"/>
              <w:jc w:val="center"/>
              <w:rPr>
                <w:rFonts w:hint="eastAsia" w:ascii="宋体" w:hAnsi="宋体" w:cs="仿宋"/>
                <w:color w:val="000000"/>
                <w:sz w:val="24"/>
                <w:highlight w:val="none"/>
              </w:rPr>
            </w:pPr>
          </w:p>
        </w:tc>
      </w:tr>
      <w:tr w14:paraId="31F1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0" w:type="auto"/>
            <w:gridSpan w:val="6"/>
            <w:tcBorders>
              <w:top w:val="single" w:color="auto" w:sz="4" w:space="0"/>
              <w:left w:val="single" w:color="auto" w:sz="4" w:space="0"/>
              <w:bottom w:val="single" w:color="auto" w:sz="4" w:space="0"/>
              <w:right w:val="single" w:color="auto" w:sz="4" w:space="0"/>
            </w:tcBorders>
            <w:noWrap w:val="0"/>
            <w:vAlign w:val="top"/>
          </w:tcPr>
          <w:p w14:paraId="124BD9DC">
            <w:pPr>
              <w:spacing w:line="220" w:lineRule="atLeast"/>
              <w:rPr>
                <w:rFonts w:hint="eastAsia" w:ascii="宋体" w:hAnsi="宋体"/>
                <w:color w:val="000000"/>
                <w:sz w:val="24"/>
                <w:highlight w:val="none"/>
              </w:rPr>
            </w:pPr>
            <w:r>
              <w:rPr>
                <w:rFonts w:hint="eastAsia" w:ascii="宋体" w:hAnsi="宋体" w:cs="仿宋_GB2312"/>
                <w:color w:val="000000"/>
                <w:sz w:val="24"/>
                <w:highlight w:val="none"/>
              </w:rPr>
              <w:t>合计金额大写：人民币</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u w:val="single"/>
                <w:lang w:val="en-US" w:eastAsia="zh-CN"/>
              </w:rPr>
              <w:t xml:space="preserve">     </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w:t>
            </w:r>
            <w:r>
              <w:rPr>
                <w:rFonts w:hint="eastAsia" w:ascii="宋体" w:hAnsi="宋体" w:cs="仿宋_GB2312"/>
                <w:color w:val="000000"/>
                <w:sz w:val="24"/>
                <w:highlight w:val="none"/>
                <w:u w:val="single"/>
              </w:rPr>
              <w:t xml:space="preserve">           </w:t>
            </w:r>
            <w:r>
              <w:rPr>
                <w:rFonts w:hint="eastAsia" w:ascii="宋体" w:hAnsi="宋体" w:cs="仿宋_GB2312"/>
                <w:color w:val="000000"/>
                <w:sz w:val="24"/>
                <w:highlight w:val="none"/>
              </w:rPr>
              <w:t>）</w:t>
            </w:r>
          </w:p>
        </w:tc>
      </w:tr>
      <w:tr w14:paraId="2C2E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0" w:type="auto"/>
            <w:gridSpan w:val="6"/>
            <w:tcBorders>
              <w:top w:val="single" w:color="auto" w:sz="4" w:space="0"/>
              <w:left w:val="single" w:color="auto" w:sz="4" w:space="0"/>
              <w:bottom w:val="single" w:color="auto" w:sz="4" w:space="0"/>
              <w:right w:val="single" w:color="auto" w:sz="4" w:space="0"/>
            </w:tcBorders>
            <w:noWrap w:val="0"/>
            <w:vAlign w:val="top"/>
          </w:tcPr>
          <w:p w14:paraId="50339B47">
            <w:pPr>
              <w:spacing w:line="220" w:lineRule="atLeast"/>
              <w:rPr>
                <w:rFonts w:hint="default" w:ascii="宋体" w:hAnsi="宋体" w:eastAsia="宋体" w:cs="仿宋_GB2312"/>
                <w:color w:val="000000"/>
                <w:sz w:val="24"/>
                <w:highlight w:val="none"/>
                <w:lang w:val="en-US" w:eastAsia="zh-CN"/>
              </w:rPr>
            </w:pPr>
            <w:r>
              <w:rPr>
                <w:rFonts w:hint="eastAsia" w:ascii="宋体" w:hAnsi="宋体" w:cs="仿宋_GB2312"/>
                <w:color w:val="000000"/>
                <w:sz w:val="24"/>
                <w:highlight w:val="none"/>
                <w:lang w:eastAsia="zh-CN"/>
              </w:rPr>
              <w:t>供应商名称：</w:t>
            </w:r>
            <w:r>
              <w:rPr>
                <w:rFonts w:hint="eastAsia" w:ascii="宋体" w:hAnsi="宋体" w:cs="仿宋_GB2312"/>
                <w:color w:val="000000"/>
                <w:sz w:val="24"/>
                <w:highlight w:val="none"/>
                <w:lang w:val="en-US" w:eastAsia="zh-CN"/>
              </w:rPr>
              <w:t>xxx（公章）</w:t>
            </w:r>
          </w:p>
        </w:tc>
      </w:tr>
    </w:tbl>
    <w:p w14:paraId="3376781A">
      <w:pPr>
        <w:spacing w:line="360" w:lineRule="auto"/>
        <w:ind w:right="-817" w:rightChars="-389" w:firstLine="2640" w:firstLineChars="1100"/>
        <w:contextualSpacing/>
        <w:rPr>
          <w:rFonts w:ascii="宋体" w:hAnsi="宋体" w:cs="仿宋_GB2312"/>
          <w:color w:val="000000"/>
          <w:sz w:val="24"/>
          <w:highlight w:val="none"/>
        </w:rPr>
      </w:pPr>
    </w:p>
    <w:p w14:paraId="1618B262">
      <w:pPr>
        <w:spacing w:line="360" w:lineRule="auto"/>
        <w:ind w:right="-817" w:rightChars="-389"/>
        <w:contextualSpacing/>
        <w:jc w:val="center"/>
        <w:rPr>
          <w:rFonts w:ascii="仿宋_GB2312" w:hAnsi="仿宋_GB2312" w:eastAsia="仿宋_GB2312" w:cs="仿宋_GB2312"/>
          <w:b/>
          <w:color w:val="000000"/>
          <w:sz w:val="32"/>
          <w:szCs w:val="32"/>
          <w:highlight w:val="none"/>
        </w:rPr>
      </w:pPr>
      <w:r>
        <w:rPr>
          <w:rFonts w:hint="eastAsia" w:ascii="宋体" w:hAnsi="宋体" w:cs="仿宋_GB2312"/>
          <w:color w:val="000000"/>
          <w:sz w:val="24"/>
          <w:highlight w:val="none"/>
          <w:lang w:val="en-US" w:eastAsia="zh-CN"/>
        </w:rPr>
        <w:t xml:space="preserve">       </w:t>
      </w:r>
      <w:r>
        <w:rPr>
          <w:rFonts w:hint="eastAsia" w:ascii="宋体" w:hAnsi="宋体" w:cs="仿宋_GB2312"/>
          <w:color w:val="000000"/>
          <w:sz w:val="24"/>
          <w:highlight w:val="none"/>
        </w:rPr>
        <w:t>日期：   年   月   日</w:t>
      </w:r>
    </w:p>
    <w:p w14:paraId="5B598548">
      <w:pPr>
        <w:rPr>
          <w:highlight w:val="none"/>
        </w:rPr>
        <w:sectPr>
          <w:pgSz w:w="11906" w:h="16838"/>
          <w:pgMar w:top="1418" w:right="1555" w:bottom="1418" w:left="1531" w:header="851" w:footer="992" w:gutter="0"/>
          <w:pgNumType w:fmt="decimal"/>
          <w:cols w:space="720" w:num="1"/>
          <w:titlePg/>
          <w:docGrid w:type="lines" w:linePitch="312" w:charSpace="0"/>
        </w:sectPr>
      </w:pPr>
    </w:p>
    <w:p w14:paraId="0F69B548">
      <w:pPr>
        <w:snapToGrid w:val="0"/>
        <w:spacing w:before="50" w:afterLines="50"/>
        <w:jc w:val="center"/>
        <w:rPr>
          <w:rFonts w:ascii="宋体" w:hAnsi="宋体" w:cs="宋体"/>
          <w:b/>
          <w:color w:val="000000"/>
          <w:sz w:val="32"/>
          <w:szCs w:val="32"/>
          <w:highlight w:val="none"/>
        </w:rPr>
      </w:pPr>
      <w:r>
        <w:rPr>
          <w:rFonts w:hint="eastAsia" w:ascii="宋体" w:hAnsi="宋体" w:cs="宋体"/>
          <w:b/>
          <w:color w:val="000000"/>
          <w:sz w:val="32"/>
          <w:szCs w:val="32"/>
          <w:highlight w:val="none"/>
        </w:rPr>
        <w:t>声明函</w:t>
      </w:r>
    </w:p>
    <w:p w14:paraId="41AC0277">
      <w:pPr>
        <w:tabs>
          <w:tab w:val="left" w:pos="7200"/>
        </w:tabs>
        <w:spacing w:line="360" w:lineRule="auto"/>
        <w:rPr>
          <w:rFonts w:ascii="宋体" w:hAnsi="宋体" w:cs="宋体"/>
          <w:color w:val="000000"/>
          <w:szCs w:val="21"/>
          <w:highlight w:val="none"/>
        </w:rPr>
      </w:pPr>
      <w:r>
        <w:rPr>
          <w:rFonts w:hint="eastAsia" w:ascii="宋体" w:hAnsi="宋体" w:cs="宋体"/>
          <w:color w:val="000000"/>
          <w:szCs w:val="21"/>
          <w:highlight w:val="none"/>
        </w:rPr>
        <w:t>致：_</w:t>
      </w:r>
      <w:r>
        <w:rPr>
          <w:rFonts w:hint="eastAsia" w:ascii="宋体" w:hAnsi="宋体" w:cs="宋体"/>
          <w:color w:val="000000"/>
          <w:szCs w:val="21"/>
          <w:highlight w:val="none"/>
          <w:u w:val="single"/>
        </w:rPr>
        <w:t xml:space="preserve">  广西医科大学第一附属医院 </w:t>
      </w:r>
    </w:p>
    <w:p w14:paraId="7FB23DAA">
      <w:pPr>
        <w:snapToGrid w:val="0"/>
        <w:ind w:firstLine="420" w:firstLineChars="200"/>
        <w:jc w:val="left"/>
        <w:rPr>
          <w:b/>
          <w:bCs/>
          <w:color w:val="000000"/>
          <w:szCs w:val="21"/>
          <w:highlight w:val="none"/>
          <w:u w:val="single"/>
        </w:rPr>
      </w:pPr>
      <w:r>
        <w:rPr>
          <w:rFonts w:hint="eastAsia" w:ascii="宋体" w:hAnsi="宋体" w:cs="宋体"/>
          <w:color w:val="000000"/>
          <w:szCs w:val="21"/>
          <w:highlight w:val="none"/>
        </w:rPr>
        <w:t>我方愿意参加贵方组织的</w:t>
      </w:r>
      <w:r>
        <w:rPr>
          <w:rFonts w:hint="eastAsia" w:ascii="宋体" w:hAnsi="宋体" w:cs="宋体"/>
          <w:color w:val="000000"/>
          <w:szCs w:val="21"/>
          <w:highlight w:val="none"/>
          <w:u w:val="single"/>
        </w:rPr>
        <w:t>机械式停车设备维保服务</w:t>
      </w:r>
      <w:r>
        <w:rPr>
          <w:rFonts w:hint="eastAsia" w:ascii="宋体" w:hAnsi="宋体" w:cs="宋体"/>
          <w:color w:val="000000"/>
          <w:szCs w:val="21"/>
          <w:highlight w:val="none"/>
        </w:rPr>
        <w:t>项目的竞标，为便于贵方公正、择优地确定</w:t>
      </w:r>
      <w:r>
        <w:rPr>
          <w:rFonts w:hint="eastAsia" w:ascii="宋体" w:hAnsi="宋体" w:cs="宋体"/>
          <w:color w:val="000000"/>
          <w:szCs w:val="21"/>
          <w:highlight w:val="none"/>
          <w:lang w:eastAsia="zh-CN"/>
        </w:rPr>
        <w:t>供应商</w:t>
      </w:r>
      <w:r>
        <w:rPr>
          <w:rFonts w:hint="eastAsia" w:ascii="宋体" w:hAnsi="宋体" w:cs="宋体"/>
          <w:color w:val="000000"/>
          <w:szCs w:val="21"/>
          <w:highlight w:val="none"/>
        </w:rPr>
        <w:t>，我方声明如下：</w:t>
      </w:r>
    </w:p>
    <w:p w14:paraId="2C16B8C9">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xml:space="preserve">1. 我方不是为本次采购项目提供整体设计、规范编制或者项目管理、监理、检测等货物的供应商；在获知本项目采购信息后，与采购人聘请的为此项目提供咨询货物的公司及其附属机构没有任何联系。其他关系详见“公司直接控股股东信息表”、“ 公司直接管理关系信息表”。 </w:t>
      </w:r>
    </w:p>
    <w:p w14:paraId="51FAC03E">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2.经查询，在“信用中国”和“中国政府采购网”网站我方未被列入失信被执行人、重大税收违法案件当事人名单、政府采购严重违法失信行为记录名单。</w:t>
      </w:r>
    </w:p>
    <w:p w14:paraId="2A284CAE">
      <w:pPr>
        <w:pStyle w:val="18"/>
        <w:spacing w:after="120"/>
        <w:ind w:firstLine="420" w:firstLineChars="200"/>
        <w:rPr>
          <w:rFonts w:cs="宋体"/>
          <w:color w:val="000000"/>
          <w:szCs w:val="21"/>
          <w:highlight w:val="none"/>
        </w:rPr>
      </w:pPr>
      <w:r>
        <w:rPr>
          <w:rFonts w:cs="宋体"/>
          <w:color w:val="000000"/>
          <w:sz w:val="21"/>
          <w:szCs w:val="21"/>
          <w:highlight w:val="none"/>
        </w:rPr>
        <w:t>3</w:t>
      </w:r>
      <w:r>
        <w:rPr>
          <w:rFonts w:hint="eastAsia" w:cs="宋体"/>
          <w:color w:val="000000"/>
          <w:sz w:val="21"/>
          <w:szCs w:val="21"/>
          <w:highlight w:val="none"/>
        </w:rPr>
        <w:t>、我方有以下行为之一的，同意贵方将我方列入不良行为记录：</w:t>
      </w:r>
      <w:r>
        <w:rPr>
          <w:rFonts w:cs="宋体"/>
          <w:color w:val="000000"/>
          <w:sz w:val="21"/>
          <w:szCs w:val="21"/>
          <w:highlight w:val="none"/>
        </w:rPr>
        <w:t xml:space="preserve"> </w:t>
      </w:r>
    </w:p>
    <w:p w14:paraId="694B18FE">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1)</w:t>
      </w:r>
      <w:r>
        <w:rPr>
          <w:rFonts w:cs="宋体"/>
          <w:color w:val="000000"/>
          <w:sz w:val="21"/>
          <w:szCs w:val="21"/>
          <w:highlight w:val="none"/>
        </w:rPr>
        <w:tab/>
      </w:r>
      <w:r>
        <w:rPr>
          <w:rFonts w:hint="eastAsia" w:cs="宋体"/>
          <w:color w:val="000000"/>
          <w:sz w:val="21"/>
          <w:szCs w:val="21"/>
          <w:highlight w:val="none"/>
        </w:rPr>
        <w:t>提供虚假材料谋取中标、成交的。</w:t>
      </w:r>
      <w:r>
        <w:rPr>
          <w:rFonts w:cs="宋体"/>
          <w:color w:val="000000"/>
          <w:sz w:val="21"/>
          <w:szCs w:val="21"/>
          <w:highlight w:val="none"/>
        </w:rPr>
        <w:t xml:space="preserve"> </w:t>
      </w:r>
    </w:p>
    <w:p w14:paraId="49632361">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2)</w:t>
      </w:r>
      <w:r>
        <w:rPr>
          <w:rFonts w:cs="宋体"/>
          <w:color w:val="000000"/>
          <w:sz w:val="21"/>
          <w:szCs w:val="21"/>
          <w:highlight w:val="none"/>
        </w:rPr>
        <w:tab/>
      </w:r>
      <w:r>
        <w:rPr>
          <w:rFonts w:hint="eastAsia" w:cs="宋体"/>
          <w:color w:val="000000"/>
          <w:sz w:val="21"/>
          <w:szCs w:val="21"/>
          <w:highlight w:val="none"/>
        </w:rPr>
        <w:t>采取不正当手段诋毁、排挤其他供应商的。</w:t>
      </w:r>
      <w:r>
        <w:rPr>
          <w:rFonts w:cs="宋体"/>
          <w:color w:val="000000"/>
          <w:sz w:val="21"/>
          <w:szCs w:val="21"/>
          <w:highlight w:val="none"/>
        </w:rPr>
        <w:t xml:space="preserve"> </w:t>
      </w:r>
    </w:p>
    <w:p w14:paraId="6E8F6EFE">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3)</w:t>
      </w:r>
      <w:r>
        <w:rPr>
          <w:rFonts w:cs="宋体"/>
          <w:color w:val="000000"/>
          <w:sz w:val="21"/>
          <w:szCs w:val="21"/>
          <w:highlight w:val="none"/>
        </w:rPr>
        <w:tab/>
      </w:r>
      <w:r>
        <w:rPr>
          <w:rFonts w:hint="eastAsia" w:cs="宋体"/>
          <w:color w:val="000000"/>
          <w:sz w:val="21"/>
          <w:szCs w:val="21"/>
          <w:highlight w:val="none"/>
        </w:rPr>
        <w:t>与我院工作人员、其他供应商或者招标代理机构恶意串通的。</w:t>
      </w:r>
      <w:r>
        <w:rPr>
          <w:rFonts w:cs="宋体"/>
          <w:color w:val="000000"/>
          <w:sz w:val="21"/>
          <w:szCs w:val="21"/>
          <w:highlight w:val="none"/>
        </w:rPr>
        <w:t xml:space="preserve"> </w:t>
      </w:r>
    </w:p>
    <w:p w14:paraId="609FCECC">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4)</w:t>
      </w:r>
      <w:r>
        <w:rPr>
          <w:rFonts w:cs="宋体"/>
          <w:color w:val="000000"/>
          <w:sz w:val="21"/>
          <w:szCs w:val="21"/>
          <w:highlight w:val="none"/>
        </w:rPr>
        <w:tab/>
      </w:r>
      <w:r>
        <w:rPr>
          <w:rFonts w:hint="eastAsia" w:cs="宋体"/>
          <w:color w:val="000000"/>
          <w:sz w:val="21"/>
          <w:szCs w:val="21"/>
          <w:highlight w:val="none"/>
        </w:rPr>
        <w:t>向我院工作人员、招标代理机构行贿或者提供其他不正当利益的。</w:t>
      </w:r>
      <w:r>
        <w:rPr>
          <w:rFonts w:cs="宋体"/>
          <w:color w:val="000000"/>
          <w:sz w:val="21"/>
          <w:szCs w:val="21"/>
          <w:highlight w:val="none"/>
        </w:rPr>
        <w:t xml:space="preserve"> </w:t>
      </w:r>
    </w:p>
    <w:p w14:paraId="66D77C1F">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5)</w:t>
      </w:r>
      <w:r>
        <w:rPr>
          <w:rFonts w:cs="宋体"/>
          <w:color w:val="000000"/>
          <w:sz w:val="21"/>
          <w:szCs w:val="21"/>
          <w:highlight w:val="none"/>
        </w:rPr>
        <w:tab/>
      </w:r>
      <w:r>
        <w:rPr>
          <w:rFonts w:hint="eastAsia" w:cs="宋体"/>
          <w:color w:val="000000"/>
          <w:sz w:val="21"/>
          <w:szCs w:val="21"/>
          <w:highlight w:val="none"/>
        </w:rPr>
        <w:t>在招标采购过程中与采购人进行协商谈判的。</w:t>
      </w:r>
      <w:r>
        <w:rPr>
          <w:rFonts w:cs="宋体"/>
          <w:color w:val="000000"/>
          <w:sz w:val="21"/>
          <w:szCs w:val="21"/>
          <w:highlight w:val="none"/>
        </w:rPr>
        <w:t xml:space="preserve"> </w:t>
      </w:r>
    </w:p>
    <w:p w14:paraId="2E8FB5F6">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6)</w:t>
      </w:r>
      <w:r>
        <w:rPr>
          <w:rFonts w:cs="宋体"/>
          <w:color w:val="000000"/>
          <w:sz w:val="21"/>
          <w:szCs w:val="21"/>
          <w:highlight w:val="none"/>
        </w:rPr>
        <w:tab/>
      </w:r>
      <w:r>
        <w:rPr>
          <w:rFonts w:hint="eastAsia" w:cs="宋体"/>
          <w:color w:val="000000"/>
          <w:sz w:val="21"/>
          <w:szCs w:val="21"/>
          <w:highlight w:val="none"/>
        </w:rPr>
        <w:t>拒绝有关部门监督检查或者提供虚假情况的。</w:t>
      </w:r>
      <w:r>
        <w:rPr>
          <w:rFonts w:cs="宋体"/>
          <w:color w:val="000000"/>
          <w:sz w:val="21"/>
          <w:szCs w:val="21"/>
          <w:highlight w:val="none"/>
        </w:rPr>
        <w:t xml:space="preserve"> </w:t>
      </w:r>
    </w:p>
    <w:p w14:paraId="31B05D1B">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7)</w:t>
      </w:r>
      <w:r>
        <w:rPr>
          <w:rFonts w:cs="宋体"/>
          <w:color w:val="000000"/>
          <w:sz w:val="21"/>
          <w:szCs w:val="21"/>
          <w:highlight w:val="none"/>
        </w:rPr>
        <w:tab/>
      </w:r>
      <w:r>
        <w:rPr>
          <w:rFonts w:hint="eastAsia" w:cs="宋体"/>
          <w:color w:val="000000"/>
          <w:sz w:val="21"/>
          <w:szCs w:val="21"/>
          <w:highlight w:val="none"/>
        </w:rPr>
        <w:t>供应商向采购小组、竞争性谈判小组或者询价小组成员行贿或者提供其他不正当利益。</w:t>
      </w:r>
      <w:r>
        <w:rPr>
          <w:rFonts w:cs="宋体"/>
          <w:color w:val="000000"/>
          <w:sz w:val="21"/>
          <w:szCs w:val="21"/>
          <w:highlight w:val="none"/>
        </w:rPr>
        <w:t xml:space="preserve"> </w:t>
      </w:r>
    </w:p>
    <w:p w14:paraId="69CD0740">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8)</w:t>
      </w:r>
      <w:r>
        <w:rPr>
          <w:rFonts w:cs="宋体"/>
          <w:color w:val="000000"/>
          <w:sz w:val="21"/>
          <w:szCs w:val="21"/>
          <w:highlight w:val="none"/>
        </w:rPr>
        <w:tab/>
      </w:r>
      <w:r>
        <w:rPr>
          <w:rFonts w:hint="eastAsia" w:cs="宋体"/>
          <w:color w:val="000000"/>
          <w:sz w:val="21"/>
          <w:szCs w:val="21"/>
          <w:highlight w:val="none"/>
        </w:rPr>
        <w:t>中标或者成交后无正当理由拒不与我院签订采购合同。</w:t>
      </w:r>
      <w:r>
        <w:rPr>
          <w:rFonts w:cs="宋体"/>
          <w:color w:val="000000"/>
          <w:sz w:val="21"/>
          <w:szCs w:val="21"/>
          <w:highlight w:val="none"/>
        </w:rPr>
        <w:t xml:space="preserve"> </w:t>
      </w:r>
    </w:p>
    <w:p w14:paraId="48E3CBEF">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9)</w:t>
      </w:r>
      <w:r>
        <w:rPr>
          <w:rFonts w:cs="宋体"/>
          <w:color w:val="000000"/>
          <w:sz w:val="21"/>
          <w:szCs w:val="21"/>
          <w:highlight w:val="none"/>
        </w:rPr>
        <w:tab/>
      </w:r>
      <w:r>
        <w:rPr>
          <w:rFonts w:hint="eastAsia" w:cs="宋体"/>
          <w:color w:val="000000"/>
          <w:sz w:val="21"/>
          <w:szCs w:val="21"/>
          <w:highlight w:val="none"/>
        </w:rPr>
        <w:t>供应商将采购合同分包、转包（采购合同未禁止分包、</w:t>
      </w:r>
      <w:r>
        <w:rPr>
          <w:rFonts w:cs="宋体"/>
          <w:color w:val="000000"/>
          <w:sz w:val="21"/>
          <w:szCs w:val="21"/>
          <w:highlight w:val="none"/>
        </w:rPr>
        <w:t xml:space="preserve"> </w:t>
      </w:r>
      <w:r>
        <w:rPr>
          <w:rFonts w:hint="eastAsia" w:cs="宋体"/>
          <w:color w:val="000000"/>
          <w:sz w:val="21"/>
          <w:szCs w:val="21"/>
          <w:highlight w:val="none"/>
        </w:rPr>
        <w:t>转包的除外）。</w:t>
      </w:r>
      <w:r>
        <w:rPr>
          <w:rFonts w:cs="宋体"/>
          <w:color w:val="000000"/>
          <w:sz w:val="21"/>
          <w:szCs w:val="21"/>
          <w:highlight w:val="none"/>
        </w:rPr>
        <w:t xml:space="preserve"> </w:t>
      </w:r>
    </w:p>
    <w:p w14:paraId="60F8CEFE">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10)</w:t>
      </w:r>
      <w:r>
        <w:rPr>
          <w:rFonts w:cs="宋体"/>
          <w:color w:val="000000"/>
          <w:sz w:val="21"/>
          <w:szCs w:val="21"/>
          <w:highlight w:val="none"/>
        </w:rPr>
        <w:tab/>
      </w:r>
      <w:r>
        <w:rPr>
          <w:rFonts w:hint="eastAsia" w:cs="宋体"/>
          <w:color w:val="000000"/>
          <w:sz w:val="21"/>
          <w:szCs w:val="21"/>
          <w:highlight w:val="none"/>
        </w:rPr>
        <w:t>供应商提供假冒伪劣产品。</w:t>
      </w:r>
      <w:r>
        <w:rPr>
          <w:rFonts w:cs="宋体"/>
          <w:color w:val="000000"/>
          <w:sz w:val="21"/>
          <w:szCs w:val="21"/>
          <w:highlight w:val="none"/>
        </w:rPr>
        <w:t xml:space="preserve"> </w:t>
      </w:r>
    </w:p>
    <w:p w14:paraId="0051B4A7">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11)</w:t>
      </w:r>
      <w:r>
        <w:rPr>
          <w:rFonts w:cs="宋体"/>
          <w:color w:val="000000"/>
          <w:sz w:val="21"/>
          <w:szCs w:val="21"/>
          <w:highlight w:val="none"/>
        </w:rPr>
        <w:tab/>
      </w:r>
      <w:r>
        <w:rPr>
          <w:rFonts w:hint="eastAsia" w:cs="宋体"/>
          <w:color w:val="000000"/>
          <w:sz w:val="21"/>
          <w:szCs w:val="21"/>
          <w:highlight w:val="none"/>
        </w:rPr>
        <w:t>供应商捏造事实、提供虚假材料或者以非法手段取得证明材料进行投诉的。</w:t>
      </w:r>
      <w:r>
        <w:rPr>
          <w:rFonts w:cs="宋体"/>
          <w:color w:val="000000"/>
          <w:sz w:val="21"/>
          <w:szCs w:val="21"/>
          <w:highlight w:val="none"/>
        </w:rPr>
        <w:t xml:space="preserve"> </w:t>
      </w:r>
    </w:p>
    <w:p w14:paraId="1B7BFAE5">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12)</w:t>
      </w:r>
      <w:r>
        <w:rPr>
          <w:rFonts w:cs="宋体"/>
          <w:color w:val="000000"/>
          <w:sz w:val="21"/>
          <w:szCs w:val="21"/>
          <w:highlight w:val="none"/>
        </w:rPr>
        <w:tab/>
      </w:r>
      <w:r>
        <w:rPr>
          <w:rFonts w:hint="eastAsia" w:cs="宋体"/>
          <w:color w:val="000000"/>
          <w:sz w:val="21"/>
          <w:szCs w:val="21"/>
          <w:highlight w:val="none"/>
        </w:rPr>
        <w:t>供应商擅自变更、中止或者终止采购合同。</w:t>
      </w:r>
      <w:r>
        <w:rPr>
          <w:rFonts w:cs="宋体"/>
          <w:color w:val="000000"/>
          <w:sz w:val="21"/>
          <w:szCs w:val="21"/>
          <w:highlight w:val="none"/>
        </w:rPr>
        <w:t xml:space="preserve"> </w:t>
      </w:r>
    </w:p>
    <w:p w14:paraId="4D136635">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13)</w:t>
      </w:r>
      <w:r>
        <w:rPr>
          <w:rFonts w:cs="宋体"/>
          <w:color w:val="000000"/>
          <w:sz w:val="21"/>
          <w:szCs w:val="21"/>
          <w:highlight w:val="none"/>
        </w:rPr>
        <w:tab/>
      </w:r>
      <w:r>
        <w:rPr>
          <w:rFonts w:hint="eastAsia" w:cs="宋体"/>
          <w:color w:val="000000"/>
          <w:sz w:val="21"/>
          <w:szCs w:val="21"/>
          <w:highlight w:val="none"/>
        </w:rPr>
        <w:t>供应商直接或者间接从我院工作人员或者采购代理机构处获得其他供应商的相关情况并修改其报价文件或者响应文件。</w:t>
      </w:r>
      <w:r>
        <w:rPr>
          <w:rFonts w:cs="宋体"/>
          <w:color w:val="000000"/>
          <w:sz w:val="21"/>
          <w:szCs w:val="21"/>
          <w:highlight w:val="none"/>
        </w:rPr>
        <w:t xml:space="preserve"> </w:t>
      </w:r>
    </w:p>
    <w:p w14:paraId="1FB79315">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14)</w:t>
      </w:r>
      <w:r>
        <w:rPr>
          <w:rFonts w:cs="宋体"/>
          <w:color w:val="000000"/>
          <w:sz w:val="21"/>
          <w:szCs w:val="21"/>
          <w:highlight w:val="none"/>
        </w:rPr>
        <w:tab/>
      </w:r>
      <w:r>
        <w:rPr>
          <w:rFonts w:hint="eastAsia" w:cs="宋体"/>
          <w:color w:val="000000"/>
          <w:sz w:val="21"/>
          <w:szCs w:val="21"/>
          <w:highlight w:val="none"/>
        </w:rPr>
        <w:t>供应商按照我院或者采购代理机构的授意撤换、修改报价文件或者响应文件。</w:t>
      </w:r>
      <w:r>
        <w:rPr>
          <w:rFonts w:cs="宋体"/>
          <w:color w:val="000000"/>
          <w:sz w:val="21"/>
          <w:szCs w:val="21"/>
          <w:highlight w:val="none"/>
        </w:rPr>
        <w:t xml:space="preserve"> </w:t>
      </w:r>
    </w:p>
    <w:p w14:paraId="016DD7E7">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15)</w:t>
      </w:r>
      <w:r>
        <w:rPr>
          <w:rFonts w:cs="宋体"/>
          <w:color w:val="000000"/>
          <w:sz w:val="21"/>
          <w:szCs w:val="21"/>
          <w:highlight w:val="none"/>
        </w:rPr>
        <w:tab/>
      </w:r>
      <w:r>
        <w:rPr>
          <w:rFonts w:hint="eastAsia" w:cs="宋体"/>
          <w:color w:val="000000"/>
          <w:sz w:val="21"/>
          <w:szCs w:val="21"/>
          <w:highlight w:val="none"/>
        </w:rPr>
        <w:t>供应商之间协商报价、技术方案等报价文件或者响应文件的实质性内容。</w:t>
      </w:r>
      <w:r>
        <w:rPr>
          <w:rFonts w:cs="宋体"/>
          <w:color w:val="000000"/>
          <w:sz w:val="21"/>
          <w:szCs w:val="21"/>
          <w:highlight w:val="none"/>
        </w:rPr>
        <w:t xml:space="preserve"> </w:t>
      </w:r>
    </w:p>
    <w:p w14:paraId="2D8FC242">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16)</w:t>
      </w:r>
      <w:r>
        <w:rPr>
          <w:rFonts w:cs="宋体"/>
          <w:color w:val="000000"/>
          <w:sz w:val="21"/>
          <w:szCs w:val="21"/>
          <w:highlight w:val="none"/>
        </w:rPr>
        <w:tab/>
      </w:r>
      <w:r>
        <w:rPr>
          <w:rFonts w:hint="eastAsia" w:cs="宋体"/>
          <w:color w:val="000000"/>
          <w:sz w:val="21"/>
          <w:szCs w:val="21"/>
          <w:highlight w:val="none"/>
        </w:rPr>
        <w:t>属于同一集团、协会、商会等组织成员的供应商按照该组织要求协同参加采购活动。</w:t>
      </w:r>
      <w:r>
        <w:rPr>
          <w:rFonts w:cs="宋体"/>
          <w:color w:val="000000"/>
          <w:sz w:val="21"/>
          <w:szCs w:val="21"/>
          <w:highlight w:val="none"/>
        </w:rPr>
        <w:t xml:space="preserve"> </w:t>
      </w:r>
    </w:p>
    <w:p w14:paraId="1088462F">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17)</w:t>
      </w:r>
      <w:r>
        <w:rPr>
          <w:rFonts w:cs="宋体"/>
          <w:color w:val="000000"/>
          <w:sz w:val="21"/>
          <w:szCs w:val="21"/>
          <w:highlight w:val="none"/>
        </w:rPr>
        <w:tab/>
      </w:r>
      <w:r>
        <w:rPr>
          <w:rFonts w:hint="eastAsia" w:cs="宋体"/>
          <w:color w:val="000000"/>
          <w:sz w:val="21"/>
          <w:szCs w:val="21"/>
          <w:highlight w:val="none"/>
        </w:rPr>
        <w:t>供应商之间事先约定由某一特定供应商中标、成交。</w:t>
      </w:r>
      <w:r>
        <w:rPr>
          <w:rFonts w:cs="宋体"/>
          <w:color w:val="000000"/>
          <w:sz w:val="21"/>
          <w:szCs w:val="21"/>
          <w:highlight w:val="none"/>
        </w:rPr>
        <w:t xml:space="preserve"> </w:t>
      </w:r>
    </w:p>
    <w:p w14:paraId="5FE2B90D">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18)</w:t>
      </w:r>
      <w:r>
        <w:rPr>
          <w:rFonts w:cs="宋体"/>
          <w:color w:val="000000"/>
          <w:sz w:val="21"/>
          <w:szCs w:val="21"/>
          <w:highlight w:val="none"/>
        </w:rPr>
        <w:tab/>
      </w:r>
      <w:r>
        <w:rPr>
          <w:rFonts w:hint="eastAsia" w:cs="宋体"/>
          <w:color w:val="000000"/>
          <w:sz w:val="21"/>
          <w:szCs w:val="21"/>
          <w:highlight w:val="none"/>
        </w:rPr>
        <w:t>供应商之间商定部分供应商放弃参加采购活动或者放弃中标、成交。</w:t>
      </w:r>
      <w:r>
        <w:rPr>
          <w:rFonts w:cs="宋体"/>
          <w:color w:val="000000"/>
          <w:sz w:val="21"/>
          <w:szCs w:val="21"/>
          <w:highlight w:val="none"/>
        </w:rPr>
        <w:t xml:space="preserve"> </w:t>
      </w:r>
    </w:p>
    <w:p w14:paraId="7C4A6A35">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19)</w:t>
      </w:r>
      <w:r>
        <w:rPr>
          <w:rFonts w:cs="宋体"/>
          <w:color w:val="000000"/>
          <w:sz w:val="21"/>
          <w:szCs w:val="21"/>
          <w:highlight w:val="none"/>
        </w:rPr>
        <w:tab/>
      </w:r>
      <w:r>
        <w:rPr>
          <w:rFonts w:hint="eastAsia" w:cs="宋体"/>
          <w:color w:val="000000"/>
          <w:sz w:val="21"/>
          <w:szCs w:val="21"/>
          <w:highlight w:val="none"/>
        </w:rPr>
        <w:t>供应商与我院或者采购代理机构之间、供应商相互之间，为谋求特定供应商中标、成交或者排斥其他供应商的其他串通行为。</w:t>
      </w:r>
      <w:r>
        <w:rPr>
          <w:rFonts w:cs="宋体"/>
          <w:color w:val="000000"/>
          <w:sz w:val="21"/>
          <w:szCs w:val="21"/>
          <w:highlight w:val="none"/>
        </w:rPr>
        <w:t xml:space="preserve"> </w:t>
      </w:r>
    </w:p>
    <w:p w14:paraId="0B49BC2F">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20)</w:t>
      </w:r>
      <w:r>
        <w:rPr>
          <w:rFonts w:cs="宋体"/>
          <w:color w:val="000000"/>
          <w:sz w:val="21"/>
          <w:szCs w:val="21"/>
          <w:highlight w:val="none"/>
        </w:rPr>
        <w:tab/>
      </w:r>
      <w:r>
        <w:rPr>
          <w:rFonts w:hint="eastAsia" w:cs="宋体"/>
          <w:color w:val="000000"/>
          <w:sz w:val="21"/>
          <w:szCs w:val="21"/>
          <w:highlight w:val="none"/>
        </w:rPr>
        <w:t>在购销活动中给予医务人员“红包”“回扣”“提成”</w:t>
      </w:r>
      <w:r>
        <w:rPr>
          <w:rFonts w:cs="宋体"/>
          <w:color w:val="000000"/>
          <w:sz w:val="21"/>
          <w:szCs w:val="21"/>
          <w:highlight w:val="none"/>
        </w:rPr>
        <w:t xml:space="preserve"> </w:t>
      </w:r>
      <w:r>
        <w:rPr>
          <w:rFonts w:hint="eastAsia" w:cs="宋体"/>
          <w:color w:val="000000"/>
          <w:sz w:val="21"/>
          <w:szCs w:val="21"/>
          <w:highlight w:val="none"/>
        </w:rPr>
        <w:t>或任何形式的不当利益的。</w:t>
      </w:r>
      <w:r>
        <w:rPr>
          <w:rFonts w:cs="宋体"/>
          <w:color w:val="000000"/>
          <w:sz w:val="21"/>
          <w:szCs w:val="21"/>
          <w:highlight w:val="none"/>
        </w:rPr>
        <w:t xml:space="preserve"> </w:t>
      </w:r>
    </w:p>
    <w:p w14:paraId="5CD4D5AA">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21)</w:t>
      </w:r>
      <w:r>
        <w:rPr>
          <w:rFonts w:cs="宋体"/>
          <w:color w:val="000000"/>
          <w:sz w:val="21"/>
          <w:szCs w:val="21"/>
          <w:highlight w:val="none"/>
        </w:rPr>
        <w:tab/>
      </w:r>
      <w:r>
        <w:rPr>
          <w:rFonts w:hint="eastAsia" w:cs="宋体"/>
          <w:color w:val="000000"/>
          <w:sz w:val="21"/>
          <w:szCs w:val="21"/>
          <w:highlight w:val="none"/>
        </w:rPr>
        <w:t>所经销的货物质量有问题，且不积极配合医院相关部门处理的。</w:t>
      </w:r>
      <w:r>
        <w:rPr>
          <w:rFonts w:cs="宋体"/>
          <w:color w:val="000000"/>
          <w:sz w:val="21"/>
          <w:szCs w:val="21"/>
          <w:highlight w:val="none"/>
        </w:rPr>
        <w:t xml:space="preserve"> </w:t>
      </w:r>
    </w:p>
    <w:p w14:paraId="46E75807">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22)</w:t>
      </w:r>
      <w:r>
        <w:rPr>
          <w:rFonts w:cs="宋体"/>
          <w:color w:val="000000"/>
          <w:sz w:val="21"/>
          <w:szCs w:val="21"/>
          <w:highlight w:val="none"/>
        </w:rPr>
        <w:tab/>
      </w:r>
      <w:r>
        <w:rPr>
          <w:rFonts w:hint="eastAsia" w:cs="宋体"/>
          <w:color w:val="000000"/>
          <w:sz w:val="21"/>
          <w:szCs w:val="21"/>
          <w:highlight w:val="none"/>
        </w:rPr>
        <w:t>违法广告宣传、促销、误导消费等不良行为的。</w:t>
      </w:r>
      <w:r>
        <w:rPr>
          <w:rFonts w:cs="宋体"/>
          <w:color w:val="000000"/>
          <w:sz w:val="21"/>
          <w:szCs w:val="21"/>
          <w:highlight w:val="none"/>
        </w:rPr>
        <w:t xml:space="preserve"> </w:t>
      </w:r>
    </w:p>
    <w:p w14:paraId="36D7FB0D">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23)</w:t>
      </w:r>
      <w:r>
        <w:rPr>
          <w:rFonts w:cs="宋体"/>
          <w:color w:val="000000"/>
          <w:sz w:val="21"/>
          <w:szCs w:val="21"/>
          <w:highlight w:val="none"/>
        </w:rPr>
        <w:tab/>
      </w:r>
      <w:r>
        <w:rPr>
          <w:rFonts w:hint="eastAsia" w:cs="宋体"/>
          <w:color w:val="000000"/>
          <w:sz w:val="21"/>
          <w:szCs w:val="21"/>
          <w:highlight w:val="none"/>
        </w:rPr>
        <w:t>不按约定时间配送药品、医疗器械、耗材，尤其是急救类用品，影响临床正常使用的。</w:t>
      </w:r>
      <w:r>
        <w:rPr>
          <w:rFonts w:cs="宋体"/>
          <w:color w:val="000000"/>
          <w:sz w:val="21"/>
          <w:szCs w:val="21"/>
          <w:highlight w:val="none"/>
        </w:rPr>
        <w:t xml:space="preserve"> </w:t>
      </w:r>
    </w:p>
    <w:p w14:paraId="5E869C45">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24)</w:t>
      </w:r>
      <w:r>
        <w:rPr>
          <w:rFonts w:cs="宋体"/>
          <w:color w:val="000000"/>
          <w:sz w:val="21"/>
          <w:szCs w:val="21"/>
          <w:highlight w:val="none"/>
        </w:rPr>
        <w:tab/>
      </w:r>
      <w:r>
        <w:rPr>
          <w:rFonts w:hint="eastAsia" w:cs="宋体"/>
          <w:color w:val="000000"/>
          <w:sz w:val="21"/>
          <w:szCs w:val="21"/>
          <w:highlight w:val="none"/>
        </w:rPr>
        <w:t>在购销活动中不遵守保密规定、未经医院同意擅自将医院药品、医疗器械、耗材数据信息披露的。</w:t>
      </w:r>
      <w:r>
        <w:rPr>
          <w:rFonts w:cs="宋体"/>
          <w:color w:val="000000"/>
          <w:sz w:val="21"/>
          <w:szCs w:val="21"/>
          <w:highlight w:val="none"/>
        </w:rPr>
        <w:t xml:space="preserve"> </w:t>
      </w:r>
    </w:p>
    <w:p w14:paraId="5F7B9937">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25)</w:t>
      </w:r>
      <w:r>
        <w:rPr>
          <w:rFonts w:cs="宋体"/>
          <w:color w:val="000000"/>
          <w:sz w:val="21"/>
          <w:szCs w:val="21"/>
          <w:highlight w:val="none"/>
        </w:rPr>
        <w:tab/>
      </w:r>
      <w:r>
        <w:rPr>
          <w:rFonts w:hint="eastAsia" w:cs="宋体"/>
          <w:color w:val="000000"/>
          <w:sz w:val="21"/>
          <w:szCs w:val="21"/>
          <w:highlight w:val="none"/>
        </w:rPr>
        <w:t>药品价格变动未及时向医院书面反馈，给医院或患者造成损失的。</w:t>
      </w:r>
      <w:r>
        <w:rPr>
          <w:rFonts w:cs="宋体"/>
          <w:color w:val="000000"/>
          <w:sz w:val="21"/>
          <w:szCs w:val="21"/>
          <w:highlight w:val="none"/>
        </w:rPr>
        <w:t xml:space="preserve"> </w:t>
      </w:r>
    </w:p>
    <w:p w14:paraId="28A23C4F">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26)</w:t>
      </w:r>
      <w:r>
        <w:rPr>
          <w:rFonts w:cs="宋体"/>
          <w:color w:val="000000"/>
          <w:sz w:val="21"/>
          <w:szCs w:val="21"/>
          <w:highlight w:val="none"/>
        </w:rPr>
        <w:tab/>
      </w:r>
      <w:r>
        <w:rPr>
          <w:rFonts w:hint="eastAsia" w:cs="宋体"/>
          <w:color w:val="000000"/>
          <w:sz w:val="21"/>
          <w:szCs w:val="21"/>
          <w:highlight w:val="none"/>
        </w:rPr>
        <w:t>传播虚假信息，严重干扰医院正常工作程序，造成恶劣影响的。</w:t>
      </w:r>
      <w:r>
        <w:rPr>
          <w:rFonts w:cs="宋体"/>
          <w:color w:val="000000"/>
          <w:sz w:val="21"/>
          <w:szCs w:val="21"/>
          <w:highlight w:val="none"/>
        </w:rPr>
        <w:t xml:space="preserve"> </w:t>
      </w:r>
    </w:p>
    <w:p w14:paraId="791B0A1E">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27)</w:t>
      </w:r>
      <w:r>
        <w:rPr>
          <w:rFonts w:cs="宋体"/>
          <w:color w:val="000000"/>
          <w:sz w:val="21"/>
          <w:szCs w:val="21"/>
          <w:highlight w:val="none"/>
        </w:rPr>
        <w:tab/>
      </w:r>
      <w:r>
        <w:rPr>
          <w:rFonts w:hint="eastAsia" w:cs="宋体"/>
          <w:color w:val="000000"/>
          <w:sz w:val="21"/>
          <w:szCs w:val="21"/>
          <w:highlight w:val="none"/>
        </w:rPr>
        <w:t>供应商与厂家恶意串通，故意提高药品、医疗器械、耗材供应价格的。</w:t>
      </w:r>
      <w:r>
        <w:rPr>
          <w:rFonts w:cs="宋体"/>
          <w:color w:val="000000"/>
          <w:sz w:val="21"/>
          <w:szCs w:val="21"/>
          <w:highlight w:val="none"/>
        </w:rPr>
        <w:t xml:space="preserve"> </w:t>
      </w:r>
    </w:p>
    <w:p w14:paraId="12439DF7">
      <w:pPr>
        <w:pStyle w:val="18"/>
        <w:spacing w:after="120"/>
        <w:ind w:left="420" w:leftChars="200" w:firstLine="420" w:firstLineChars="200"/>
        <w:rPr>
          <w:rFonts w:cs="宋体"/>
          <w:color w:val="000000"/>
          <w:szCs w:val="21"/>
          <w:highlight w:val="none"/>
        </w:rPr>
      </w:pPr>
      <w:r>
        <w:rPr>
          <w:rFonts w:cs="宋体"/>
          <w:color w:val="000000"/>
          <w:sz w:val="21"/>
          <w:szCs w:val="21"/>
          <w:highlight w:val="none"/>
        </w:rPr>
        <w:t>28)</w:t>
      </w:r>
      <w:r>
        <w:rPr>
          <w:rFonts w:cs="宋体"/>
          <w:color w:val="000000"/>
          <w:sz w:val="21"/>
          <w:szCs w:val="21"/>
          <w:highlight w:val="none"/>
        </w:rPr>
        <w:tab/>
      </w:r>
      <w:r>
        <w:rPr>
          <w:rFonts w:hint="eastAsia" w:cs="宋体"/>
          <w:color w:val="000000"/>
          <w:sz w:val="21"/>
          <w:szCs w:val="21"/>
          <w:highlight w:val="none"/>
        </w:rPr>
        <w:t>法规、规章规定的其他政府采购严重违法失信行为。</w:t>
      </w:r>
    </w:p>
    <w:p w14:paraId="3F4FC7D1">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xml:space="preserve">4.以上事项如有虚假或隐瞒，我方愿意承担一切后果，并不再寻求任何旨在减轻或免除法律责任的辩解。 </w:t>
      </w:r>
    </w:p>
    <w:p w14:paraId="22124C75">
      <w:pPr>
        <w:snapToGrid w:val="0"/>
        <w:spacing w:before="50" w:afterLines="100" w:line="360" w:lineRule="auto"/>
        <w:ind w:left="7428" w:leftChars="2223" w:hanging="2760" w:hangingChars="1150"/>
        <w:jc w:val="left"/>
        <w:rPr>
          <w:rFonts w:ascii="宋体" w:hAnsi="宋体" w:cs="宋体"/>
          <w:color w:val="000000"/>
          <w:sz w:val="24"/>
          <w:highlight w:val="none"/>
        </w:rPr>
      </w:pPr>
    </w:p>
    <w:p w14:paraId="670E30E4">
      <w:pPr>
        <w:snapToGrid w:val="0"/>
        <w:spacing w:before="50" w:afterLines="100" w:line="360" w:lineRule="auto"/>
        <w:ind w:left="7428" w:leftChars="2223" w:hanging="2760" w:hangingChars="1150"/>
        <w:jc w:val="left"/>
        <w:rPr>
          <w:rFonts w:ascii="宋体" w:hAnsi="宋体" w:cs="宋体"/>
          <w:color w:val="000000"/>
          <w:sz w:val="24"/>
          <w:highlight w:val="none"/>
        </w:rPr>
      </w:pPr>
    </w:p>
    <w:p w14:paraId="7E3A73B4">
      <w:pPr>
        <w:snapToGrid w:val="0"/>
        <w:spacing w:before="50" w:afterLines="100" w:line="360" w:lineRule="auto"/>
        <w:ind w:left="7428" w:leftChars="2223" w:hanging="2760" w:hangingChars="1150"/>
        <w:jc w:val="left"/>
        <w:rPr>
          <w:rFonts w:ascii="宋体" w:hAnsi="宋体" w:cs="宋体"/>
          <w:color w:val="000000"/>
          <w:szCs w:val="21"/>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供应商名称(公章)：</w:t>
      </w:r>
      <w:r>
        <w:rPr>
          <w:rFonts w:hint="eastAsia" w:ascii="宋体" w:hAnsi="宋体" w:cs="宋体"/>
          <w:color w:val="000000"/>
          <w:szCs w:val="21"/>
          <w:highlight w:val="none"/>
        </w:rPr>
        <w:t xml:space="preserve">                               </w:t>
      </w:r>
    </w:p>
    <w:p w14:paraId="21DF31CD">
      <w:pPr>
        <w:snapToGrid w:val="0"/>
        <w:spacing w:before="50" w:afterLines="100" w:line="360" w:lineRule="auto"/>
        <w:ind w:left="7083" w:leftChars="2223" w:hanging="2415" w:hangingChars="1150"/>
        <w:jc w:val="left"/>
        <w:rPr>
          <w:rFonts w:ascii="宋体" w:hAnsi="宋体" w:cs="宋体"/>
          <w:color w:val="000000"/>
          <w:kern w:val="0"/>
          <w:sz w:val="24"/>
          <w:highlight w:val="none"/>
          <w:lang w:val="zh-CN"/>
        </w:rPr>
      </w:pPr>
      <w:r>
        <w:rPr>
          <w:rFonts w:hint="eastAsia" w:ascii="宋体" w:hAnsi="宋体" w:cs="宋体"/>
          <w:color w:val="000000"/>
          <w:szCs w:val="21"/>
          <w:highlight w:val="none"/>
        </w:rPr>
        <w:t>年    月    日</w:t>
      </w:r>
    </w:p>
    <w:p w14:paraId="4A04F47B">
      <w:pPr>
        <w:snapToGrid w:val="0"/>
        <w:spacing w:before="50" w:afterLines="50" w:line="360" w:lineRule="auto"/>
        <w:jc w:val="center"/>
        <w:rPr>
          <w:rFonts w:ascii="宋体" w:hAnsi="宋体" w:cs="宋体"/>
          <w:b/>
          <w:color w:val="000000"/>
          <w:kern w:val="0"/>
          <w:sz w:val="32"/>
          <w:szCs w:val="32"/>
          <w:highlight w:val="none"/>
        </w:rPr>
      </w:pPr>
    </w:p>
    <w:p w14:paraId="3BDEE264">
      <w:pPr>
        <w:snapToGrid w:val="0"/>
        <w:spacing w:before="50" w:afterLines="50" w:line="360" w:lineRule="auto"/>
        <w:jc w:val="center"/>
        <w:rPr>
          <w:rFonts w:ascii="宋体" w:hAnsi="宋体" w:cs="宋体"/>
          <w:b/>
          <w:color w:val="000000"/>
          <w:kern w:val="0"/>
          <w:sz w:val="32"/>
          <w:szCs w:val="32"/>
          <w:highlight w:val="none"/>
        </w:rPr>
      </w:pPr>
    </w:p>
    <w:p w14:paraId="0C5EF155">
      <w:pPr>
        <w:snapToGrid w:val="0"/>
        <w:spacing w:before="50" w:afterLines="50" w:line="360" w:lineRule="auto"/>
        <w:jc w:val="center"/>
        <w:rPr>
          <w:rFonts w:ascii="宋体" w:hAnsi="宋体" w:cs="宋体"/>
          <w:b/>
          <w:color w:val="000000"/>
          <w:kern w:val="0"/>
          <w:sz w:val="32"/>
          <w:szCs w:val="32"/>
          <w:highlight w:val="none"/>
        </w:rPr>
      </w:pPr>
    </w:p>
    <w:p w14:paraId="2DD7D033">
      <w:pPr>
        <w:snapToGrid w:val="0"/>
        <w:spacing w:before="50" w:afterLines="50" w:line="360" w:lineRule="auto"/>
        <w:jc w:val="center"/>
        <w:rPr>
          <w:rFonts w:ascii="宋体" w:hAnsi="宋体" w:cs="宋体"/>
          <w:b/>
          <w:color w:val="000000"/>
          <w:kern w:val="0"/>
          <w:sz w:val="32"/>
          <w:szCs w:val="32"/>
          <w:highlight w:val="none"/>
        </w:rPr>
      </w:pPr>
    </w:p>
    <w:p w14:paraId="64DB2758">
      <w:pPr>
        <w:snapToGrid w:val="0"/>
        <w:spacing w:before="50" w:afterLines="50" w:line="360" w:lineRule="auto"/>
        <w:jc w:val="center"/>
        <w:rPr>
          <w:rFonts w:ascii="宋体" w:hAnsi="宋体" w:cs="宋体"/>
          <w:b/>
          <w:color w:val="000000"/>
          <w:kern w:val="0"/>
          <w:sz w:val="32"/>
          <w:szCs w:val="32"/>
          <w:highlight w:val="none"/>
        </w:rPr>
      </w:pPr>
    </w:p>
    <w:p w14:paraId="21EC2077">
      <w:pPr>
        <w:snapToGrid w:val="0"/>
        <w:spacing w:before="50" w:afterLines="50" w:line="360" w:lineRule="auto"/>
        <w:jc w:val="center"/>
        <w:rPr>
          <w:rFonts w:ascii="宋体" w:hAnsi="宋体" w:cs="宋体"/>
          <w:b/>
          <w:color w:val="000000"/>
          <w:kern w:val="0"/>
          <w:sz w:val="32"/>
          <w:szCs w:val="32"/>
          <w:highlight w:val="none"/>
        </w:rPr>
      </w:pPr>
    </w:p>
    <w:p w14:paraId="3FEFE02E">
      <w:pPr>
        <w:snapToGrid w:val="0"/>
        <w:spacing w:before="50" w:afterLines="50" w:line="360" w:lineRule="auto"/>
        <w:jc w:val="center"/>
        <w:rPr>
          <w:rFonts w:ascii="宋体" w:hAnsi="宋体" w:cs="宋体"/>
          <w:b/>
          <w:color w:val="000000"/>
          <w:kern w:val="0"/>
          <w:sz w:val="32"/>
          <w:szCs w:val="32"/>
          <w:highlight w:val="none"/>
        </w:rPr>
      </w:pPr>
    </w:p>
    <w:p w14:paraId="7D509D43">
      <w:pPr>
        <w:snapToGrid w:val="0"/>
        <w:spacing w:before="50" w:afterLines="50" w:line="360" w:lineRule="auto"/>
        <w:jc w:val="center"/>
        <w:rPr>
          <w:rFonts w:ascii="宋体" w:hAnsi="宋体" w:cs="宋体"/>
          <w:b/>
          <w:color w:val="000000"/>
          <w:kern w:val="0"/>
          <w:sz w:val="32"/>
          <w:szCs w:val="32"/>
          <w:highlight w:val="none"/>
        </w:rPr>
      </w:pPr>
    </w:p>
    <w:p w14:paraId="58AB165D">
      <w:pPr>
        <w:snapToGrid w:val="0"/>
        <w:spacing w:before="50" w:afterLines="50" w:line="360" w:lineRule="auto"/>
        <w:jc w:val="center"/>
        <w:rPr>
          <w:rFonts w:ascii="宋体" w:hAnsi="宋体" w:cs="宋体"/>
          <w:b/>
          <w:color w:val="000000"/>
          <w:kern w:val="0"/>
          <w:sz w:val="32"/>
          <w:szCs w:val="32"/>
          <w:highlight w:val="none"/>
        </w:rPr>
      </w:pPr>
      <w:r>
        <w:rPr>
          <w:rFonts w:hint="eastAsia" w:ascii="宋体" w:hAnsi="宋体" w:cs="宋体"/>
          <w:b/>
          <w:color w:val="000000"/>
          <w:kern w:val="0"/>
          <w:sz w:val="32"/>
          <w:szCs w:val="32"/>
          <w:highlight w:val="none"/>
        </w:rPr>
        <w:t>公司直接控股股东信息表</w:t>
      </w:r>
    </w:p>
    <w:tbl>
      <w:tblPr>
        <w:tblStyle w:val="21"/>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FC66D66">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31883A">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55BBEE">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8714E46">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CF32374">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57DC552">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14:paraId="75BBC7C9">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63FB34">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E16337">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CA5C2">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ADF6C5">
            <w:pPr>
              <w:spacing w:line="360" w:lineRule="auto"/>
              <w:jc w:val="center"/>
              <w:rPr>
                <w:rFonts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876D4D">
            <w:pPr>
              <w:spacing w:line="360" w:lineRule="auto"/>
              <w:jc w:val="center"/>
              <w:rPr>
                <w:rFonts w:ascii="宋体" w:hAnsi="宋体" w:cs="宋体"/>
                <w:color w:val="000000"/>
                <w:kern w:val="0"/>
                <w:sz w:val="24"/>
                <w:highlight w:val="none"/>
              </w:rPr>
            </w:pPr>
          </w:p>
        </w:tc>
      </w:tr>
      <w:tr w14:paraId="67D0378D">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C05185">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84C429">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9B47B2">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3AD49E">
            <w:pPr>
              <w:spacing w:line="360" w:lineRule="auto"/>
              <w:jc w:val="center"/>
              <w:rPr>
                <w:rFonts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D64F2C">
            <w:pPr>
              <w:spacing w:line="360" w:lineRule="auto"/>
              <w:jc w:val="center"/>
              <w:rPr>
                <w:rFonts w:ascii="宋体" w:hAnsi="宋体" w:cs="宋体"/>
                <w:color w:val="000000"/>
                <w:kern w:val="0"/>
                <w:sz w:val="24"/>
                <w:highlight w:val="none"/>
              </w:rPr>
            </w:pPr>
          </w:p>
        </w:tc>
      </w:tr>
      <w:tr w14:paraId="31BA706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014143">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D7D14C">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E99DDE">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7751F0">
            <w:pPr>
              <w:spacing w:line="360" w:lineRule="auto"/>
              <w:jc w:val="center"/>
              <w:rPr>
                <w:rFonts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7F7422">
            <w:pPr>
              <w:spacing w:line="360" w:lineRule="auto"/>
              <w:jc w:val="center"/>
              <w:rPr>
                <w:rFonts w:ascii="宋体" w:hAnsi="宋体" w:cs="宋体"/>
                <w:color w:val="000000"/>
                <w:kern w:val="0"/>
                <w:sz w:val="24"/>
                <w:highlight w:val="none"/>
              </w:rPr>
            </w:pPr>
          </w:p>
        </w:tc>
      </w:tr>
      <w:tr w14:paraId="702646D3">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310826">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D0E607">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545DB3">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AC9A95">
            <w:pPr>
              <w:spacing w:line="360" w:lineRule="auto"/>
              <w:jc w:val="center"/>
              <w:rPr>
                <w:rFonts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41AC2B">
            <w:pPr>
              <w:spacing w:line="360" w:lineRule="auto"/>
              <w:jc w:val="center"/>
              <w:rPr>
                <w:rFonts w:ascii="宋体" w:hAnsi="宋体" w:cs="宋体"/>
                <w:color w:val="000000"/>
                <w:kern w:val="0"/>
                <w:sz w:val="24"/>
                <w:highlight w:val="none"/>
              </w:rPr>
            </w:pPr>
          </w:p>
        </w:tc>
      </w:tr>
    </w:tbl>
    <w:p w14:paraId="7250B878">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注：</w:t>
      </w:r>
    </w:p>
    <w:p w14:paraId="0BFE2D6C">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F4194F0">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2.本表所指的控股关系仅限于直接控股关系，不包括间接的控股关系。公司实际控制人与公司之间的关系不属于本表所指的直接控股关系。</w:t>
      </w:r>
    </w:p>
    <w:p w14:paraId="2210EA3C">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3.供应商不存在直接控股股东的，则填“无”。</w:t>
      </w:r>
    </w:p>
    <w:p w14:paraId="0DAC3DBE">
      <w:pPr>
        <w:snapToGrid w:val="0"/>
        <w:spacing w:line="360" w:lineRule="auto"/>
        <w:jc w:val="left"/>
        <w:rPr>
          <w:rFonts w:ascii="宋体" w:hAnsi="宋体" w:cs="宋体"/>
          <w:color w:val="000000"/>
          <w:sz w:val="24"/>
          <w:highlight w:val="none"/>
        </w:rPr>
      </w:pPr>
    </w:p>
    <w:p w14:paraId="65EC5BD2">
      <w:pPr>
        <w:snapToGrid w:val="0"/>
        <w:spacing w:line="360" w:lineRule="auto"/>
        <w:jc w:val="left"/>
        <w:rPr>
          <w:rFonts w:ascii="宋体" w:hAnsi="宋体" w:cs="宋体"/>
          <w:color w:val="000000"/>
          <w:sz w:val="24"/>
          <w:highlight w:val="none"/>
        </w:rPr>
      </w:pPr>
    </w:p>
    <w:p w14:paraId="0DFB335E">
      <w:pPr>
        <w:snapToGrid w:val="0"/>
        <w:spacing w:line="360" w:lineRule="auto"/>
        <w:jc w:val="left"/>
        <w:rPr>
          <w:rFonts w:ascii="宋体" w:hAnsi="宋体" w:cs="宋体"/>
          <w:color w:val="000000"/>
          <w:sz w:val="24"/>
          <w:highlight w:val="none"/>
        </w:rPr>
      </w:pPr>
    </w:p>
    <w:p w14:paraId="2DDCED75">
      <w:pPr>
        <w:snapToGrid w:val="0"/>
        <w:spacing w:before="50" w:afterLines="100" w:line="360" w:lineRule="auto"/>
        <w:ind w:left="7428" w:leftChars="2223" w:hanging="2760" w:hangingChars="1150"/>
        <w:jc w:val="right"/>
        <w:rPr>
          <w:rFonts w:ascii="宋体" w:hAnsi="宋体" w:cs="宋体"/>
          <w:color w:val="000000"/>
          <w:szCs w:val="21"/>
          <w:highlight w:val="none"/>
        </w:rPr>
      </w:pPr>
      <w:r>
        <w:rPr>
          <w:rFonts w:hint="eastAsia" w:ascii="宋体" w:hAnsi="宋体" w:cs="宋体"/>
          <w:color w:val="000000"/>
          <w:kern w:val="0"/>
          <w:sz w:val="24"/>
          <w:highlight w:val="none"/>
          <w:lang w:val="zh-CN"/>
        </w:rPr>
        <w:t>供应商名称(公章)：</w:t>
      </w:r>
      <w:r>
        <w:rPr>
          <w:rFonts w:hint="eastAsia" w:ascii="宋体" w:hAnsi="宋体" w:cs="宋体"/>
          <w:color w:val="000000"/>
          <w:szCs w:val="21"/>
          <w:highlight w:val="none"/>
        </w:rPr>
        <w:t xml:space="preserve">                               </w:t>
      </w:r>
    </w:p>
    <w:p w14:paraId="305FCE45">
      <w:pPr>
        <w:snapToGrid w:val="0"/>
        <w:jc w:val="right"/>
        <w:rPr>
          <w:rFonts w:ascii="宋体" w:hAnsi="宋体" w:cs="宋体"/>
          <w:b/>
          <w:color w:val="000000"/>
          <w:sz w:val="28"/>
          <w:szCs w:val="28"/>
          <w:highlight w:val="none"/>
        </w:rPr>
      </w:pPr>
      <w:r>
        <w:rPr>
          <w:rFonts w:hint="eastAsia" w:ascii="宋体" w:hAnsi="宋体" w:cs="宋体"/>
          <w:color w:val="000000"/>
          <w:szCs w:val="21"/>
          <w:highlight w:val="none"/>
        </w:rPr>
        <w:t>年    月    日</w:t>
      </w:r>
      <w:r>
        <w:rPr>
          <w:rFonts w:hint="eastAsia" w:ascii="宋体" w:hAnsi="宋体" w:cs="宋体"/>
          <w:b/>
          <w:color w:val="000000"/>
          <w:sz w:val="28"/>
          <w:szCs w:val="28"/>
          <w:highlight w:val="none"/>
        </w:rPr>
        <w:br w:type="page"/>
      </w:r>
    </w:p>
    <w:p w14:paraId="2BF3516E">
      <w:pPr>
        <w:snapToGrid w:val="0"/>
        <w:spacing w:line="360" w:lineRule="auto"/>
        <w:jc w:val="center"/>
        <w:rPr>
          <w:rFonts w:ascii="宋体" w:hAnsi="宋体" w:cs="宋体"/>
          <w:color w:val="000000"/>
          <w:sz w:val="32"/>
          <w:szCs w:val="32"/>
          <w:highlight w:val="none"/>
        </w:rPr>
      </w:pPr>
      <w:r>
        <w:rPr>
          <w:rFonts w:hint="eastAsia" w:ascii="宋体" w:hAnsi="宋体" w:cs="宋体"/>
          <w:b/>
          <w:color w:val="000000"/>
          <w:sz w:val="32"/>
          <w:szCs w:val="32"/>
          <w:highlight w:val="none"/>
        </w:rPr>
        <w:t>公司直接管理关系信息表</w:t>
      </w:r>
    </w:p>
    <w:tbl>
      <w:tblPr>
        <w:tblStyle w:val="21"/>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F828BEB">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9FA8DB3">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BA7DD38">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D60FBF">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14B513">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14:paraId="01CAA56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21EDC2">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A1D415">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C882A7">
            <w:pPr>
              <w:spacing w:line="360" w:lineRule="auto"/>
              <w:jc w:val="center"/>
              <w:rPr>
                <w:rFonts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33F405">
            <w:pPr>
              <w:spacing w:line="360" w:lineRule="auto"/>
              <w:jc w:val="center"/>
              <w:rPr>
                <w:rFonts w:ascii="宋体" w:hAnsi="宋体" w:cs="宋体"/>
                <w:color w:val="000000"/>
                <w:kern w:val="0"/>
                <w:sz w:val="24"/>
                <w:highlight w:val="none"/>
              </w:rPr>
            </w:pPr>
          </w:p>
        </w:tc>
      </w:tr>
      <w:tr w14:paraId="3DE8F9A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77613F">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4EDF18">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6DAA0D">
            <w:pPr>
              <w:spacing w:line="360" w:lineRule="auto"/>
              <w:jc w:val="center"/>
              <w:rPr>
                <w:rFonts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93AE33">
            <w:pPr>
              <w:spacing w:line="360" w:lineRule="auto"/>
              <w:jc w:val="center"/>
              <w:rPr>
                <w:rFonts w:ascii="宋体" w:hAnsi="宋体" w:cs="宋体"/>
                <w:color w:val="000000"/>
                <w:kern w:val="0"/>
                <w:sz w:val="24"/>
                <w:highlight w:val="none"/>
              </w:rPr>
            </w:pPr>
          </w:p>
        </w:tc>
      </w:tr>
      <w:tr w14:paraId="27BF39C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D4D13EB">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457BF">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A1908">
            <w:pPr>
              <w:spacing w:line="360" w:lineRule="auto"/>
              <w:jc w:val="center"/>
              <w:rPr>
                <w:rFonts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D978AE">
            <w:pPr>
              <w:spacing w:line="360" w:lineRule="auto"/>
              <w:jc w:val="center"/>
              <w:rPr>
                <w:rFonts w:ascii="宋体" w:hAnsi="宋体" w:cs="宋体"/>
                <w:color w:val="000000"/>
                <w:kern w:val="0"/>
                <w:sz w:val="24"/>
                <w:highlight w:val="none"/>
              </w:rPr>
            </w:pPr>
          </w:p>
        </w:tc>
      </w:tr>
      <w:tr w14:paraId="52739B11">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C477EB">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12CDD9">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E3E20A">
            <w:pPr>
              <w:spacing w:line="360" w:lineRule="auto"/>
              <w:jc w:val="center"/>
              <w:rPr>
                <w:rFonts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3FEA4A">
            <w:pPr>
              <w:spacing w:line="360" w:lineRule="auto"/>
              <w:jc w:val="center"/>
              <w:rPr>
                <w:rFonts w:ascii="宋体" w:hAnsi="宋体" w:cs="宋体"/>
                <w:color w:val="000000"/>
                <w:kern w:val="0"/>
                <w:sz w:val="24"/>
                <w:highlight w:val="none"/>
              </w:rPr>
            </w:pPr>
          </w:p>
        </w:tc>
      </w:tr>
    </w:tbl>
    <w:p w14:paraId="28F66591">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注：</w:t>
      </w:r>
    </w:p>
    <w:p w14:paraId="49BDFB92">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1.管理关系：是指不具有出资持股关系的其他单位之间存在的管理与被管理关系，如一些上下级关系的事业单位和团体组织。</w:t>
      </w:r>
    </w:p>
    <w:p w14:paraId="4CEE9F2C">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pacing w:val="-6"/>
          <w:sz w:val="24"/>
          <w:highlight w:val="none"/>
        </w:rPr>
        <w:t>本表所指的管理关系仅限于直接管理关系，不包括间接的管理关系。</w:t>
      </w:r>
    </w:p>
    <w:p w14:paraId="69DC5BE8">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3.供应商不存在直接管理关系的，则填“无”。</w:t>
      </w:r>
    </w:p>
    <w:p w14:paraId="69DFCA63">
      <w:pPr>
        <w:snapToGrid w:val="0"/>
        <w:spacing w:line="360" w:lineRule="auto"/>
        <w:jc w:val="left"/>
        <w:rPr>
          <w:rFonts w:ascii="宋体" w:hAnsi="宋体" w:cs="宋体"/>
          <w:color w:val="000000"/>
          <w:sz w:val="24"/>
          <w:highlight w:val="none"/>
        </w:rPr>
      </w:pPr>
    </w:p>
    <w:p w14:paraId="1775CD1C">
      <w:pPr>
        <w:snapToGrid w:val="0"/>
        <w:spacing w:line="360" w:lineRule="auto"/>
        <w:jc w:val="left"/>
        <w:rPr>
          <w:rFonts w:ascii="宋体" w:hAnsi="宋体" w:cs="宋体"/>
          <w:color w:val="000000"/>
          <w:sz w:val="24"/>
          <w:highlight w:val="none"/>
        </w:rPr>
      </w:pPr>
    </w:p>
    <w:p w14:paraId="4BF46407">
      <w:pPr>
        <w:snapToGrid w:val="0"/>
        <w:spacing w:line="360" w:lineRule="auto"/>
        <w:jc w:val="left"/>
        <w:rPr>
          <w:rFonts w:ascii="宋体" w:hAnsi="宋体" w:cs="宋体"/>
          <w:color w:val="000000"/>
          <w:sz w:val="24"/>
          <w:highlight w:val="none"/>
        </w:rPr>
      </w:pPr>
    </w:p>
    <w:p w14:paraId="4EB8F5C3">
      <w:pPr>
        <w:snapToGrid w:val="0"/>
        <w:spacing w:line="360" w:lineRule="auto"/>
        <w:jc w:val="left"/>
        <w:rPr>
          <w:rFonts w:ascii="宋体" w:hAnsi="宋体" w:cs="宋体"/>
          <w:color w:val="000000"/>
          <w:sz w:val="24"/>
          <w:highlight w:val="none"/>
        </w:rPr>
      </w:pPr>
    </w:p>
    <w:p w14:paraId="7745E4C7">
      <w:pPr>
        <w:snapToGrid w:val="0"/>
        <w:spacing w:line="360" w:lineRule="auto"/>
        <w:jc w:val="left"/>
        <w:rPr>
          <w:rFonts w:ascii="宋体" w:hAnsi="宋体" w:cs="宋体"/>
          <w:color w:val="000000"/>
          <w:sz w:val="24"/>
          <w:highlight w:val="none"/>
        </w:rPr>
      </w:pPr>
    </w:p>
    <w:p w14:paraId="7B0AA6C8">
      <w:pPr>
        <w:snapToGrid w:val="0"/>
        <w:spacing w:line="360" w:lineRule="auto"/>
        <w:jc w:val="left"/>
        <w:rPr>
          <w:rFonts w:ascii="宋体" w:hAnsi="宋体" w:cs="宋体"/>
          <w:color w:val="000000"/>
          <w:sz w:val="24"/>
          <w:highlight w:val="none"/>
        </w:rPr>
      </w:pPr>
    </w:p>
    <w:p w14:paraId="78A223F1">
      <w:pPr>
        <w:snapToGrid w:val="0"/>
        <w:spacing w:line="360" w:lineRule="auto"/>
        <w:jc w:val="left"/>
        <w:rPr>
          <w:rFonts w:ascii="宋体" w:hAnsi="宋体" w:cs="宋体"/>
          <w:color w:val="000000"/>
          <w:sz w:val="24"/>
          <w:highlight w:val="none"/>
        </w:rPr>
      </w:pPr>
    </w:p>
    <w:p w14:paraId="0FF5E3B2">
      <w:pPr>
        <w:snapToGrid w:val="0"/>
        <w:spacing w:line="360" w:lineRule="auto"/>
        <w:jc w:val="left"/>
        <w:rPr>
          <w:rFonts w:ascii="宋体" w:hAnsi="宋体" w:cs="宋体"/>
          <w:color w:val="000000"/>
          <w:sz w:val="24"/>
          <w:highlight w:val="none"/>
        </w:rPr>
      </w:pPr>
    </w:p>
    <w:p w14:paraId="5A43F533">
      <w:pPr>
        <w:snapToGrid w:val="0"/>
        <w:spacing w:before="50" w:afterLines="100" w:line="360" w:lineRule="auto"/>
        <w:jc w:val="right"/>
        <w:rPr>
          <w:rFonts w:ascii="宋体" w:hAnsi="宋体" w:cs="宋体"/>
          <w:color w:val="000000"/>
          <w:szCs w:val="21"/>
          <w:highlight w:val="none"/>
        </w:rPr>
      </w:pPr>
      <w:r>
        <w:rPr>
          <w:rFonts w:hint="eastAsia" w:ascii="宋体" w:hAnsi="宋体" w:cs="宋体"/>
          <w:color w:val="000000"/>
          <w:kern w:val="0"/>
          <w:sz w:val="24"/>
          <w:highlight w:val="none"/>
          <w:lang w:val="zh-CN"/>
        </w:rPr>
        <w:t>供应商名称(公章)：</w:t>
      </w:r>
      <w:r>
        <w:rPr>
          <w:rFonts w:hint="eastAsia" w:ascii="宋体" w:hAnsi="宋体" w:cs="宋体"/>
          <w:color w:val="000000"/>
          <w:szCs w:val="21"/>
          <w:highlight w:val="none"/>
        </w:rPr>
        <w:t xml:space="preserve">                               </w:t>
      </w:r>
    </w:p>
    <w:p w14:paraId="408EBB4C">
      <w:pPr>
        <w:snapToGrid w:val="0"/>
        <w:spacing w:before="50" w:afterLines="50"/>
        <w:jc w:val="right"/>
        <w:rPr>
          <w:rFonts w:ascii="宋体" w:hAnsi="宋体" w:cs="宋体"/>
          <w:color w:val="000000"/>
          <w:szCs w:val="21"/>
          <w:highlight w:val="none"/>
        </w:rPr>
      </w:pPr>
      <w:r>
        <w:rPr>
          <w:rFonts w:hint="eastAsia" w:ascii="宋体" w:hAnsi="宋体" w:cs="宋体"/>
          <w:color w:val="000000"/>
          <w:szCs w:val="21"/>
          <w:highlight w:val="none"/>
        </w:rPr>
        <w:t>年    月    日</w:t>
      </w:r>
    </w:p>
    <w:p w14:paraId="2BFB2C5E">
      <w:pPr>
        <w:snapToGrid w:val="0"/>
        <w:spacing w:before="50" w:afterLines="50"/>
        <w:jc w:val="right"/>
        <w:rPr>
          <w:rFonts w:ascii="宋体" w:hAnsi="宋体" w:cs="宋体"/>
          <w:color w:val="000000"/>
          <w:szCs w:val="21"/>
          <w:highlight w:val="none"/>
        </w:rPr>
      </w:pPr>
    </w:p>
    <w:p w14:paraId="01A53636">
      <w:pPr>
        <w:snapToGrid w:val="0"/>
        <w:spacing w:before="50" w:afterLines="50"/>
        <w:jc w:val="right"/>
        <w:rPr>
          <w:rFonts w:ascii="宋体" w:hAnsi="宋体" w:cs="宋体"/>
          <w:color w:val="000000"/>
          <w:szCs w:val="21"/>
          <w:highlight w:val="none"/>
        </w:rPr>
      </w:pPr>
    </w:p>
    <w:p w14:paraId="50F392B8">
      <w:pPr>
        <w:snapToGrid w:val="0"/>
        <w:spacing w:before="50" w:afterLines="50"/>
        <w:jc w:val="right"/>
        <w:rPr>
          <w:rFonts w:ascii="宋体" w:hAnsi="宋体" w:cs="宋体"/>
          <w:color w:val="000000"/>
          <w:szCs w:val="21"/>
          <w:highlight w:val="none"/>
        </w:rPr>
      </w:pPr>
    </w:p>
    <w:p w14:paraId="3295E2AE">
      <w:pPr>
        <w:snapToGrid w:val="0"/>
        <w:spacing w:before="50" w:afterLines="50"/>
        <w:jc w:val="right"/>
        <w:rPr>
          <w:rFonts w:ascii="宋体" w:hAnsi="宋体" w:cs="宋体"/>
          <w:color w:val="000000"/>
          <w:szCs w:val="21"/>
          <w:highlight w:val="none"/>
        </w:rPr>
      </w:pPr>
    </w:p>
    <w:p w14:paraId="623DA1C2">
      <w:pPr>
        <w:snapToGrid w:val="0"/>
        <w:spacing w:before="50" w:afterLines="50"/>
        <w:jc w:val="right"/>
        <w:rPr>
          <w:rFonts w:ascii="宋体" w:hAnsi="宋体" w:cs="宋体"/>
          <w:color w:val="000000"/>
          <w:szCs w:val="21"/>
          <w:highlight w:val="none"/>
        </w:rPr>
      </w:pPr>
    </w:p>
    <w:p w14:paraId="4387A90C">
      <w:pPr>
        <w:snapToGrid w:val="0"/>
        <w:spacing w:before="50" w:afterLines="50"/>
        <w:jc w:val="right"/>
        <w:rPr>
          <w:rFonts w:ascii="宋体" w:hAnsi="宋体" w:cs="宋体"/>
          <w:color w:val="000000"/>
          <w:szCs w:val="21"/>
          <w:highlight w:val="none"/>
        </w:rPr>
      </w:pPr>
    </w:p>
    <w:p w14:paraId="6CB5D1C6">
      <w:pPr>
        <w:snapToGrid w:val="0"/>
        <w:spacing w:before="50" w:afterLines="50"/>
        <w:jc w:val="center"/>
        <w:rPr>
          <w:rFonts w:ascii="宋体" w:hAnsi="宋体" w:cs="宋体"/>
          <w:b/>
          <w:color w:val="000000"/>
          <w:sz w:val="36"/>
          <w:szCs w:val="36"/>
          <w:highlight w:val="none"/>
        </w:rPr>
      </w:pPr>
      <w:r>
        <w:rPr>
          <w:rFonts w:hint="eastAsia" w:ascii="宋体" w:hAnsi="宋体" w:cs="宋体"/>
          <w:b/>
          <w:color w:val="000000"/>
          <w:sz w:val="36"/>
          <w:szCs w:val="36"/>
          <w:highlight w:val="none"/>
        </w:rPr>
        <w:t>评分标准</w:t>
      </w:r>
    </w:p>
    <w:p w14:paraId="79111611">
      <w:pPr>
        <w:snapToGrid w:val="0"/>
        <w:spacing w:before="50" w:afterLines="50"/>
        <w:jc w:val="right"/>
        <w:rPr>
          <w:rFonts w:ascii="宋体" w:hAnsi="宋体" w:cs="宋体"/>
          <w:color w:val="000000"/>
          <w:szCs w:val="21"/>
          <w:highlight w:val="none"/>
        </w:rPr>
      </w:pPr>
    </w:p>
    <w:tbl>
      <w:tblPr>
        <w:tblStyle w:val="21"/>
        <w:tblW w:w="10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418"/>
        <w:gridCol w:w="7070"/>
      </w:tblGrid>
      <w:tr w14:paraId="42484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1CF7FA8A">
            <w:pPr>
              <w:widowControl/>
              <w:jc w:val="center"/>
              <w:rPr>
                <w:rFonts w:ascii="宋体" w:hAnsi="宋体" w:cs="宋体"/>
                <w:b/>
                <w:kern w:val="0"/>
                <w:sz w:val="24"/>
                <w:highlight w:val="none"/>
              </w:rPr>
            </w:pPr>
            <w:r>
              <w:rPr>
                <w:rFonts w:hint="eastAsia" w:ascii="宋体" w:hAnsi="宋体" w:cs="宋体"/>
                <w:b/>
                <w:kern w:val="0"/>
                <w:sz w:val="24"/>
                <w:highlight w:val="none"/>
              </w:rPr>
              <w:t>项目</w:t>
            </w:r>
          </w:p>
        </w:tc>
        <w:tc>
          <w:tcPr>
            <w:tcW w:w="2418" w:type="dxa"/>
            <w:tcBorders>
              <w:top w:val="single" w:color="auto" w:sz="4" w:space="0"/>
              <w:left w:val="single" w:color="auto" w:sz="4" w:space="0"/>
              <w:bottom w:val="single" w:color="auto" w:sz="4" w:space="0"/>
              <w:right w:val="single" w:color="auto" w:sz="4" w:space="0"/>
            </w:tcBorders>
            <w:vAlign w:val="center"/>
          </w:tcPr>
          <w:p w14:paraId="515986D1">
            <w:pPr>
              <w:widowControl/>
              <w:jc w:val="center"/>
              <w:rPr>
                <w:rFonts w:ascii="宋体" w:hAnsi="宋体" w:cs="宋体"/>
                <w:b/>
                <w:kern w:val="0"/>
                <w:sz w:val="24"/>
                <w:highlight w:val="none"/>
              </w:rPr>
            </w:pPr>
            <w:r>
              <w:rPr>
                <w:rFonts w:hint="eastAsia" w:ascii="宋体" w:hAnsi="宋体" w:cs="宋体"/>
                <w:b/>
                <w:kern w:val="0"/>
                <w:sz w:val="24"/>
                <w:highlight w:val="none"/>
              </w:rPr>
              <w:t>评分因素</w:t>
            </w:r>
          </w:p>
        </w:tc>
        <w:tc>
          <w:tcPr>
            <w:tcW w:w="7070" w:type="dxa"/>
            <w:tcBorders>
              <w:top w:val="single" w:color="auto" w:sz="4" w:space="0"/>
              <w:left w:val="single" w:color="auto" w:sz="4" w:space="0"/>
              <w:bottom w:val="single" w:color="auto" w:sz="4" w:space="0"/>
              <w:right w:val="single" w:color="auto" w:sz="4" w:space="0"/>
            </w:tcBorders>
            <w:vAlign w:val="center"/>
          </w:tcPr>
          <w:p w14:paraId="073AA21D">
            <w:pPr>
              <w:widowControl/>
              <w:jc w:val="center"/>
              <w:rPr>
                <w:rFonts w:ascii="宋体" w:hAnsi="宋体" w:cs="宋体"/>
                <w:b/>
                <w:kern w:val="0"/>
                <w:sz w:val="24"/>
                <w:highlight w:val="none"/>
              </w:rPr>
            </w:pPr>
            <w:r>
              <w:rPr>
                <w:rFonts w:hint="eastAsia" w:ascii="宋体" w:hAnsi="宋体" w:cs="宋体"/>
                <w:b/>
                <w:kern w:val="0"/>
                <w:sz w:val="24"/>
                <w:highlight w:val="none"/>
              </w:rPr>
              <w:t>评价内容及分项分值</w:t>
            </w:r>
          </w:p>
        </w:tc>
      </w:tr>
      <w:tr w14:paraId="2308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1BF5005D">
            <w:pPr>
              <w:spacing w:line="360" w:lineRule="auto"/>
              <w:jc w:val="left"/>
              <w:rPr>
                <w:rFonts w:ascii="宋体" w:hAnsi="宋体" w:cs="宋体"/>
                <w:sz w:val="24"/>
                <w:szCs w:val="24"/>
                <w:highlight w:val="none"/>
              </w:rPr>
            </w:pPr>
            <w:r>
              <w:rPr>
                <w:rFonts w:hint="eastAsia" w:ascii="宋体" w:hAnsi="宋体" w:cs="宋体"/>
                <w:sz w:val="24"/>
                <w:szCs w:val="24"/>
                <w:highlight w:val="none"/>
              </w:rPr>
              <w:t>价格分</w:t>
            </w:r>
          </w:p>
          <w:p w14:paraId="18EE9779">
            <w:pPr>
              <w:spacing w:line="360" w:lineRule="auto"/>
              <w:jc w:val="left"/>
              <w:rPr>
                <w:rFonts w:ascii="宋体" w:hAnsi="宋体" w:cs="宋体"/>
                <w:sz w:val="24"/>
                <w:szCs w:val="24"/>
                <w:highlight w:val="none"/>
              </w:rPr>
            </w:pPr>
            <w:r>
              <w:rPr>
                <w:rFonts w:hint="eastAsia" w:ascii="宋体" w:hAnsi="宋体" w:cs="宋体"/>
                <w:sz w:val="24"/>
                <w:szCs w:val="24"/>
                <w:highlight w:val="none"/>
              </w:rPr>
              <w:t>（30分）</w:t>
            </w:r>
          </w:p>
        </w:tc>
        <w:tc>
          <w:tcPr>
            <w:tcW w:w="2418" w:type="dxa"/>
            <w:tcBorders>
              <w:top w:val="single" w:color="auto" w:sz="4" w:space="0"/>
              <w:left w:val="single" w:color="auto" w:sz="4" w:space="0"/>
              <w:bottom w:val="single" w:color="auto" w:sz="4" w:space="0"/>
              <w:right w:val="single" w:color="auto" w:sz="4" w:space="0"/>
            </w:tcBorders>
            <w:vAlign w:val="center"/>
          </w:tcPr>
          <w:p w14:paraId="51C80983">
            <w:pPr>
              <w:spacing w:line="360" w:lineRule="auto"/>
              <w:jc w:val="left"/>
              <w:rPr>
                <w:rFonts w:ascii="宋体" w:hAnsi="宋体" w:cs="宋体"/>
                <w:sz w:val="24"/>
                <w:szCs w:val="24"/>
                <w:highlight w:val="none"/>
              </w:rPr>
            </w:pPr>
            <w:r>
              <w:rPr>
                <w:rFonts w:hint="eastAsia" w:ascii="宋体" w:hAnsi="宋体" w:cs="宋体"/>
                <w:sz w:val="24"/>
                <w:szCs w:val="24"/>
                <w:highlight w:val="none"/>
              </w:rPr>
              <w:t>投标报价</w:t>
            </w:r>
          </w:p>
          <w:p w14:paraId="13F1C859">
            <w:pPr>
              <w:spacing w:line="360" w:lineRule="auto"/>
              <w:jc w:val="left"/>
              <w:rPr>
                <w:rFonts w:ascii="宋体" w:hAnsi="宋体" w:cs="宋体"/>
                <w:sz w:val="24"/>
                <w:szCs w:val="24"/>
                <w:highlight w:val="none"/>
              </w:rPr>
            </w:pPr>
            <w:r>
              <w:rPr>
                <w:rFonts w:hint="eastAsia" w:ascii="宋体" w:hAnsi="宋体" w:cs="宋体"/>
                <w:sz w:val="24"/>
                <w:szCs w:val="24"/>
                <w:highlight w:val="none"/>
              </w:rPr>
              <w:t>（30分）</w:t>
            </w:r>
          </w:p>
        </w:tc>
        <w:tc>
          <w:tcPr>
            <w:tcW w:w="7070" w:type="dxa"/>
            <w:tcBorders>
              <w:top w:val="single" w:color="auto" w:sz="4" w:space="0"/>
              <w:left w:val="single" w:color="auto" w:sz="4" w:space="0"/>
              <w:bottom w:val="single" w:color="auto" w:sz="4" w:space="0"/>
              <w:right w:val="single" w:color="auto" w:sz="4" w:space="0"/>
            </w:tcBorders>
            <w:vAlign w:val="center"/>
          </w:tcPr>
          <w:p w14:paraId="12B906B8">
            <w:pPr>
              <w:spacing w:line="360" w:lineRule="auto"/>
              <w:jc w:val="left"/>
              <w:rPr>
                <w:rFonts w:ascii="宋体" w:hAnsi="宋体" w:cs="宋体"/>
                <w:sz w:val="24"/>
                <w:szCs w:val="24"/>
                <w:highlight w:val="none"/>
              </w:rPr>
            </w:pPr>
            <w:r>
              <w:rPr>
                <w:rFonts w:hint="eastAsia" w:ascii="宋体" w:hAnsi="宋体" w:cs="宋体"/>
                <w:sz w:val="24"/>
                <w:szCs w:val="24"/>
                <w:highlight w:val="none"/>
              </w:rPr>
              <w:t>价格评分的计算方法如下：</w:t>
            </w:r>
          </w:p>
          <w:p w14:paraId="2D582A73">
            <w:pPr>
              <w:spacing w:line="360" w:lineRule="auto"/>
              <w:jc w:val="left"/>
              <w:rPr>
                <w:rFonts w:ascii="宋体" w:hAnsi="宋体" w:cs="宋体"/>
                <w:sz w:val="24"/>
                <w:szCs w:val="24"/>
                <w:highlight w:val="none"/>
              </w:rPr>
            </w:pPr>
            <w:r>
              <w:rPr>
                <w:rFonts w:hint="eastAsia" w:ascii="宋体" w:hAnsi="宋体" w:cs="宋体"/>
                <w:sz w:val="24"/>
                <w:szCs w:val="24"/>
                <w:highlight w:val="none"/>
              </w:rPr>
              <w:t>1、满足需求要求且报价价格最低的报价为评标基准价，其价格分为满分(30分)；</w:t>
            </w:r>
          </w:p>
          <w:p w14:paraId="7DE3E0F9">
            <w:pPr>
              <w:spacing w:line="360" w:lineRule="auto"/>
              <w:jc w:val="left"/>
              <w:rPr>
                <w:rFonts w:ascii="宋体" w:hAnsi="宋体" w:cs="宋体"/>
                <w:sz w:val="24"/>
                <w:szCs w:val="24"/>
                <w:highlight w:val="none"/>
              </w:rPr>
            </w:pPr>
            <w:r>
              <w:rPr>
                <w:rFonts w:hint="eastAsia" w:ascii="宋体" w:hAnsi="宋体" w:cs="宋体"/>
                <w:sz w:val="24"/>
                <w:szCs w:val="24"/>
                <w:highlight w:val="none"/>
              </w:rPr>
              <w:t>2、其他合格供应商的报价得分按如下公式计算：报价得分=（基准价/报价）×30</w:t>
            </w:r>
          </w:p>
        </w:tc>
      </w:tr>
      <w:tr w14:paraId="505D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jc w:val="center"/>
        </w:trPr>
        <w:tc>
          <w:tcPr>
            <w:tcW w:w="1411" w:type="dxa"/>
            <w:vMerge w:val="restart"/>
            <w:tcBorders>
              <w:top w:val="single" w:color="auto" w:sz="4" w:space="0"/>
              <w:left w:val="single" w:color="auto" w:sz="4" w:space="0"/>
              <w:bottom w:val="single" w:color="auto" w:sz="4" w:space="0"/>
              <w:right w:val="single" w:color="auto" w:sz="4" w:space="0"/>
            </w:tcBorders>
            <w:vAlign w:val="center"/>
          </w:tcPr>
          <w:p w14:paraId="020730EF">
            <w:pPr>
              <w:spacing w:line="360" w:lineRule="auto"/>
              <w:jc w:val="left"/>
              <w:rPr>
                <w:rFonts w:ascii="宋体" w:hAnsi="宋体" w:cs="宋体"/>
                <w:sz w:val="24"/>
                <w:szCs w:val="24"/>
                <w:highlight w:val="none"/>
              </w:rPr>
            </w:pPr>
            <w:r>
              <w:rPr>
                <w:rFonts w:hint="eastAsia" w:ascii="宋体" w:hAnsi="宋体" w:cs="宋体"/>
                <w:sz w:val="24"/>
                <w:szCs w:val="24"/>
                <w:highlight w:val="none"/>
              </w:rPr>
              <w:t>技术分</w:t>
            </w:r>
          </w:p>
          <w:p w14:paraId="678D7980">
            <w:pPr>
              <w:spacing w:line="360" w:lineRule="auto"/>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48</w:t>
            </w:r>
            <w:r>
              <w:rPr>
                <w:rFonts w:hint="eastAsia" w:ascii="宋体" w:hAnsi="宋体" w:cs="宋体"/>
                <w:sz w:val="24"/>
                <w:szCs w:val="24"/>
                <w:highlight w:val="none"/>
              </w:rPr>
              <w:t>分）</w:t>
            </w:r>
          </w:p>
        </w:tc>
        <w:tc>
          <w:tcPr>
            <w:tcW w:w="2418" w:type="dxa"/>
            <w:tcBorders>
              <w:top w:val="single" w:color="auto" w:sz="4" w:space="0"/>
              <w:left w:val="single" w:color="auto" w:sz="4" w:space="0"/>
              <w:right w:val="single" w:color="auto" w:sz="4" w:space="0"/>
            </w:tcBorders>
            <w:vAlign w:val="center"/>
          </w:tcPr>
          <w:p w14:paraId="3966B11C">
            <w:pPr>
              <w:spacing w:line="360" w:lineRule="auto"/>
              <w:jc w:val="left"/>
              <w:rPr>
                <w:rFonts w:ascii="宋体" w:hAnsi="宋体" w:cs="宋体"/>
                <w:sz w:val="24"/>
                <w:szCs w:val="24"/>
                <w:highlight w:val="none"/>
              </w:rPr>
            </w:pPr>
            <w:r>
              <w:rPr>
                <w:rFonts w:hint="eastAsia" w:ascii="宋体" w:hAnsi="宋体" w:cs="宋体"/>
                <w:sz w:val="24"/>
                <w:szCs w:val="24"/>
                <w:highlight w:val="none"/>
              </w:rPr>
              <w:t>项目</w:t>
            </w:r>
            <w:r>
              <w:rPr>
                <w:rFonts w:hint="eastAsia" w:ascii="宋体" w:hAnsi="宋体" w:cs="宋体"/>
                <w:sz w:val="24"/>
                <w:szCs w:val="24"/>
                <w:highlight w:val="none"/>
                <w:lang w:eastAsia="zh-CN"/>
              </w:rPr>
              <w:t>维保</w:t>
            </w:r>
            <w:r>
              <w:rPr>
                <w:rFonts w:hint="eastAsia" w:ascii="宋体" w:hAnsi="宋体" w:cs="宋体"/>
                <w:sz w:val="24"/>
                <w:szCs w:val="24"/>
                <w:highlight w:val="none"/>
              </w:rPr>
              <w:t>方案</w:t>
            </w:r>
          </w:p>
          <w:p w14:paraId="44F26F0E">
            <w:pPr>
              <w:spacing w:line="360" w:lineRule="auto"/>
              <w:jc w:val="left"/>
              <w:rPr>
                <w:rFonts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val="en-US" w:eastAsia="zh-CN"/>
              </w:rPr>
              <w:t>8</w:t>
            </w:r>
            <w:r>
              <w:rPr>
                <w:rFonts w:hint="eastAsia" w:ascii="宋体" w:hAnsi="宋体" w:cs="宋体"/>
                <w:sz w:val="24"/>
                <w:szCs w:val="24"/>
                <w:highlight w:val="none"/>
              </w:rPr>
              <w:t>分）</w:t>
            </w:r>
          </w:p>
        </w:tc>
        <w:tc>
          <w:tcPr>
            <w:tcW w:w="7070" w:type="dxa"/>
            <w:tcBorders>
              <w:top w:val="single" w:color="auto" w:sz="4" w:space="0"/>
              <w:left w:val="single" w:color="auto" w:sz="4" w:space="0"/>
              <w:right w:val="single" w:color="auto" w:sz="4" w:space="0"/>
            </w:tcBorders>
            <w:vAlign w:val="center"/>
          </w:tcPr>
          <w:p w14:paraId="5799D8A6">
            <w:pPr>
              <w:spacing w:line="360" w:lineRule="auto"/>
              <w:jc w:val="left"/>
              <w:rPr>
                <w:rFonts w:ascii="宋体" w:hAnsi="宋体" w:cs="宋体"/>
                <w:sz w:val="24"/>
                <w:szCs w:val="24"/>
                <w:highlight w:val="none"/>
              </w:rPr>
            </w:pPr>
            <w:r>
              <w:rPr>
                <w:rFonts w:hint="eastAsia" w:ascii="宋体" w:hAnsi="宋体" w:cs="宋体"/>
                <w:sz w:val="24"/>
                <w:szCs w:val="24"/>
                <w:highlight w:val="none"/>
              </w:rPr>
              <w:t>根据各响应供应商提供对本项目维保方案、故障响应时间、处理方案进行评审：</w:t>
            </w:r>
          </w:p>
          <w:p w14:paraId="6CB7FDFA">
            <w:pPr>
              <w:spacing w:line="360" w:lineRule="auto"/>
              <w:jc w:val="left"/>
              <w:rPr>
                <w:rFonts w:ascii="宋体" w:hAnsi="宋体" w:cs="宋体"/>
                <w:sz w:val="24"/>
                <w:szCs w:val="24"/>
                <w:highlight w:val="none"/>
              </w:rPr>
            </w:pPr>
            <w:r>
              <w:rPr>
                <w:rFonts w:hint="eastAsia" w:ascii="宋体" w:hAnsi="宋体" w:cs="宋体"/>
                <w:sz w:val="24"/>
                <w:szCs w:val="24"/>
                <w:highlight w:val="none"/>
              </w:rPr>
              <w:t>1、提供的维保方案</w:t>
            </w:r>
            <w:r>
              <w:rPr>
                <w:rFonts w:hint="eastAsia" w:ascii="宋体" w:hAnsi="宋体" w:cs="宋体"/>
                <w:sz w:val="24"/>
                <w:szCs w:val="24"/>
                <w:highlight w:val="none"/>
                <w:lang w:eastAsia="zh-CN"/>
              </w:rPr>
              <w:t>中，</w:t>
            </w:r>
            <w:r>
              <w:rPr>
                <w:rFonts w:hint="eastAsia" w:ascii="宋体" w:hAnsi="宋体" w:eastAsia="宋体" w:cs="宋体"/>
                <w:sz w:val="24"/>
                <w:highlight w:val="none"/>
              </w:rPr>
              <w:t>故障响应时间</w:t>
            </w:r>
            <w:r>
              <w:rPr>
                <w:rFonts w:hint="eastAsia" w:ascii="宋体" w:hAnsi="宋体" w:cs="宋体"/>
                <w:sz w:val="24"/>
                <w:highlight w:val="none"/>
                <w:lang w:eastAsia="zh-CN"/>
              </w:rPr>
              <w:t>（</w:t>
            </w:r>
            <w:r>
              <w:rPr>
                <w:rFonts w:hint="eastAsia" w:ascii="宋体" w:hAnsi="宋体" w:eastAsia="宋体" w:cs="宋体"/>
                <w:sz w:val="24"/>
                <w:highlight w:val="none"/>
              </w:rPr>
              <w:t>维保单位在接到通知后20分钟赶到现场实施处理，每次</w:t>
            </w:r>
            <w:r>
              <w:rPr>
                <w:rFonts w:hint="eastAsia" w:ascii="宋体" w:hAnsi="宋体" w:cs="宋体"/>
                <w:sz w:val="24"/>
                <w:highlight w:val="none"/>
                <w:lang w:eastAsia="zh-CN"/>
              </w:rPr>
              <w:t>故障在</w:t>
            </w:r>
            <w:r>
              <w:rPr>
                <w:rFonts w:hint="eastAsia" w:ascii="宋体" w:hAnsi="宋体" w:eastAsia="宋体" w:cs="宋体"/>
                <w:sz w:val="24"/>
                <w:highlight w:val="none"/>
              </w:rPr>
              <w:t>6小时内解决</w:t>
            </w:r>
            <w:r>
              <w:rPr>
                <w:rFonts w:hint="eastAsia" w:ascii="宋体" w:hAnsi="宋体" w:cs="宋体"/>
                <w:sz w:val="24"/>
                <w:highlight w:val="none"/>
                <w:lang w:eastAsia="zh-CN"/>
              </w:rPr>
              <w:t>），</w:t>
            </w:r>
            <w:r>
              <w:rPr>
                <w:rFonts w:hint="eastAsia" w:ascii="宋体" w:hAnsi="宋体" w:eastAsia="宋体" w:cs="宋体"/>
                <w:sz w:val="24"/>
                <w:highlight w:val="none"/>
              </w:rPr>
              <w:t>处理方案</w:t>
            </w:r>
            <w:r>
              <w:rPr>
                <w:rFonts w:hint="eastAsia" w:ascii="宋体" w:hAnsi="宋体" w:cs="宋体"/>
                <w:sz w:val="24"/>
                <w:szCs w:val="24"/>
                <w:highlight w:val="none"/>
              </w:rPr>
              <w:t>可操作性强、专业性强、合理性强，适用性强的，得</w:t>
            </w:r>
            <w:r>
              <w:rPr>
                <w:rFonts w:hint="eastAsia" w:ascii="宋体" w:hAnsi="宋体" w:cs="宋体"/>
                <w:sz w:val="24"/>
                <w:szCs w:val="24"/>
                <w:highlight w:val="none"/>
                <w:lang w:val="en-US" w:eastAsia="zh-CN"/>
              </w:rPr>
              <w:t>28</w:t>
            </w:r>
            <w:r>
              <w:rPr>
                <w:rFonts w:hint="eastAsia" w:ascii="宋体" w:hAnsi="宋体" w:cs="宋体"/>
                <w:sz w:val="24"/>
                <w:szCs w:val="24"/>
                <w:highlight w:val="none"/>
              </w:rPr>
              <w:t>分；</w:t>
            </w:r>
          </w:p>
          <w:p w14:paraId="6287DC14">
            <w:pPr>
              <w:spacing w:line="360" w:lineRule="auto"/>
              <w:jc w:val="left"/>
              <w:rPr>
                <w:rFonts w:ascii="宋体" w:hAnsi="宋体" w:cs="宋体"/>
                <w:sz w:val="24"/>
                <w:szCs w:val="24"/>
                <w:highlight w:val="none"/>
              </w:rPr>
            </w:pPr>
            <w:r>
              <w:rPr>
                <w:rFonts w:hint="eastAsia" w:ascii="宋体" w:hAnsi="宋体" w:cs="宋体"/>
                <w:sz w:val="24"/>
                <w:szCs w:val="24"/>
                <w:highlight w:val="none"/>
              </w:rPr>
              <w:t>2、提供的维保方案</w:t>
            </w:r>
            <w:r>
              <w:rPr>
                <w:rFonts w:hint="eastAsia" w:ascii="宋体" w:hAnsi="宋体" w:cs="宋体"/>
                <w:sz w:val="24"/>
                <w:szCs w:val="24"/>
                <w:highlight w:val="none"/>
                <w:lang w:eastAsia="zh-CN"/>
              </w:rPr>
              <w:t>中，</w:t>
            </w:r>
            <w:r>
              <w:rPr>
                <w:rFonts w:hint="eastAsia" w:ascii="宋体" w:hAnsi="宋体" w:eastAsia="宋体" w:cs="宋体"/>
                <w:sz w:val="24"/>
                <w:highlight w:val="none"/>
              </w:rPr>
              <w:t>故障响应时间</w:t>
            </w:r>
            <w:r>
              <w:rPr>
                <w:rFonts w:hint="eastAsia" w:ascii="宋体" w:hAnsi="宋体" w:cs="宋体"/>
                <w:sz w:val="24"/>
                <w:highlight w:val="none"/>
                <w:lang w:eastAsia="zh-CN"/>
              </w:rPr>
              <w:t>（</w:t>
            </w:r>
            <w:r>
              <w:rPr>
                <w:rFonts w:hint="eastAsia" w:ascii="宋体" w:hAnsi="宋体" w:eastAsia="宋体" w:cs="宋体"/>
                <w:sz w:val="24"/>
                <w:highlight w:val="none"/>
              </w:rPr>
              <w:t>维保单位在接到通知后</w:t>
            </w:r>
            <w:r>
              <w:rPr>
                <w:rFonts w:hint="eastAsia" w:ascii="宋体" w:hAnsi="宋体" w:cs="宋体"/>
                <w:sz w:val="24"/>
                <w:highlight w:val="none"/>
                <w:lang w:val="en-US" w:eastAsia="zh-CN"/>
              </w:rPr>
              <w:t>30</w:t>
            </w:r>
            <w:r>
              <w:rPr>
                <w:rFonts w:hint="eastAsia" w:ascii="宋体" w:hAnsi="宋体" w:eastAsia="宋体" w:cs="宋体"/>
                <w:sz w:val="24"/>
                <w:highlight w:val="none"/>
              </w:rPr>
              <w:t>分钟赶到现场实施处理，每次</w:t>
            </w:r>
            <w:r>
              <w:rPr>
                <w:rFonts w:hint="eastAsia" w:ascii="宋体" w:hAnsi="宋体" w:cs="宋体"/>
                <w:sz w:val="24"/>
                <w:highlight w:val="none"/>
                <w:lang w:eastAsia="zh-CN"/>
              </w:rPr>
              <w:t>故障在</w:t>
            </w:r>
            <w:r>
              <w:rPr>
                <w:rFonts w:hint="eastAsia" w:ascii="宋体" w:hAnsi="宋体" w:cs="宋体"/>
                <w:sz w:val="24"/>
                <w:highlight w:val="none"/>
                <w:lang w:val="en-US" w:eastAsia="zh-CN"/>
              </w:rPr>
              <w:t>8</w:t>
            </w:r>
            <w:r>
              <w:rPr>
                <w:rFonts w:hint="eastAsia" w:ascii="宋体" w:hAnsi="宋体" w:eastAsia="宋体" w:cs="宋体"/>
                <w:sz w:val="24"/>
                <w:highlight w:val="none"/>
              </w:rPr>
              <w:t>小时内解决</w:t>
            </w:r>
            <w:r>
              <w:rPr>
                <w:rFonts w:hint="eastAsia" w:ascii="宋体" w:hAnsi="宋体" w:cs="宋体"/>
                <w:sz w:val="24"/>
                <w:highlight w:val="none"/>
                <w:lang w:eastAsia="zh-CN"/>
              </w:rPr>
              <w:t>），</w:t>
            </w:r>
            <w:r>
              <w:rPr>
                <w:rFonts w:hint="eastAsia" w:ascii="宋体" w:hAnsi="宋体" w:eastAsia="宋体" w:cs="宋体"/>
                <w:sz w:val="24"/>
                <w:highlight w:val="none"/>
              </w:rPr>
              <w:t>处理方案</w:t>
            </w:r>
            <w:r>
              <w:rPr>
                <w:rFonts w:hint="eastAsia" w:ascii="宋体" w:hAnsi="宋体" w:cs="宋体"/>
                <w:sz w:val="24"/>
                <w:szCs w:val="24"/>
                <w:highlight w:val="none"/>
              </w:rPr>
              <w:t>较完整、可操作性较强、专业性较强、合理性较强，适用性较强的，得</w:t>
            </w:r>
            <w:r>
              <w:rPr>
                <w:rFonts w:hint="eastAsia" w:ascii="宋体" w:hAnsi="宋体" w:cs="宋体"/>
                <w:sz w:val="24"/>
                <w:szCs w:val="24"/>
                <w:highlight w:val="none"/>
                <w:lang w:val="en-US" w:eastAsia="zh-CN"/>
              </w:rPr>
              <w:t>21</w:t>
            </w:r>
            <w:r>
              <w:rPr>
                <w:rFonts w:hint="eastAsia" w:ascii="宋体" w:hAnsi="宋体" w:cs="宋体"/>
                <w:sz w:val="24"/>
                <w:szCs w:val="24"/>
                <w:highlight w:val="none"/>
              </w:rPr>
              <w:t>分；</w:t>
            </w:r>
          </w:p>
          <w:p w14:paraId="1596FF77">
            <w:pPr>
              <w:spacing w:line="360" w:lineRule="auto"/>
              <w:jc w:val="left"/>
              <w:rPr>
                <w:rFonts w:ascii="宋体" w:hAnsi="宋体" w:cs="宋体"/>
                <w:sz w:val="24"/>
                <w:szCs w:val="24"/>
                <w:highlight w:val="none"/>
              </w:rPr>
            </w:pPr>
            <w:r>
              <w:rPr>
                <w:rFonts w:hint="eastAsia" w:ascii="宋体" w:hAnsi="宋体" w:cs="宋体"/>
                <w:sz w:val="24"/>
                <w:szCs w:val="24"/>
                <w:highlight w:val="none"/>
              </w:rPr>
              <w:t>3、提供的维保方案</w:t>
            </w:r>
            <w:r>
              <w:rPr>
                <w:rFonts w:hint="eastAsia" w:ascii="宋体" w:hAnsi="宋体" w:cs="宋体"/>
                <w:sz w:val="24"/>
                <w:szCs w:val="24"/>
                <w:highlight w:val="none"/>
                <w:lang w:eastAsia="zh-CN"/>
              </w:rPr>
              <w:t>中、</w:t>
            </w:r>
            <w:r>
              <w:rPr>
                <w:rFonts w:hint="eastAsia" w:ascii="宋体" w:hAnsi="宋体" w:eastAsia="宋体" w:cs="宋体"/>
                <w:sz w:val="24"/>
                <w:highlight w:val="none"/>
              </w:rPr>
              <w:t>故障响应时间</w:t>
            </w:r>
            <w:r>
              <w:rPr>
                <w:rFonts w:hint="eastAsia" w:ascii="宋体" w:hAnsi="宋体" w:cs="宋体"/>
                <w:sz w:val="24"/>
                <w:highlight w:val="none"/>
                <w:lang w:eastAsia="zh-CN"/>
              </w:rPr>
              <w:t>（</w:t>
            </w:r>
            <w:r>
              <w:rPr>
                <w:rFonts w:hint="eastAsia" w:ascii="宋体" w:hAnsi="宋体" w:eastAsia="宋体" w:cs="宋体"/>
                <w:sz w:val="24"/>
                <w:highlight w:val="none"/>
              </w:rPr>
              <w:t>维保单位在接到通知后</w:t>
            </w:r>
            <w:r>
              <w:rPr>
                <w:rFonts w:hint="eastAsia" w:ascii="宋体" w:hAnsi="宋体" w:cs="宋体"/>
                <w:sz w:val="24"/>
                <w:highlight w:val="none"/>
                <w:lang w:val="en-US" w:eastAsia="zh-CN"/>
              </w:rPr>
              <w:t>50</w:t>
            </w:r>
            <w:r>
              <w:rPr>
                <w:rFonts w:hint="eastAsia" w:ascii="宋体" w:hAnsi="宋体" w:eastAsia="宋体" w:cs="宋体"/>
                <w:sz w:val="24"/>
                <w:highlight w:val="none"/>
              </w:rPr>
              <w:t>分钟赶到现场实施处理，每次</w:t>
            </w:r>
            <w:r>
              <w:rPr>
                <w:rFonts w:hint="eastAsia" w:ascii="宋体" w:hAnsi="宋体" w:cs="宋体"/>
                <w:sz w:val="24"/>
                <w:highlight w:val="none"/>
                <w:lang w:eastAsia="zh-CN"/>
              </w:rPr>
              <w:t>故障在</w:t>
            </w:r>
            <w:r>
              <w:rPr>
                <w:rFonts w:hint="eastAsia" w:ascii="宋体" w:hAnsi="宋体" w:cs="宋体"/>
                <w:sz w:val="24"/>
                <w:highlight w:val="none"/>
                <w:lang w:val="en-US" w:eastAsia="zh-CN"/>
              </w:rPr>
              <w:t>12</w:t>
            </w:r>
            <w:r>
              <w:rPr>
                <w:rFonts w:hint="eastAsia" w:ascii="宋体" w:hAnsi="宋体" w:eastAsia="宋体" w:cs="宋体"/>
                <w:sz w:val="24"/>
                <w:highlight w:val="none"/>
              </w:rPr>
              <w:t>小时内解决</w:t>
            </w:r>
            <w:r>
              <w:rPr>
                <w:rFonts w:hint="eastAsia" w:ascii="宋体" w:hAnsi="宋体" w:cs="宋体"/>
                <w:sz w:val="24"/>
                <w:highlight w:val="none"/>
                <w:lang w:eastAsia="zh-CN"/>
              </w:rPr>
              <w:t>），</w:t>
            </w:r>
            <w:r>
              <w:rPr>
                <w:rFonts w:hint="eastAsia" w:ascii="宋体" w:hAnsi="宋体" w:eastAsia="宋体" w:cs="宋体"/>
                <w:sz w:val="24"/>
                <w:highlight w:val="none"/>
              </w:rPr>
              <w:t>处理方案</w:t>
            </w:r>
            <w:r>
              <w:rPr>
                <w:rFonts w:hint="eastAsia" w:ascii="宋体" w:hAnsi="宋体" w:cs="宋体"/>
                <w:sz w:val="24"/>
                <w:szCs w:val="24"/>
                <w:highlight w:val="none"/>
              </w:rPr>
              <w:t>基本完整、具有可操作性、专业性一般、合理性较强，适用性一般的，得</w:t>
            </w:r>
            <w:r>
              <w:rPr>
                <w:rFonts w:hint="eastAsia" w:ascii="宋体" w:hAnsi="宋体" w:cs="宋体"/>
                <w:sz w:val="24"/>
                <w:szCs w:val="24"/>
                <w:highlight w:val="none"/>
                <w:lang w:val="en-US" w:eastAsia="zh-CN"/>
              </w:rPr>
              <w:t>14</w:t>
            </w:r>
            <w:r>
              <w:rPr>
                <w:rFonts w:hint="eastAsia" w:ascii="宋体" w:hAnsi="宋体" w:cs="宋体"/>
                <w:sz w:val="24"/>
                <w:szCs w:val="24"/>
                <w:highlight w:val="none"/>
              </w:rPr>
              <w:t>分；</w:t>
            </w:r>
          </w:p>
          <w:p w14:paraId="4F1547CF">
            <w:pPr>
              <w:spacing w:line="360" w:lineRule="auto"/>
              <w:jc w:val="left"/>
              <w:rPr>
                <w:rFonts w:ascii="宋体" w:hAnsi="宋体" w:cs="宋体"/>
                <w:sz w:val="24"/>
                <w:szCs w:val="24"/>
                <w:highlight w:val="none"/>
              </w:rPr>
            </w:pPr>
            <w:r>
              <w:rPr>
                <w:rFonts w:hint="eastAsia" w:ascii="宋体" w:hAnsi="宋体" w:cs="宋体"/>
                <w:sz w:val="24"/>
                <w:szCs w:val="24"/>
                <w:highlight w:val="none"/>
              </w:rPr>
              <w:t>4、提供的维保方案</w:t>
            </w:r>
            <w:r>
              <w:rPr>
                <w:rFonts w:hint="eastAsia" w:ascii="宋体" w:hAnsi="宋体" w:cs="宋体"/>
                <w:sz w:val="24"/>
                <w:szCs w:val="24"/>
                <w:highlight w:val="none"/>
                <w:lang w:eastAsia="zh-CN"/>
              </w:rPr>
              <w:t>中，无</w:t>
            </w:r>
            <w:r>
              <w:rPr>
                <w:rFonts w:hint="eastAsia" w:ascii="宋体" w:hAnsi="宋体" w:eastAsia="宋体" w:cs="宋体"/>
                <w:sz w:val="24"/>
                <w:highlight w:val="none"/>
              </w:rPr>
              <w:t>故障响应时间、处理方案</w:t>
            </w:r>
            <w:r>
              <w:rPr>
                <w:rFonts w:hint="eastAsia" w:ascii="宋体" w:hAnsi="宋体" w:cs="宋体"/>
                <w:sz w:val="24"/>
                <w:szCs w:val="24"/>
                <w:highlight w:val="none"/>
              </w:rPr>
              <w:t>详细程度差、质量、进度及安全保证措施实施办法差，操作性差的，得</w:t>
            </w:r>
            <w:r>
              <w:rPr>
                <w:rFonts w:hint="eastAsia" w:ascii="宋体" w:hAnsi="宋体" w:cs="宋体"/>
                <w:sz w:val="24"/>
                <w:szCs w:val="24"/>
                <w:highlight w:val="none"/>
                <w:lang w:val="en-US" w:eastAsia="zh-CN"/>
              </w:rPr>
              <w:t>7</w:t>
            </w:r>
            <w:r>
              <w:rPr>
                <w:rFonts w:hint="eastAsia" w:ascii="宋体" w:hAnsi="宋体" w:cs="宋体"/>
                <w:sz w:val="24"/>
                <w:szCs w:val="24"/>
                <w:highlight w:val="none"/>
              </w:rPr>
              <w:t>分。</w:t>
            </w:r>
          </w:p>
        </w:tc>
      </w:tr>
      <w:tr w14:paraId="52B8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7" w:hRule="atLeast"/>
          <w:jc w:val="center"/>
        </w:trPr>
        <w:tc>
          <w:tcPr>
            <w:tcW w:w="1411" w:type="dxa"/>
            <w:vMerge w:val="continue"/>
            <w:tcBorders>
              <w:left w:val="single" w:color="auto" w:sz="4" w:space="0"/>
              <w:right w:val="single" w:color="auto" w:sz="4" w:space="0"/>
            </w:tcBorders>
            <w:vAlign w:val="center"/>
          </w:tcPr>
          <w:p w14:paraId="362B57D8">
            <w:pPr>
              <w:spacing w:line="360" w:lineRule="auto"/>
              <w:jc w:val="left"/>
              <w:rPr>
                <w:rFonts w:hint="eastAsia" w:ascii="宋体" w:hAnsi="宋体" w:cs="宋体"/>
                <w:sz w:val="24"/>
                <w:szCs w:val="24"/>
                <w:highlight w:val="none"/>
              </w:rPr>
            </w:pPr>
          </w:p>
        </w:tc>
        <w:tc>
          <w:tcPr>
            <w:tcW w:w="2418" w:type="dxa"/>
            <w:tcBorders>
              <w:top w:val="single" w:color="auto" w:sz="4" w:space="0"/>
              <w:left w:val="single" w:color="auto" w:sz="4" w:space="0"/>
              <w:right w:val="single" w:color="auto" w:sz="4" w:space="0"/>
            </w:tcBorders>
            <w:vAlign w:val="center"/>
          </w:tcPr>
          <w:p w14:paraId="0C8DEBA8">
            <w:pPr>
              <w:spacing w:line="360" w:lineRule="auto"/>
              <w:jc w:val="left"/>
              <w:rPr>
                <w:rFonts w:hint="eastAsia" w:ascii="宋体" w:hAnsi="宋体" w:cs="宋体"/>
                <w:sz w:val="24"/>
                <w:szCs w:val="24"/>
                <w:highlight w:val="none"/>
              </w:rPr>
            </w:pPr>
            <w:r>
              <w:rPr>
                <w:rFonts w:hint="eastAsia" w:ascii="宋体" w:hAnsi="宋体"/>
                <w:color w:val="000000"/>
                <w:szCs w:val="21"/>
                <w:highlight w:val="none"/>
              </w:rPr>
              <w:t>应急预案分（</w:t>
            </w:r>
            <w:r>
              <w:rPr>
                <w:rFonts w:hint="eastAsia" w:ascii="宋体" w:hAnsi="宋体"/>
                <w:color w:val="000000"/>
                <w:szCs w:val="21"/>
                <w:highlight w:val="none"/>
                <w:lang w:val="en-US" w:eastAsia="zh-CN"/>
              </w:rPr>
              <w:t>15</w:t>
            </w:r>
            <w:r>
              <w:rPr>
                <w:rFonts w:hint="eastAsia" w:ascii="宋体" w:hAnsi="宋体"/>
                <w:color w:val="000000"/>
                <w:szCs w:val="21"/>
                <w:highlight w:val="none"/>
              </w:rPr>
              <w:t>分）</w:t>
            </w:r>
          </w:p>
        </w:tc>
        <w:tc>
          <w:tcPr>
            <w:tcW w:w="7070" w:type="dxa"/>
            <w:tcBorders>
              <w:top w:val="single" w:color="auto" w:sz="4" w:space="0"/>
              <w:left w:val="single" w:color="auto" w:sz="4" w:space="0"/>
              <w:right w:val="single" w:color="auto" w:sz="4" w:space="0"/>
            </w:tcBorders>
            <w:vAlign w:val="center"/>
          </w:tcPr>
          <w:p w14:paraId="60251EA5">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根据各响应供应商提供的应急预案，结合采购人院区</w:t>
            </w:r>
            <w:r>
              <w:rPr>
                <w:rFonts w:hint="eastAsia" w:ascii="宋体" w:hAnsi="宋体" w:cs="宋体"/>
                <w:sz w:val="24"/>
                <w:szCs w:val="24"/>
                <w:highlight w:val="none"/>
                <w:lang w:eastAsia="zh-CN"/>
              </w:rPr>
              <w:t>机械停车</w:t>
            </w:r>
            <w:r>
              <w:rPr>
                <w:rFonts w:hint="eastAsia" w:ascii="宋体" w:hAnsi="宋体" w:cs="宋体"/>
                <w:sz w:val="24"/>
                <w:szCs w:val="24"/>
                <w:highlight w:val="none"/>
              </w:rPr>
              <w:t>整体的实际情况，极有可能因小故障引起整套系统瘫痪的情况，供应商能针对该实际问题列出可能发生的问题及对应的应急维修预案，在短时间积极做出响应，避免事态扩大的情况进行阐述进行评审。</w:t>
            </w:r>
          </w:p>
          <w:p w14:paraId="026510BD">
            <w:pPr>
              <w:numPr>
                <w:ilvl w:val="0"/>
                <w:numId w:val="4"/>
              </w:num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对故障处理工作内容的理解情况</w:t>
            </w:r>
            <w:r>
              <w:rPr>
                <w:rFonts w:hint="eastAsia" w:ascii="宋体" w:hAnsi="宋体" w:cs="宋体"/>
                <w:sz w:val="24"/>
                <w:szCs w:val="24"/>
                <w:highlight w:val="none"/>
                <w:lang w:eastAsia="zh-CN"/>
              </w:rPr>
              <w:t>，</w:t>
            </w:r>
            <w:r>
              <w:rPr>
                <w:rFonts w:hint="eastAsia" w:ascii="宋体" w:hAnsi="宋体" w:cs="宋体"/>
                <w:sz w:val="24"/>
                <w:szCs w:val="24"/>
                <w:highlight w:val="none"/>
              </w:rPr>
              <w:t>所采取的措施具有合理性、规范性和可操作性（包括：故障分组管理，故障系统质量管理，故障报告，故障处理规范等），为采购人建立服务档案和解决方案资料库</w:t>
            </w:r>
            <w:r>
              <w:rPr>
                <w:rFonts w:hint="eastAsia" w:ascii="宋体" w:hAnsi="宋体" w:cs="宋体"/>
                <w:sz w:val="24"/>
                <w:szCs w:val="24"/>
                <w:highlight w:val="none"/>
                <w:lang w:eastAsia="zh-CN"/>
              </w:rPr>
              <w:t>，得</w:t>
            </w:r>
            <w:r>
              <w:rPr>
                <w:rFonts w:hint="eastAsia" w:ascii="宋体" w:hAnsi="宋体" w:cs="宋体"/>
                <w:sz w:val="24"/>
                <w:szCs w:val="24"/>
                <w:highlight w:val="none"/>
                <w:lang w:val="en-US" w:eastAsia="zh-CN"/>
              </w:rPr>
              <w:t>15分。</w:t>
            </w:r>
          </w:p>
          <w:p w14:paraId="5F2E9C89">
            <w:pPr>
              <w:numPr>
                <w:ilvl w:val="0"/>
                <w:numId w:val="0"/>
              </w:numPr>
              <w:spacing w:line="360" w:lineRule="auto"/>
              <w:jc w:val="left"/>
              <w:rPr>
                <w:rFonts w:hint="eastAsia"/>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建立有运行服务保障应急预案，方案对系统实施可能遇到的问题及其应对措施充分考虑，完全满足本次服务要求</w:t>
            </w:r>
            <w:r>
              <w:rPr>
                <w:rFonts w:hint="eastAsia" w:ascii="宋体" w:hAnsi="宋体" w:cs="宋体"/>
                <w:sz w:val="24"/>
                <w:szCs w:val="24"/>
                <w:highlight w:val="none"/>
                <w:lang w:eastAsia="zh-CN"/>
              </w:rPr>
              <w:t>，得</w:t>
            </w:r>
            <w:r>
              <w:rPr>
                <w:rFonts w:hint="eastAsia" w:ascii="宋体" w:hAnsi="宋体" w:cs="宋体"/>
                <w:sz w:val="24"/>
                <w:szCs w:val="24"/>
                <w:highlight w:val="none"/>
                <w:lang w:val="en-US" w:eastAsia="zh-CN"/>
              </w:rPr>
              <w:t>10分</w:t>
            </w:r>
            <w:r>
              <w:rPr>
                <w:rFonts w:hint="eastAsia" w:ascii="宋体" w:hAnsi="宋体" w:cs="宋体"/>
                <w:sz w:val="24"/>
                <w:szCs w:val="24"/>
                <w:highlight w:val="none"/>
              </w:rPr>
              <w:t>。</w:t>
            </w:r>
          </w:p>
          <w:p w14:paraId="7DC36AA5">
            <w:pPr>
              <w:spacing w:line="360"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能针对实际问题列出可能发生的问题及对应的应急维修预案，基本满足本次服务要求</w:t>
            </w:r>
            <w:r>
              <w:rPr>
                <w:rFonts w:hint="eastAsia" w:ascii="宋体" w:hAnsi="宋体" w:cs="宋体"/>
                <w:sz w:val="24"/>
                <w:szCs w:val="24"/>
                <w:highlight w:val="none"/>
                <w:lang w:eastAsia="zh-CN"/>
              </w:rPr>
              <w:t>，得</w:t>
            </w:r>
            <w:r>
              <w:rPr>
                <w:rFonts w:hint="eastAsia" w:ascii="宋体" w:hAnsi="宋体" w:cs="宋体"/>
                <w:sz w:val="24"/>
                <w:szCs w:val="24"/>
                <w:highlight w:val="none"/>
                <w:lang w:val="en-US" w:eastAsia="zh-CN"/>
              </w:rPr>
              <w:t>5分</w:t>
            </w:r>
            <w:r>
              <w:rPr>
                <w:rFonts w:hint="eastAsia" w:ascii="宋体" w:hAnsi="宋体" w:cs="宋体"/>
                <w:sz w:val="24"/>
                <w:szCs w:val="24"/>
                <w:highlight w:val="none"/>
              </w:rPr>
              <w:t>。</w:t>
            </w:r>
          </w:p>
          <w:p w14:paraId="7B8FF3A6">
            <w:pPr>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未提供的</w:t>
            </w:r>
            <w:r>
              <w:rPr>
                <w:rFonts w:hint="eastAsia" w:ascii="宋体" w:hAnsi="宋体" w:cs="宋体"/>
                <w:sz w:val="24"/>
                <w:szCs w:val="24"/>
                <w:highlight w:val="none"/>
                <w:lang w:eastAsia="zh-CN"/>
              </w:rPr>
              <w:t>得</w:t>
            </w:r>
            <w:r>
              <w:rPr>
                <w:rFonts w:hint="eastAsia" w:ascii="宋体" w:hAnsi="宋体" w:cs="宋体"/>
                <w:sz w:val="24"/>
                <w:szCs w:val="24"/>
                <w:highlight w:val="none"/>
              </w:rPr>
              <w:t>0分</w:t>
            </w:r>
          </w:p>
        </w:tc>
      </w:tr>
      <w:tr w14:paraId="5C7A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411" w:type="dxa"/>
            <w:vMerge w:val="continue"/>
            <w:tcBorders>
              <w:top w:val="single" w:color="auto" w:sz="4" w:space="0"/>
              <w:left w:val="single" w:color="auto" w:sz="4" w:space="0"/>
              <w:bottom w:val="single" w:color="auto" w:sz="4" w:space="0"/>
              <w:right w:val="single" w:color="auto" w:sz="4" w:space="0"/>
            </w:tcBorders>
            <w:vAlign w:val="center"/>
          </w:tcPr>
          <w:p w14:paraId="1AB08A40">
            <w:pPr>
              <w:spacing w:line="360" w:lineRule="auto"/>
              <w:jc w:val="left"/>
              <w:rPr>
                <w:rFonts w:ascii="宋体" w:hAnsi="宋体" w:cs="宋体"/>
                <w:sz w:val="24"/>
                <w:szCs w:val="24"/>
                <w:highlight w:val="none"/>
              </w:rPr>
            </w:pPr>
          </w:p>
        </w:tc>
        <w:tc>
          <w:tcPr>
            <w:tcW w:w="2418" w:type="dxa"/>
            <w:tcBorders>
              <w:top w:val="single" w:color="auto" w:sz="4" w:space="0"/>
              <w:left w:val="single" w:color="auto" w:sz="4" w:space="0"/>
              <w:bottom w:val="single" w:color="auto" w:sz="4" w:space="0"/>
              <w:right w:val="single" w:color="auto" w:sz="4" w:space="0"/>
            </w:tcBorders>
            <w:vAlign w:val="center"/>
          </w:tcPr>
          <w:p w14:paraId="324A1488">
            <w:pPr>
              <w:spacing w:line="360" w:lineRule="auto"/>
              <w:jc w:val="left"/>
              <w:rPr>
                <w:rFonts w:ascii="宋体" w:hAnsi="宋体" w:cs="宋体"/>
                <w:sz w:val="24"/>
                <w:szCs w:val="24"/>
                <w:highlight w:val="none"/>
              </w:rPr>
            </w:pPr>
            <w:r>
              <w:rPr>
                <w:rFonts w:hint="eastAsia" w:ascii="宋体" w:hAnsi="宋体" w:cs="宋体"/>
                <w:sz w:val="24"/>
                <w:szCs w:val="24"/>
                <w:highlight w:val="none"/>
                <w:lang w:eastAsia="zh-CN"/>
              </w:rPr>
              <w:t>拟投入人员</w:t>
            </w:r>
            <w:r>
              <w:rPr>
                <w:rFonts w:hint="eastAsia" w:ascii="宋体" w:hAnsi="宋体" w:cs="宋体"/>
                <w:sz w:val="24"/>
                <w:szCs w:val="24"/>
                <w:highlight w:val="none"/>
              </w:rPr>
              <w:t>（</w:t>
            </w:r>
            <w:r>
              <w:rPr>
                <w:rFonts w:hint="eastAsia" w:ascii="宋体" w:hAnsi="宋体" w:cs="宋体"/>
                <w:sz w:val="24"/>
                <w:szCs w:val="24"/>
                <w:highlight w:val="none"/>
                <w:lang w:val="en-US" w:eastAsia="zh-CN"/>
              </w:rPr>
              <w:t>5</w:t>
            </w:r>
            <w:r>
              <w:rPr>
                <w:rFonts w:hint="eastAsia" w:ascii="宋体" w:hAnsi="宋体" w:cs="宋体"/>
                <w:sz w:val="24"/>
                <w:szCs w:val="24"/>
                <w:highlight w:val="none"/>
              </w:rPr>
              <w:t>分）</w:t>
            </w:r>
          </w:p>
        </w:tc>
        <w:tc>
          <w:tcPr>
            <w:tcW w:w="7070" w:type="dxa"/>
            <w:tcBorders>
              <w:top w:val="single" w:color="auto" w:sz="4" w:space="0"/>
              <w:left w:val="single" w:color="auto" w:sz="4" w:space="0"/>
              <w:bottom w:val="single" w:color="auto" w:sz="4" w:space="0"/>
              <w:right w:val="single" w:color="auto" w:sz="4" w:space="0"/>
            </w:tcBorders>
            <w:vAlign w:val="center"/>
          </w:tcPr>
          <w:p w14:paraId="0D14CEE8">
            <w:pPr>
              <w:spacing w:line="360" w:lineRule="auto"/>
              <w:jc w:val="left"/>
              <w:rPr>
                <w:rFonts w:ascii="宋体" w:hAnsi="宋体" w:cs="宋体"/>
                <w:sz w:val="24"/>
                <w:szCs w:val="24"/>
                <w:highlight w:val="none"/>
              </w:rPr>
            </w:pPr>
            <w:r>
              <w:rPr>
                <w:rFonts w:hint="eastAsia" w:ascii="宋体" w:hAnsi="宋体" w:cs="宋体"/>
                <w:sz w:val="24"/>
                <w:szCs w:val="24"/>
                <w:highlight w:val="none"/>
              </w:rPr>
              <w:t>拟投入本项目的</w:t>
            </w:r>
            <w:r>
              <w:rPr>
                <w:rFonts w:hint="eastAsia" w:ascii="宋体" w:hAnsi="宋体" w:cs="宋体"/>
                <w:sz w:val="24"/>
                <w:szCs w:val="24"/>
                <w:highlight w:val="none"/>
                <w:lang w:eastAsia="zh-CN"/>
              </w:rPr>
              <w:t>人员</w:t>
            </w:r>
            <w:r>
              <w:rPr>
                <w:rFonts w:hint="eastAsia" w:ascii="宋体" w:hAnsi="宋体" w:cs="宋体"/>
                <w:sz w:val="24"/>
                <w:szCs w:val="24"/>
                <w:highlight w:val="none"/>
              </w:rPr>
              <w:t>中，</w:t>
            </w:r>
            <w:r>
              <w:rPr>
                <w:rFonts w:hint="eastAsia" w:ascii="宋体" w:hAnsi="宋体" w:cs="宋体"/>
                <w:sz w:val="24"/>
                <w:szCs w:val="24"/>
                <w:highlight w:val="none"/>
                <w:lang w:eastAsia="zh-CN"/>
              </w:rPr>
              <w:t>至少</w:t>
            </w:r>
            <w:r>
              <w:rPr>
                <w:rFonts w:hint="eastAsia" w:ascii="宋体" w:hAnsi="宋体" w:cs="宋体"/>
                <w:sz w:val="24"/>
                <w:szCs w:val="24"/>
                <w:highlight w:val="none"/>
                <w:lang w:val="en-US" w:eastAsia="zh-CN"/>
              </w:rPr>
              <w:t>3人</w:t>
            </w:r>
            <w:r>
              <w:rPr>
                <w:rFonts w:hint="eastAsia" w:ascii="宋体" w:hAnsi="宋体" w:cs="宋体"/>
                <w:sz w:val="24"/>
                <w:szCs w:val="24"/>
                <w:highlight w:val="none"/>
                <w:lang w:eastAsia="zh-CN"/>
              </w:rPr>
              <w:t>具备电工证，每增加一人得一分，最多得</w:t>
            </w:r>
            <w:r>
              <w:rPr>
                <w:rFonts w:hint="eastAsia" w:ascii="宋体" w:hAnsi="宋体" w:cs="宋体"/>
                <w:sz w:val="24"/>
                <w:szCs w:val="24"/>
                <w:highlight w:val="none"/>
                <w:lang w:val="en-US" w:eastAsia="zh-CN"/>
              </w:rPr>
              <w:t>5分</w:t>
            </w:r>
            <w:r>
              <w:rPr>
                <w:rFonts w:hint="eastAsia" w:ascii="宋体" w:hAnsi="宋体" w:cs="宋体"/>
                <w:sz w:val="24"/>
                <w:szCs w:val="24"/>
                <w:highlight w:val="none"/>
                <w:lang w:eastAsia="zh-CN"/>
              </w:rPr>
              <w:t>，</w:t>
            </w:r>
            <w:r>
              <w:rPr>
                <w:rFonts w:hint="eastAsia" w:ascii="宋体" w:hAnsi="宋体" w:cs="宋体"/>
                <w:sz w:val="24"/>
                <w:szCs w:val="24"/>
                <w:highlight w:val="none"/>
              </w:rPr>
              <w:t>需提供</w:t>
            </w:r>
            <w:r>
              <w:rPr>
                <w:rFonts w:hint="eastAsia" w:ascii="宋体" w:hAnsi="宋体" w:cs="宋体"/>
                <w:sz w:val="24"/>
                <w:szCs w:val="24"/>
                <w:highlight w:val="none"/>
                <w:lang w:eastAsia="zh-CN"/>
              </w:rPr>
              <w:t>证件</w:t>
            </w:r>
            <w:r>
              <w:rPr>
                <w:rFonts w:hint="eastAsia" w:ascii="宋体" w:hAnsi="宋体" w:cs="宋体"/>
                <w:sz w:val="24"/>
                <w:szCs w:val="24"/>
                <w:highlight w:val="none"/>
              </w:rPr>
              <w:t>复印件。</w:t>
            </w:r>
          </w:p>
        </w:tc>
      </w:tr>
      <w:tr w14:paraId="14C5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411" w:type="dxa"/>
            <w:tcBorders>
              <w:top w:val="single" w:color="auto" w:sz="4" w:space="0"/>
              <w:left w:val="single" w:color="auto" w:sz="4" w:space="0"/>
              <w:bottom w:val="single" w:color="auto" w:sz="4" w:space="0"/>
              <w:right w:val="single" w:color="auto" w:sz="4" w:space="0"/>
            </w:tcBorders>
            <w:vAlign w:val="center"/>
          </w:tcPr>
          <w:p w14:paraId="7AD1791C">
            <w:pPr>
              <w:spacing w:line="360" w:lineRule="auto"/>
              <w:jc w:val="left"/>
              <w:rPr>
                <w:rFonts w:ascii="宋体" w:hAnsi="宋体" w:cs="宋体"/>
                <w:sz w:val="24"/>
                <w:szCs w:val="24"/>
                <w:highlight w:val="none"/>
              </w:rPr>
            </w:pPr>
            <w:r>
              <w:rPr>
                <w:rFonts w:hint="eastAsia" w:ascii="宋体" w:hAnsi="宋体" w:cs="宋体"/>
                <w:sz w:val="24"/>
                <w:szCs w:val="24"/>
                <w:highlight w:val="none"/>
              </w:rPr>
              <w:t>商务部分（</w:t>
            </w:r>
            <w:r>
              <w:rPr>
                <w:rFonts w:hint="eastAsia" w:ascii="宋体" w:hAnsi="宋体" w:cs="宋体"/>
                <w:sz w:val="24"/>
                <w:szCs w:val="24"/>
                <w:highlight w:val="none"/>
                <w:lang w:val="en-US" w:eastAsia="zh-CN"/>
              </w:rPr>
              <w:t>22</w:t>
            </w:r>
            <w:r>
              <w:rPr>
                <w:rFonts w:hint="eastAsia" w:ascii="宋体" w:hAnsi="宋体" w:cs="宋体"/>
                <w:sz w:val="24"/>
                <w:szCs w:val="24"/>
                <w:highlight w:val="none"/>
              </w:rPr>
              <w:t>分）</w:t>
            </w:r>
          </w:p>
        </w:tc>
        <w:tc>
          <w:tcPr>
            <w:tcW w:w="2418" w:type="dxa"/>
            <w:tcBorders>
              <w:top w:val="single" w:color="auto" w:sz="4" w:space="0"/>
              <w:left w:val="single" w:color="auto" w:sz="4" w:space="0"/>
              <w:bottom w:val="single" w:color="auto" w:sz="4" w:space="0"/>
              <w:right w:val="single" w:color="auto" w:sz="4" w:space="0"/>
            </w:tcBorders>
            <w:vAlign w:val="center"/>
          </w:tcPr>
          <w:p w14:paraId="38DDEA7A">
            <w:pPr>
              <w:spacing w:line="360" w:lineRule="auto"/>
              <w:jc w:val="left"/>
              <w:rPr>
                <w:rFonts w:ascii="宋体" w:hAnsi="宋体" w:cs="宋体"/>
                <w:sz w:val="24"/>
                <w:szCs w:val="24"/>
                <w:highlight w:val="none"/>
              </w:rPr>
            </w:pPr>
            <w:r>
              <w:rPr>
                <w:rFonts w:hint="eastAsia" w:ascii="宋体" w:hAnsi="宋体" w:cs="宋体"/>
                <w:sz w:val="24"/>
                <w:szCs w:val="24"/>
                <w:highlight w:val="none"/>
              </w:rPr>
              <w:t>业绩分</w:t>
            </w:r>
          </w:p>
          <w:p w14:paraId="2560CE24">
            <w:pPr>
              <w:spacing w:line="360" w:lineRule="auto"/>
              <w:jc w:val="left"/>
              <w:rPr>
                <w:rFonts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22</w:t>
            </w:r>
            <w:r>
              <w:rPr>
                <w:rFonts w:hint="eastAsia" w:ascii="宋体" w:hAnsi="宋体" w:cs="宋体"/>
                <w:sz w:val="24"/>
                <w:szCs w:val="24"/>
                <w:highlight w:val="none"/>
              </w:rPr>
              <w:t>分）</w:t>
            </w:r>
          </w:p>
        </w:tc>
        <w:tc>
          <w:tcPr>
            <w:tcW w:w="7070" w:type="dxa"/>
            <w:tcBorders>
              <w:top w:val="single" w:color="auto" w:sz="4" w:space="0"/>
              <w:left w:val="single" w:color="auto" w:sz="4" w:space="0"/>
              <w:bottom w:val="single" w:color="auto" w:sz="4" w:space="0"/>
              <w:right w:val="single" w:color="auto" w:sz="4" w:space="0"/>
            </w:tcBorders>
            <w:vAlign w:val="center"/>
          </w:tcPr>
          <w:p w14:paraId="55E7E89D">
            <w:pPr>
              <w:spacing w:line="360" w:lineRule="auto"/>
              <w:jc w:val="left"/>
              <w:rPr>
                <w:rFonts w:ascii="宋体" w:hAnsi="宋体" w:cs="宋体"/>
                <w:sz w:val="24"/>
                <w:szCs w:val="24"/>
                <w:highlight w:val="none"/>
              </w:rPr>
            </w:pPr>
            <w:r>
              <w:rPr>
                <w:rFonts w:hint="eastAsia" w:ascii="宋体" w:hAnsi="宋体" w:cs="宋体"/>
                <w:sz w:val="24"/>
                <w:szCs w:val="24"/>
                <w:highlight w:val="none"/>
              </w:rPr>
              <w:t>供应商202</w:t>
            </w:r>
            <w:r>
              <w:rPr>
                <w:rFonts w:hint="eastAsia" w:ascii="宋体" w:hAnsi="宋体" w:cs="宋体"/>
                <w:sz w:val="24"/>
                <w:szCs w:val="24"/>
                <w:highlight w:val="none"/>
                <w:lang w:val="en-US" w:eastAsia="zh-CN"/>
              </w:rPr>
              <w:t>2</w:t>
            </w:r>
            <w:r>
              <w:rPr>
                <w:rFonts w:hint="eastAsia" w:ascii="宋体" w:hAnsi="宋体" w:cs="宋体"/>
                <w:sz w:val="24"/>
                <w:szCs w:val="24"/>
                <w:highlight w:val="none"/>
              </w:rPr>
              <w:t>年1月1日至响应文件递交截止时间具有同类项目业绩的，每有1项得2分，满分</w:t>
            </w:r>
            <w:r>
              <w:rPr>
                <w:rFonts w:hint="eastAsia" w:ascii="宋体" w:hAnsi="宋体" w:cs="宋体"/>
                <w:sz w:val="24"/>
                <w:szCs w:val="24"/>
                <w:highlight w:val="none"/>
                <w:lang w:val="en-US" w:eastAsia="zh-CN"/>
              </w:rPr>
              <w:t>22</w:t>
            </w:r>
            <w:r>
              <w:rPr>
                <w:rFonts w:hint="eastAsia" w:ascii="宋体" w:hAnsi="宋体" w:cs="宋体"/>
                <w:sz w:val="24"/>
                <w:szCs w:val="24"/>
                <w:highlight w:val="none"/>
              </w:rPr>
              <w:t>分。响应文件中提供合同复印件并加盖供应商公章。</w:t>
            </w:r>
          </w:p>
        </w:tc>
      </w:tr>
      <w:tr w14:paraId="1B16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899" w:type="dxa"/>
            <w:gridSpan w:val="3"/>
            <w:tcBorders>
              <w:top w:val="single" w:color="auto" w:sz="4" w:space="0"/>
              <w:left w:val="single" w:color="auto" w:sz="4" w:space="0"/>
              <w:bottom w:val="single" w:color="auto" w:sz="4" w:space="0"/>
              <w:right w:val="single" w:color="auto" w:sz="4" w:space="0"/>
            </w:tcBorders>
            <w:vAlign w:val="center"/>
          </w:tcPr>
          <w:p w14:paraId="36AEE103">
            <w:pPr>
              <w:spacing w:line="360" w:lineRule="auto"/>
              <w:jc w:val="left"/>
              <w:rPr>
                <w:rFonts w:ascii="宋体" w:hAnsi="宋体" w:cs="宋体"/>
                <w:sz w:val="24"/>
                <w:szCs w:val="24"/>
                <w:highlight w:val="none"/>
              </w:rPr>
            </w:pPr>
            <w:r>
              <w:rPr>
                <w:rFonts w:hint="eastAsia" w:ascii="宋体" w:hAnsi="宋体" w:cs="宋体"/>
                <w:sz w:val="24"/>
                <w:szCs w:val="24"/>
                <w:highlight w:val="none"/>
              </w:rPr>
              <w:t>总分（100分）</w:t>
            </w:r>
          </w:p>
        </w:tc>
      </w:tr>
    </w:tbl>
    <w:p w14:paraId="15DCCE07">
      <w:pPr>
        <w:pStyle w:val="2"/>
        <w:spacing w:line="400" w:lineRule="exact"/>
        <w:rPr>
          <w:rFonts w:hAnsi="宋体"/>
          <w:bCs/>
          <w:highlight w:val="none"/>
        </w:rPr>
      </w:pPr>
      <w:r>
        <w:rPr>
          <w:rFonts w:hint="eastAsia" w:hAnsi="宋体"/>
          <w:bCs/>
          <w:highlight w:val="none"/>
        </w:rPr>
        <w:t>注：计分方法按四舍五入取至百分位。</w:t>
      </w:r>
    </w:p>
    <w:p w14:paraId="0A4766C1">
      <w:pPr>
        <w:pStyle w:val="2"/>
        <w:spacing w:line="400" w:lineRule="exact"/>
        <w:rPr>
          <w:rFonts w:hAnsi="宋体"/>
          <w:bCs/>
          <w:highlight w:val="none"/>
        </w:rPr>
      </w:pPr>
    </w:p>
    <w:p w14:paraId="7D6CF2A2">
      <w:pPr>
        <w:pStyle w:val="5"/>
        <w:rPr>
          <w:highlight w:val="none"/>
        </w:rPr>
      </w:pPr>
      <w:r>
        <w:rPr>
          <w:rFonts w:hint="eastAsia"/>
          <w:highlight w:val="none"/>
        </w:rPr>
        <w:t>候选人推荐原则：采购小组将根据总得分由高到低排列次序并推荐中标候选人。得分相同的，以投标报价由低到高顺序排列。得分相同且投标报价相同的并列，报价文件满足招标文件全部实质性要求，且按照评审因素的量化指标评审得分最高的投标人为排名第一的中标候选人（另有约定的除外）。</w:t>
      </w:r>
    </w:p>
    <w:p w14:paraId="41295E74">
      <w:pPr>
        <w:widowControl/>
        <w:jc w:val="left"/>
        <w:rPr>
          <w:rFonts w:ascii="仿宋" w:hAnsi="仿宋" w:eastAsia="仿宋" w:cs="仿宋"/>
          <w:bCs/>
          <w:sz w:val="28"/>
          <w:szCs w:val="28"/>
          <w:highlight w:val="none"/>
        </w:rPr>
      </w:pPr>
    </w:p>
    <w:sectPr>
      <w:pgSz w:w="11906" w:h="16838"/>
      <w:pgMar w:top="1418" w:right="1555" w:bottom="1418"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193CA">
    <w:pPr>
      <w:pStyle w:val="15"/>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09ABF395">
                <w:pPr>
                  <w:pStyle w:val="1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CC47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808F5">
    <w:pPr>
      <w:pStyle w:val="15"/>
      <w:tabs>
        <w:tab w:val="left" w:pos="5995"/>
        <w:tab w:val="clear" w:pos="4153"/>
      </w:tabs>
      <w:jc w:val="both"/>
      <w:rPr>
        <w:rFonts w:ascii="Times New Roman" w:hAnsi="Times New Roman" w:eastAsia="仿宋_GB2312"/>
        <w:sz w:val="24"/>
      </w:rPr>
    </w:pPr>
    <w:r>
      <w:rPr>
        <w:sz w:val="24"/>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3CA4A7F2">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r>
      <w:rPr>
        <w:sz w:val="24"/>
      </w:rPr>
      <w:pict>
        <v:shape id="_x0000_s4100" o:spid="_x0000_s410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E6D951A">
                <w:pPr>
                  <w:pStyle w:val="15"/>
                  <w:jc w:val="center"/>
                </w:pPr>
              </w:p>
            </w:txbxContent>
          </v:textbox>
        </v:shape>
      </w:pict>
    </w:r>
    <w:r>
      <w:rPr>
        <w:rFonts w:hint="eastAsia" w:ascii="Times New Roman" w:hAnsi="Times New Roman" w:eastAsia="仿宋_GB2312"/>
        <w:sz w:val="24"/>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50A52">
    <w:pPr>
      <w:pStyle w:val="15"/>
    </w:pPr>
    <w:r>
      <w:rPr>
        <w:sz w:val="18"/>
      </w:rPr>
      <w:pict>
        <v:shape id="_x0000_s4098" o:spid="_x0000_s409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686307B9">
                <w:pPr>
                  <w:pStyle w:val="1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837CC"/>
    <w:multiLevelType w:val="singleLevel"/>
    <w:tmpl w:val="907837CC"/>
    <w:lvl w:ilvl="0" w:tentative="0">
      <w:start w:val="1"/>
      <w:numFmt w:val="decimal"/>
      <w:lvlText w:val="%1."/>
      <w:lvlJc w:val="left"/>
      <w:pPr>
        <w:tabs>
          <w:tab w:val="left" w:pos="397"/>
        </w:tabs>
        <w:ind w:left="0" w:firstLine="0"/>
      </w:pPr>
      <w:rPr>
        <w:rFonts w:hint="default"/>
      </w:rPr>
    </w:lvl>
  </w:abstractNum>
  <w:abstractNum w:abstractNumId="1">
    <w:nsid w:val="346AFDF1"/>
    <w:multiLevelType w:val="singleLevel"/>
    <w:tmpl w:val="346AFDF1"/>
    <w:lvl w:ilvl="0" w:tentative="0">
      <w:start w:val="1"/>
      <w:numFmt w:val="decimal"/>
      <w:suff w:val="nothing"/>
      <w:lvlText w:val="%1、"/>
      <w:lvlJc w:val="left"/>
    </w:lvl>
  </w:abstractNum>
  <w:abstractNum w:abstractNumId="2">
    <w:nsid w:val="3F4D9D69"/>
    <w:multiLevelType w:val="singleLevel"/>
    <w:tmpl w:val="3F4D9D69"/>
    <w:lvl w:ilvl="0" w:tentative="0">
      <w:start w:val="1"/>
      <w:numFmt w:val="decimal"/>
      <w:lvlText w:val="%1."/>
      <w:lvlJc w:val="left"/>
      <w:pPr>
        <w:ind w:left="425" w:hanging="425"/>
      </w:pPr>
      <w:rPr>
        <w:rFonts w:hint="default"/>
      </w:rPr>
    </w:lvl>
  </w:abstractNum>
  <w:abstractNum w:abstractNumId="3">
    <w:nsid w:val="65A18D4E"/>
    <w:multiLevelType w:val="singleLevel"/>
    <w:tmpl w:val="65A18D4E"/>
    <w:lvl w:ilvl="0" w:tentative="0">
      <w:start w:val="5"/>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0YjRlNWU1MTNmNTNlNDQ0NGVhYTdmNzNlMjllYTEifQ=="/>
  </w:docVars>
  <w:rsids>
    <w:rsidRoot w:val="7DC52EA5"/>
    <w:rsid w:val="0001182B"/>
    <w:rsid w:val="00014122"/>
    <w:rsid w:val="00043EDC"/>
    <w:rsid w:val="00045C7B"/>
    <w:rsid w:val="00054B27"/>
    <w:rsid w:val="00071A4F"/>
    <w:rsid w:val="00073669"/>
    <w:rsid w:val="00081AE6"/>
    <w:rsid w:val="00082772"/>
    <w:rsid w:val="000840FC"/>
    <w:rsid w:val="000C5FB1"/>
    <w:rsid w:val="000C6C70"/>
    <w:rsid w:val="000E392E"/>
    <w:rsid w:val="001062E2"/>
    <w:rsid w:val="00107A7E"/>
    <w:rsid w:val="00111C68"/>
    <w:rsid w:val="0012320E"/>
    <w:rsid w:val="00125313"/>
    <w:rsid w:val="0015387F"/>
    <w:rsid w:val="00161D83"/>
    <w:rsid w:val="001B21C5"/>
    <w:rsid w:val="001C076D"/>
    <w:rsid w:val="001F37DE"/>
    <w:rsid w:val="00240444"/>
    <w:rsid w:val="00261511"/>
    <w:rsid w:val="002A3088"/>
    <w:rsid w:val="002D3B8F"/>
    <w:rsid w:val="002F487E"/>
    <w:rsid w:val="0030745F"/>
    <w:rsid w:val="00322F04"/>
    <w:rsid w:val="00362F88"/>
    <w:rsid w:val="00381ECF"/>
    <w:rsid w:val="00386FF7"/>
    <w:rsid w:val="00393FB3"/>
    <w:rsid w:val="003975A1"/>
    <w:rsid w:val="003A2758"/>
    <w:rsid w:val="004076FC"/>
    <w:rsid w:val="00422B7B"/>
    <w:rsid w:val="0043007C"/>
    <w:rsid w:val="00432596"/>
    <w:rsid w:val="00432E9A"/>
    <w:rsid w:val="00435EA6"/>
    <w:rsid w:val="00441693"/>
    <w:rsid w:val="0044211D"/>
    <w:rsid w:val="00472F26"/>
    <w:rsid w:val="004951A6"/>
    <w:rsid w:val="004A1324"/>
    <w:rsid w:val="004C6BAB"/>
    <w:rsid w:val="004E2EB6"/>
    <w:rsid w:val="004F5233"/>
    <w:rsid w:val="00522D62"/>
    <w:rsid w:val="005435D4"/>
    <w:rsid w:val="005638E0"/>
    <w:rsid w:val="0057666D"/>
    <w:rsid w:val="005A6ADD"/>
    <w:rsid w:val="005F1C0C"/>
    <w:rsid w:val="0061446B"/>
    <w:rsid w:val="006251E3"/>
    <w:rsid w:val="006356B5"/>
    <w:rsid w:val="00674576"/>
    <w:rsid w:val="0068704D"/>
    <w:rsid w:val="006930AF"/>
    <w:rsid w:val="00693A10"/>
    <w:rsid w:val="006978BC"/>
    <w:rsid w:val="006A23BB"/>
    <w:rsid w:val="006B0D15"/>
    <w:rsid w:val="006D3BD1"/>
    <w:rsid w:val="006E6E7D"/>
    <w:rsid w:val="00730CB5"/>
    <w:rsid w:val="00760394"/>
    <w:rsid w:val="00763219"/>
    <w:rsid w:val="00784913"/>
    <w:rsid w:val="00786A28"/>
    <w:rsid w:val="00795C07"/>
    <w:rsid w:val="007A163C"/>
    <w:rsid w:val="007B0362"/>
    <w:rsid w:val="007C65D1"/>
    <w:rsid w:val="007E01DF"/>
    <w:rsid w:val="007E0476"/>
    <w:rsid w:val="007E2623"/>
    <w:rsid w:val="007E507F"/>
    <w:rsid w:val="00801E09"/>
    <w:rsid w:val="00850557"/>
    <w:rsid w:val="00864780"/>
    <w:rsid w:val="00865D1D"/>
    <w:rsid w:val="008C1C7E"/>
    <w:rsid w:val="008E5264"/>
    <w:rsid w:val="008E7FCE"/>
    <w:rsid w:val="00920ABE"/>
    <w:rsid w:val="00921224"/>
    <w:rsid w:val="00926C26"/>
    <w:rsid w:val="009557B2"/>
    <w:rsid w:val="00956B38"/>
    <w:rsid w:val="00977A56"/>
    <w:rsid w:val="00990679"/>
    <w:rsid w:val="00990B9C"/>
    <w:rsid w:val="009E2EB2"/>
    <w:rsid w:val="00A128E1"/>
    <w:rsid w:val="00AB3939"/>
    <w:rsid w:val="00AB3997"/>
    <w:rsid w:val="00AB3CF9"/>
    <w:rsid w:val="00AC6369"/>
    <w:rsid w:val="00AC6406"/>
    <w:rsid w:val="00AC6B4E"/>
    <w:rsid w:val="00AF024F"/>
    <w:rsid w:val="00B03B65"/>
    <w:rsid w:val="00B2573F"/>
    <w:rsid w:val="00B3440F"/>
    <w:rsid w:val="00B36373"/>
    <w:rsid w:val="00B65A4F"/>
    <w:rsid w:val="00B75D70"/>
    <w:rsid w:val="00B82B0F"/>
    <w:rsid w:val="00B94D4A"/>
    <w:rsid w:val="00BF367B"/>
    <w:rsid w:val="00C06477"/>
    <w:rsid w:val="00C06A1E"/>
    <w:rsid w:val="00C20F98"/>
    <w:rsid w:val="00C307AE"/>
    <w:rsid w:val="00C571A7"/>
    <w:rsid w:val="00C62041"/>
    <w:rsid w:val="00C87E5D"/>
    <w:rsid w:val="00C93C68"/>
    <w:rsid w:val="00C941BC"/>
    <w:rsid w:val="00CA299B"/>
    <w:rsid w:val="00CC1F4A"/>
    <w:rsid w:val="00CC60EA"/>
    <w:rsid w:val="00CD0B82"/>
    <w:rsid w:val="00D30840"/>
    <w:rsid w:val="00D3288F"/>
    <w:rsid w:val="00D42FF9"/>
    <w:rsid w:val="00D566D7"/>
    <w:rsid w:val="00D57EB3"/>
    <w:rsid w:val="00D62EA4"/>
    <w:rsid w:val="00D709EE"/>
    <w:rsid w:val="00DB290D"/>
    <w:rsid w:val="00DD5202"/>
    <w:rsid w:val="00DD6948"/>
    <w:rsid w:val="00E03DBB"/>
    <w:rsid w:val="00E05796"/>
    <w:rsid w:val="00E20177"/>
    <w:rsid w:val="00E35AA4"/>
    <w:rsid w:val="00E37ECF"/>
    <w:rsid w:val="00E978CC"/>
    <w:rsid w:val="00EA014B"/>
    <w:rsid w:val="00F22A1E"/>
    <w:rsid w:val="00F26369"/>
    <w:rsid w:val="00F328CD"/>
    <w:rsid w:val="00F435E1"/>
    <w:rsid w:val="00F71BF6"/>
    <w:rsid w:val="00F82AAF"/>
    <w:rsid w:val="00F9168F"/>
    <w:rsid w:val="00FA460F"/>
    <w:rsid w:val="00FD06E9"/>
    <w:rsid w:val="00FD3B7D"/>
    <w:rsid w:val="00FD4BB4"/>
    <w:rsid w:val="00FE5CCE"/>
    <w:rsid w:val="00FF47F4"/>
    <w:rsid w:val="010F2C79"/>
    <w:rsid w:val="0180460C"/>
    <w:rsid w:val="018207C5"/>
    <w:rsid w:val="023B042D"/>
    <w:rsid w:val="029307AF"/>
    <w:rsid w:val="029E4497"/>
    <w:rsid w:val="02B04C50"/>
    <w:rsid w:val="02D2724D"/>
    <w:rsid w:val="033B2485"/>
    <w:rsid w:val="03593C27"/>
    <w:rsid w:val="03850F0A"/>
    <w:rsid w:val="043307A6"/>
    <w:rsid w:val="04814D63"/>
    <w:rsid w:val="04DD7D0E"/>
    <w:rsid w:val="04EF0EBA"/>
    <w:rsid w:val="05146811"/>
    <w:rsid w:val="055A7363"/>
    <w:rsid w:val="05692B22"/>
    <w:rsid w:val="058332BF"/>
    <w:rsid w:val="05E07758"/>
    <w:rsid w:val="06456716"/>
    <w:rsid w:val="067F6A05"/>
    <w:rsid w:val="069A035E"/>
    <w:rsid w:val="085B1D6F"/>
    <w:rsid w:val="087658EC"/>
    <w:rsid w:val="08D710E1"/>
    <w:rsid w:val="0932260E"/>
    <w:rsid w:val="0946699E"/>
    <w:rsid w:val="09497E1A"/>
    <w:rsid w:val="09771111"/>
    <w:rsid w:val="099C263F"/>
    <w:rsid w:val="09CB082F"/>
    <w:rsid w:val="0A01263D"/>
    <w:rsid w:val="0A48692C"/>
    <w:rsid w:val="0A613847"/>
    <w:rsid w:val="0A667025"/>
    <w:rsid w:val="0A6C2705"/>
    <w:rsid w:val="0ADE0D1E"/>
    <w:rsid w:val="0B662F05"/>
    <w:rsid w:val="0B7A5D95"/>
    <w:rsid w:val="0C7C6B22"/>
    <w:rsid w:val="0C866740"/>
    <w:rsid w:val="0D192328"/>
    <w:rsid w:val="0D742DF1"/>
    <w:rsid w:val="0D811BCF"/>
    <w:rsid w:val="0DB241E0"/>
    <w:rsid w:val="0DEF3C89"/>
    <w:rsid w:val="0E9F5658"/>
    <w:rsid w:val="0EE303C9"/>
    <w:rsid w:val="0F283D96"/>
    <w:rsid w:val="0F8B2784"/>
    <w:rsid w:val="0FC63F72"/>
    <w:rsid w:val="0FF52AA9"/>
    <w:rsid w:val="105351A2"/>
    <w:rsid w:val="10577F97"/>
    <w:rsid w:val="10991687"/>
    <w:rsid w:val="11252F1A"/>
    <w:rsid w:val="1154173C"/>
    <w:rsid w:val="11C25632"/>
    <w:rsid w:val="11D96D94"/>
    <w:rsid w:val="122B3102"/>
    <w:rsid w:val="1266498D"/>
    <w:rsid w:val="12F069E9"/>
    <w:rsid w:val="12F11027"/>
    <w:rsid w:val="13754D82"/>
    <w:rsid w:val="138F09C8"/>
    <w:rsid w:val="13AE1F3B"/>
    <w:rsid w:val="13B73411"/>
    <w:rsid w:val="13CC3E1E"/>
    <w:rsid w:val="13E17686"/>
    <w:rsid w:val="143C28F6"/>
    <w:rsid w:val="14436EA8"/>
    <w:rsid w:val="14591A0E"/>
    <w:rsid w:val="14860BF1"/>
    <w:rsid w:val="14C50C9C"/>
    <w:rsid w:val="157E709D"/>
    <w:rsid w:val="158F4E06"/>
    <w:rsid w:val="15AA3169"/>
    <w:rsid w:val="15FF306C"/>
    <w:rsid w:val="1765105F"/>
    <w:rsid w:val="17C70110"/>
    <w:rsid w:val="17E92EF4"/>
    <w:rsid w:val="180D7890"/>
    <w:rsid w:val="18AE7C99"/>
    <w:rsid w:val="19294C0B"/>
    <w:rsid w:val="19A4072D"/>
    <w:rsid w:val="19E20B4E"/>
    <w:rsid w:val="1A2A2FFC"/>
    <w:rsid w:val="1AA03612"/>
    <w:rsid w:val="1AA7482F"/>
    <w:rsid w:val="1AB62E35"/>
    <w:rsid w:val="1AB74248"/>
    <w:rsid w:val="1AEA05DF"/>
    <w:rsid w:val="1AED4AA9"/>
    <w:rsid w:val="1B0555B5"/>
    <w:rsid w:val="1B1C538E"/>
    <w:rsid w:val="1B7768E6"/>
    <w:rsid w:val="1BBA70EA"/>
    <w:rsid w:val="1BF51B32"/>
    <w:rsid w:val="1C485D0F"/>
    <w:rsid w:val="1D507571"/>
    <w:rsid w:val="1D552DD9"/>
    <w:rsid w:val="1DB80A1F"/>
    <w:rsid w:val="1DCD6828"/>
    <w:rsid w:val="1DF20628"/>
    <w:rsid w:val="1E340C41"/>
    <w:rsid w:val="1E962E2C"/>
    <w:rsid w:val="1F364065"/>
    <w:rsid w:val="1FC72E9A"/>
    <w:rsid w:val="200F5F18"/>
    <w:rsid w:val="206718C3"/>
    <w:rsid w:val="207E02D8"/>
    <w:rsid w:val="208D7F5E"/>
    <w:rsid w:val="20D14525"/>
    <w:rsid w:val="210D2CB1"/>
    <w:rsid w:val="212925B3"/>
    <w:rsid w:val="215A237F"/>
    <w:rsid w:val="219C4485"/>
    <w:rsid w:val="221A1EFC"/>
    <w:rsid w:val="22420EF6"/>
    <w:rsid w:val="2277565C"/>
    <w:rsid w:val="22B91715"/>
    <w:rsid w:val="23701704"/>
    <w:rsid w:val="23832C42"/>
    <w:rsid w:val="238C68D9"/>
    <w:rsid w:val="23D74548"/>
    <w:rsid w:val="24651B54"/>
    <w:rsid w:val="247022A7"/>
    <w:rsid w:val="24B6415E"/>
    <w:rsid w:val="25227EA9"/>
    <w:rsid w:val="25283D1B"/>
    <w:rsid w:val="25286BFC"/>
    <w:rsid w:val="252A3F57"/>
    <w:rsid w:val="25700B6C"/>
    <w:rsid w:val="259721E1"/>
    <w:rsid w:val="25CD4E9E"/>
    <w:rsid w:val="2610789E"/>
    <w:rsid w:val="26337076"/>
    <w:rsid w:val="265A1BB4"/>
    <w:rsid w:val="26D11723"/>
    <w:rsid w:val="26DA3033"/>
    <w:rsid w:val="276D77B5"/>
    <w:rsid w:val="286914E7"/>
    <w:rsid w:val="288307FB"/>
    <w:rsid w:val="28AD40F4"/>
    <w:rsid w:val="28ED60D4"/>
    <w:rsid w:val="28F9175A"/>
    <w:rsid w:val="28FC7C1A"/>
    <w:rsid w:val="29015BC3"/>
    <w:rsid w:val="291A4E2F"/>
    <w:rsid w:val="29606D8E"/>
    <w:rsid w:val="296930F2"/>
    <w:rsid w:val="29AC526A"/>
    <w:rsid w:val="29CF4022"/>
    <w:rsid w:val="2A227790"/>
    <w:rsid w:val="2A463684"/>
    <w:rsid w:val="2A4C3A21"/>
    <w:rsid w:val="2A580712"/>
    <w:rsid w:val="2A8A31B3"/>
    <w:rsid w:val="2AB32EED"/>
    <w:rsid w:val="2B0459C6"/>
    <w:rsid w:val="2B6B072A"/>
    <w:rsid w:val="2C520C10"/>
    <w:rsid w:val="2C772839"/>
    <w:rsid w:val="2CA50EF2"/>
    <w:rsid w:val="2CB216AE"/>
    <w:rsid w:val="2CDC2B8B"/>
    <w:rsid w:val="2CE6368C"/>
    <w:rsid w:val="2D74105A"/>
    <w:rsid w:val="2DDB7DBD"/>
    <w:rsid w:val="2EE930F3"/>
    <w:rsid w:val="2F363FD6"/>
    <w:rsid w:val="2F745341"/>
    <w:rsid w:val="2FE204FD"/>
    <w:rsid w:val="2FED67F0"/>
    <w:rsid w:val="30FD2F75"/>
    <w:rsid w:val="31086BD1"/>
    <w:rsid w:val="315D0ECD"/>
    <w:rsid w:val="321A1044"/>
    <w:rsid w:val="32425B98"/>
    <w:rsid w:val="32FA1C32"/>
    <w:rsid w:val="330427FC"/>
    <w:rsid w:val="341C5D39"/>
    <w:rsid w:val="342B17CD"/>
    <w:rsid w:val="343D58A1"/>
    <w:rsid w:val="3457130E"/>
    <w:rsid w:val="3458152F"/>
    <w:rsid w:val="348F22D5"/>
    <w:rsid w:val="34A46413"/>
    <w:rsid w:val="34E40873"/>
    <w:rsid w:val="35FC7E3E"/>
    <w:rsid w:val="365437D6"/>
    <w:rsid w:val="36545AE5"/>
    <w:rsid w:val="369B1405"/>
    <w:rsid w:val="37060F75"/>
    <w:rsid w:val="37137350"/>
    <w:rsid w:val="37756AB3"/>
    <w:rsid w:val="37764CBD"/>
    <w:rsid w:val="378C30BB"/>
    <w:rsid w:val="37E170D4"/>
    <w:rsid w:val="3841400E"/>
    <w:rsid w:val="384B7486"/>
    <w:rsid w:val="389F5BCA"/>
    <w:rsid w:val="394F0490"/>
    <w:rsid w:val="3A0073A2"/>
    <w:rsid w:val="3A3C784F"/>
    <w:rsid w:val="3AE710BD"/>
    <w:rsid w:val="3BB571BF"/>
    <w:rsid w:val="3BC56053"/>
    <w:rsid w:val="3BD80A06"/>
    <w:rsid w:val="3C30228F"/>
    <w:rsid w:val="3C6957BF"/>
    <w:rsid w:val="3CA50EEA"/>
    <w:rsid w:val="3CF47533"/>
    <w:rsid w:val="3D605157"/>
    <w:rsid w:val="3D6E6BA4"/>
    <w:rsid w:val="3D6F7148"/>
    <w:rsid w:val="3DAD3FBE"/>
    <w:rsid w:val="3E6D7B0C"/>
    <w:rsid w:val="3F0E7575"/>
    <w:rsid w:val="3F2C7B93"/>
    <w:rsid w:val="3F5E2DF9"/>
    <w:rsid w:val="3F815008"/>
    <w:rsid w:val="40147B22"/>
    <w:rsid w:val="409B1A96"/>
    <w:rsid w:val="415B1B90"/>
    <w:rsid w:val="41742367"/>
    <w:rsid w:val="41CE6B33"/>
    <w:rsid w:val="41D1217F"/>
    <w:rsid w:val="425B0980"/>
    <w:rsid w:val="4283791D"/>
    <w:rsid w:val="42BE5066"/>
    <w:rsid w:val="43115D2A"/>
    <w:rsid w:val="43394480"/>
    <w:rsid w:val="433D7A78"/>
    <w:rsid w:val="4349216B"/>
    <w:rsid w:val="435757B2"/>
    <w:rsid w:val="438C790B"/>
    <w:rsid w:val="43B64C47"/>
    <w:rsid w:val="445D419E"/>
    <w:rsid w:val="44D97CC8"/>
    <w:rsid w:val="4504461A"/>
    <w:rsid w:val="463336E0"/>
    <w:rsid w:val="46C16C66"/>
    <w:rsid w:val="46D04693"/>
    <w:rsid w:val="478D6A3C"/>
    <w:rsid w:val="47E744AA"/>
    <w:rsid w:val="48086415"/>
    <w:rsid w:val="482B4558"/>
    <w:rsid w:val="487526CC"/>
    <w:rsid w:val="49521DF7"/>
    <w:rsid w:val="495F27A1"/>
    <w:rsid w:val="49C34D17"/>
    <w:rsid w:val="4A8915B8"/>
    <w:rsid w:val="4A944A26"/>
    <w:rsid w:val="4A995804"/>
    <w:rsid w:val="4AEC627C"/>
    <w:rsid w:val="4AF018C8"/>
    <w:rsid w:val="4B101774"/>
    <w:rsid w:val="4B5C5D43"/>
    <w:rsid w:val="4B975426"/>
    <w:rsid w:val="4C312198"/>
    <w:rsid w:val="4C343A36"/>
    <w:rsid w:val="4C397865"/>
    <w:rsid w:val="4C5C608F"/>
    <w:rsid w:val="4CCC3B4A"/>
    <w:rsid w:val="4D622825"/>
    <w:rsid w:val="4D81330C"/>
    <w:rsid w:val="4DAD6D49"/>
    <w:rsid w:val="4DDD4E6D"/>
    <w:rsid w:val="4E2A50F1"/>
    <w:rsid w:val="4E594465"/>
    <w:rsid w:val="4E5B79A0"/>
    <w:rsid w:val="4E93713A"/>
    <w:rsid w:val="4EDD6607"/>
    <w:rsid w:val="4F464194"/>
    <w:rsid w:val="4F510757"/>
    <w:rsid w:val="4F946E6D"/>
    <w:rsid w:val="4FDB37F4"/>
    <w:rsid w:val="502649D0"/>
    <w:rsid w:val="502D4D98"/>
    <w:rsid w:val="50B603AB"/>
    <w:rsid w:val="50BC5616"/>
    <w:rsid w:val="50FA67BE"/>
    <w:rsid w:val="5215447D"/>
    <w:rsid w:val="522474FD"/>
    <w:rsid w:val="52956034"/>
    <w:rsid w:val="537E0443"/>
    <w:rsid w:val="53AE0572"/>
    <w:rsid w:val="53C33A31"/>
    <w:rsid w:val="53E72A96"/>
    <w:rsid w:val="545D5AF4"/>
    <w:rsid w:val="54A232F5"/>
    <w:rsid w:val="54B91584"/>
    <w:rsid w:val="56633896"/>
    <w:rsid w:val="56A833F9"/>
    <w:rsid w:val="575104C8"/>
    <w:rsid w:val="58354DBE"/>
    <w:rsid w:val="58715890"/>
    <w:rsid w:val="5987789B"/>
    <w:rsid w:val="59A33A0D"/>
    <w:rsid w:val="5A0507C0"/>
    <w:rsid w:val="5AB77983"/>
    <w:rsid w:val="5B745BFD"/>
    <w:rsid w:val="5B9A4115"/>
    <w:rsid w:val="5B9F1982"/>
    <w:rsid w:val="5BBD57F6"/>
    <w:rsid w:val="5C003935"/>
    <w:rsid w:val="5C3435DF"/>
    <w:rsid w:val="5CB12E81"/>
    <w:rsid w:val="5D0B4EFB"/>
    <w:rsid w:val="5D1C0BD9"/>
    <w:rsid w:val="5D373C4B"/>
    <w:rsid w:val="5D75771C"/>
    <w:rsid w:val="5D9702C9"/>
    <w:rsid w:val="5DAB1E3A"/>
    <w:rsid w:val="5DD24E5D"/>
    <w:rsid w:val="5E070FAB"/>
    <w:rsid w:val="5EA8533D"/>
    <w:rsid w:val="5F805BD9"/>
    <w:rsid w:val="5F8454CE"/>
    <w:rsid w:val="5FC07EA8"/>
    <w:rsid w:val="5FE115EF"/>
    <w:rsid w:val="602216B9"/>
    <w:rsid w:val="60367B2B"/>
    <w:rsid w:val="603F34D8"/>
    <w:rsid w:val="604F14EC"/>
    <w:rsid w:val="61090336"/>
    <w:rsid w:val="61181721"/>
    <w:rsid w:val="61500960"/>
    <w:rsid w:val="61B722C3"/>
    <w:rsid w:val="61D01DD2"/>
    <w:rsid w:val="62046A6B"/>
    <w:rsid w:val="62257D7B"/>
    <w:rsid w:val="627604AD"/>
    <w:rsid w:val="62B64D4D"/>
    <w:rsid w:val="62BC60DF"/>
    <w:rsid w:val="62C2643F"/>
    <w:rsid w:val="631A4D27"/>
    <w:rsid w:val="634E142A"/>
    <w:rsid w:val="636C2D76"/>
    <w:rsid w:val="63DA020D"/>
    <w:rsid w:val="63E105CA"/>
    <w:rsid w:val="6454612A"/>
    <w:rsid w:val="645F2960"/>
    <w:rsid w:val="64C74A05"/>
    <w:rsid w:val="64F67EE8"/>
    <w:rsid w:val="653E2944"/>
    <w:rsid w:val="65402D12"/>
    <w:rsid w:val="658147AB"/>
    <w:rsid w:val="65AA7E46"/>
    <w:rsid w:val="65EE70DA"/>
    <w:rsid w:val="661A232A"/>
    <w:rsid w:val="6632293D"/>
    <w:rsid w:val="6686173D"/>
    <w:rsid w:val="669E7FD2"/>
    <w:rsid w:val="66D11982"/>
    <w:rsid w:val="66EA3218"/>
    <w:rsid w:val="67386806"/>
    <w:rsid w:val="675D094C"/>
    <w:rsid w:val="6776587D"/>
    <w:rsid w:val="678F223E"/>
    <w:rsid w:val="67B61CC7"/>
    <w:rsid w:val="68B91D73"/>
    <w:rsid w:val="690B4321"/>
    <w:rsid w:val="692D388F"/>
    <w:rsid w:val="699A7177"/>
    <w:rsid w:val="69AD6A82"/>
    <w:rsid w:val="6A162A44"/>
    <w:rsid w:val="6A243D68"/>
    <w:rsid w:val="6A455DFD"/>
    <w:rsid w:val="6A48378D"/>
    <w:rsid w:val="6AFF300A"/>
    <w:rsid w:val="6B091F05"/>
    <w:rsid w:val="6B1A1459"/>
    <w:rsid w:val="6BB81B36"/>
    <w:rsid w:val="6BD7028F"/>
    <w:rsid w:val="6BF80717"/>
    <w:rsid w:val="6BF85B87"/>
    <w:rsid w:val="6C1D55C6"/>
    <w:rsid w:val="6CCC5F78"/>
    <w:rsid w:val="6CF71342"/>
    <w:rsid w:val="6D26555E"/>
    <w:rsid w:val="6D697D36"/>
    <w:rsid w:val="6E1100A6"/>
    <w:rsid w:val="6E781A51"/>
    <w:rsid w:val="6E8D052E"/>
    <w:rsid w:val="6E982293"/>
    <w:rsid w:val="6EC54776"/>
    <w:rsid w:val="6EC66318"/>
    <w:rsid w:val="6EC97FDE"/>
    <w:rsid w:val="6EE1655E"/>
    <w:rsid w:val="6F063E1D"/>
    <w:rsid w:val="6F2B4924"/>
    <w:rsid w:val="6F6A1399"/>
    <w:rsid w:val="707301DF"/>
    <w:rsid w:val="70AA1185"/>
    <w:rsid w:val="70D50A94"/>
    <w:rsid w:val="70F040A8"/>
    <w:rsid w:val="711A294B"/>
    <w:rsid w:val="71BF4226"/>
    <w:rsid w:val="722001CA"/>
    <w:rsid w:val="724C2FD8"/>
    <w:rsid w:val="73921146"/>
    <w:rsid w:val="73DB4E1F"/>
    <w:rsid w:val="740B13C3"/>
    <w:rsid w:val="7443371B"/>
    <w:rsid w:val="745C422F"/>
    <w:rsid w:val="74A751D7"/>
    <w:rsid w:val="74A83D3F"/>
    <w:rsid w:val="74AE1D28"/>
    <w:rsid w:val="74B9039C"/>
    <w:rsid w:val="757575F0"/>
    <w:rsid w:val="757C43AA"/>
    <w:rsid w:val="75B66837"/>
    <w:rsid w:val="761A7171"/>
    <w:rsid w:val="762F4835"/>
    <w:rsid w:val="763D3A86"/>
    <w:rsid w:val="76780840"/>
    <w:rsid w:val="76E210CD"/>
    <w:rsid w:val="770519A8"/>
    <w:rsid w:val="77333B9D"/>
    <w:rsid w:val="77737AF1"/>
    <w:rsid w:val="77F35E7A"/>
    <w:rsid w:val="781A3F3B"/>
    <w:rsid w:val="7863107C"/>
    <w:rsid w:val="78C132E5"/>
    <w:rsid w:val="792E7917"/>
    <w:rsid w:val="793F363C"/>
    <w:rsid w:val="797252E7"/>
    <w:rsid w:val="79731FBB"/>
    <w:rsid w:val="79EC1FD7"/>
    <w:rsid w:val="7A2B12FD"/>
    <w:rsid w:val="7A644B7F"/>
    <w:rsid w:val="7AF0727B"/>
    <w:rsid w:val="7BC41E31"/>
    <w:rsid w:val="7C0526B8"/>
    <w:rsid w:val="7C617072"/>
    <w:rsid w:val="7CE5463C"/>
    <w:rsid w:val="7D2124A7"/>
    <w:rsid w:val="7D627B54"/>
    <w:rsid w:val="7D6A4C5A"/>
    <w:rsid w:val="7D6F41A2"/>
    <w:rsid w:val="7DC52EA5"/>
    <w:rsid w:val="7DF02012"/>
    <w:rsid w:val="7E510534"/>
    <w:rsid w:val="7EDA196C"/>
    <w:rsid w:val="7F16256D"/>
    <w:rsid w:val="7FD2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uiPriority="99" w:name="heading 2"/>
    <w:lsdException w:qFormat="1" w:unhideWhenUsed="0" w:uiPriority="0" w:semiHidden="0" w:name="heading 3"/>
    <w:lsdException w:qFormat="1" w:unhideWhenUsed="0" w:uiPriority="0" w:semiHidden="0" w:name="heading 4"/>
    <w:lsdException w:qFormat="1" w:unhideWhenUsed="0" w:uiPriority="0" w:semiHidden="0"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99" w:semiHidden="0" w:name="index 8"/>
    <w:lsdException w:uiPriority="99" w:name="index 9"/>
    <w:lsdException w:uiPriority="99" w:name="toc 1"/>
    <w:lsdException w:uiPriority="99" w:name="toc 2"/>
    <w:lsdException w:qFormat="1" w:unhideWhenUsed="0" w:uiPriority="0" w:semiHidden="0" w:name="toc 3"/>
    <w:lsdException w:qFormat="1" w:unhideWhenUsed="0" w:uiPriority="0" w:semiHidden="0" w:name="toc 4"/>
    <w:lsdException w:qFormat="1" w:unhideWhenUsed="0" w:uiPriority="0" w:semiHidden="0" w:name="toc 5"/>
    <w:lsdException w:uiPriority="99" w:name="toc 6"/>
    <w:lsdException w:uiPriority="99" w:name="toc 7"/>
    <w:lsdException w:uiPriority="99" w:name="toc 8"/>
    <w:lsdException w:uiPriority="9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semiHidden="0" w:name="List Number"/>
    <w:lsdException w:uiPriority="99" w:name="List 2"/>
    <w:lsdException w:uiPriority="99" w:name="List 3"/>
    <w:lsdException w:unhideWhenUsed="0" w:uiPriority="99" w:semiHidden="0" w:name="List 4"/>
    <w:lsdException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nhideWhenUsed="0" w:uiPriority="99" w:semiHidden="0" w:name="Strong"/>
    <w:lsdException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autoRedefine/>
    <w:qFormat/>
    <w:uiPriority w:val="99"/>
    <w:pPr>
      <w:keepNext/>
      <w:keepLines/>
      <w:spacing w:line="360" w:lineRule="auto"/>
      <w:outlineLvl w:val="0"/>
    </w:pPr>
    <w:rPr>
      <w:rFonts w:eastAsia="黑体"/>
      <w:b/>
      <w:bCs/>
      <w:kern w:val="44"/>
      <w:sz w:val="44"/>
      <w:szCs w:val="44"/>
      <w:lang w:val="zh-CN"/>
    </w:rPr>
  </w:style>
  <w:style w:type="paragraph" w:styleId="5">
    <w:name w:val="heading 3"/>
    <w:basedOn w:val="1"/>
    <w:autoRedefine/>
    <w:qFormat/>
    <w:uiPriority w:val="0"/>
    <w:pPr>
      <w:spacing w:line="413" w:lineRule="auto"/>
      <w:ind w:firstLine="480" w:firstLineChars="200"/>
      <w:jc w:val="left"/>
      <w:outlineLvl w:val="2"/>
    </w:pPr>
    <w:rPr>
      <w:bCs/>
      <w:sz w:val="24"/>
      <w:szCs w:val="24"/>
    </w:rPr>
  </w:style>
  <w:style w:type="paragraph" w:styleId="6">
    <w:name w:val="heading 4"/>
    <w:basedOn w:val="1"/>
    <w:autoRedefine/>
    <w:qFormat/>
    <w:uiPriority w:val="0"/>
    <w:pPr>
      <w:keepNext/>
      <w:keepLines/>
      <w:spacing w:line="372" w:lineRule="auto"/>
      <w:outlineLvl w:val="3"/>
    </w:pPr>
    <w:rPr>
      <w:rFonts w:ascii="Cambria" w:hAnsi="Cambria"/>
      <w:b/>
      <w:bCs/>
      <w:sz w:val="28"/>
      <w:szCs w:val="28"/>
    </w:rPr>
  </w:style>
  <w:style w:type="paragraph" w:styleId="7">
    <w:name w:val="heading 5"/>
    <w:basedOn w:val="1"/>
    <w:autoRedefine/>
    <w:qFormat/>
    <w:uiPriority w:val="0"/>
    <w:pPr>
      <w:keepNext/>
      <w:keepLines/>
      <w:spacing w:line="372" w:lineRule="auto"/>
      <w:outlineLvl w:val="4"/>
    </w:pPr>
    <w:rPr>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38"/>
    <w:autoRedefine/>
    <w:qFormat/>
    <w:uiPriority w:val="99"/>
    <w:rPr>
      <w:rFonts w:ascii="宋体" w:hAnsi="Courier New" w:cs="Courier New"/>
      <w:szCs w:val="21"/>
    </w:rPr>
  </w:style>
  <w:style w:type="paragraph" w:styleId="3">
    <w:name w:val="index 8"/>
    <w:basedOn w:val="1"/>
    <w:next w:val="1"/>
    <w:qFormat/>
    <w:uiPriority w:val="99"/>
    <w:pPr>
      <w:ind w:left="1400" w:leftChars="1400"/>
    </w:pPr>
  </w:style>
  <w:style w:type="paragraph" w:styleId="8">
    <w:name w:val="Normal Indent"/>
    <w:basedOn w:val="1"/>
    <w:next w:val="1"/>
    <w:qFormat/>
    <w:uiPriority w:val="0"/>
    <w:pPr>
      <w:ind w:firstLine="420"/>
    </w:pPr>
    <w:rPr>
      <w:szCs w:val="20"/>
    </w:rPr>
  </w:style>
  <w:style w:type="paragraph" w:styleId="9">
    <w:name w:val="annotation text"/>
    <w:basedOn w:val="1"/>
    <w:link w:val="30"/>
    <w:autoRedefine/>
    <w:qFormat/>
    <w:uiPriority w:val="0"/>
    <w:pPr>
      <w:jc w:val="left"/>
    </w:pPr>
  </w:style>
  <w:style w:type="paragraph" w:styleId="10">
    <w:name w:val="Body Text"/>
    <w:basedOn w:val="1"/>
    <w:autoRedefine/>
    <w:qFormat/>
    <w:uiPriority w:val="0"/>
    <w:pPr>
      <w:adjustRightInd w:val="0"/>
      <w:spacing w:line="360" w:lineRule="atLeast"/>
      <w:ind w:left="72" w:leftChars="30" w:right="30" w:rightChars="30"/>
      <w:jc w:val="center"/>
    </w:pPr>
    <w:rPr>
      <w:rFonts w:ascii="Times New Roman" w:hAnsi="Times New Roman"/>
      <w:kern w:val="0"/>
      <w:sz w:val="20"/>
      <w:szCs w:val="20"/>
    </w:rPr>
  </w:style>
  <w:style w:type="paragraph" w:styleId="11">
    <w:name w:val="Body Text Indent"/>
    <w:basedOn w:val="1"/>
    <w:link w:val="35"/>
    <w:autoRedefine/>
    <w:qFormat/>
    <w:uiPriority w:val="0"/>
    <w:pPr>
      <w:ind w:firstLine="830" w:firstLineChars="352"/>
    </w:pPr>
    <w:rPr>
      <w:rFonts w:ascii="仿宋_GB2312" w:eastAsia="仿宋_GB2312"/>
      <w:kern w:val="0"/>
      <w:sz w:val="32"/>
      <w:szCs w:val="20"/>
    </w:rPr>
  </w:style>
  <w:style w:type="paragraph" w:styleId="12">
    <w:name w:val="toc 5"/>
    <w:basedOn w:val="1"/>
    <w:autoRedefine/>
    <w:qFormat/>
    <w:uiPriority w:val="0"/>
    <w:pPr>
      <w:tabs>
        <w:tab w:val="right" w:leader="dot" w:pos="8296"/>
      </w:tabs>
      <w:ind w:left="1050" w:leftChars="500"/>
    </w:pPr>
  </w:style>
  <w:style w:type="paragraph" w:styleId="13">
    <w:name w:val="toc 3"/>
    <w:basedOn w:val="1"/>
    <w:autoRedefine/>
    <w:qFormat/>
    <w:uiPriority w:val="0"/>
    <w:pPr>
      <w:ind w:left="840" w:leftChars="400"/>
    </w:pPr>
  </w:style>
  <w:style w:type="paragraph" w:styleId="14">
    <w:name w:val="Balloon Text"/>
    <w:basedOn w:val="1"/>
    <w:link w:val="32"/>
    <w:autoRedefine/>
    <w:qFormat/>
    <w:uiPriority w:val="0"/>
    <w:rPr>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4"/>
    <w:basedOn w:val="1"/>
    <w:autoRedefine/>
    <w:qFormat/>
    <w:uiPriority w:val="0"/>
    <w:pPr>
      <w:tabs>
        <w:tab w:val="left" w:pos="1890"/>
        <w:tab w:val="right" w:leader="dot" w:pos="8296"/>
      </w:tabs>
      <w:ind w:left="630" w:leftChars="300"/>
    </w:pPr>
  </w:style>
  <w:style w:type="paragraph" w:styleId="18">
    <w:name w:val="Normal (Web)"/>
    <w:basedOn w:val="1"/>
    <w:autoRedefine/>
    <w:qFormat/>
    <w:uiPriority w:val="0"/>
    <w:rPr>
      <w:sz w:val="24"/>
    </w:rPr>
  </w:style>
  <w:style w:type="paragraph" w:styleId="19">
    <w:name w:val="annotation subject"/>
    <w:basedOn w:val="9"/>
    <w:link w:val="31"/>
    <w:autoRedefine/>
    <w:qFormat/>
    <w:uiPriority w:val="0"/>
    <w:rPr>
      <w:b/>
      <w:bCs/>
    </w:rPr>
  </w:style>
  <w:style w:type="paragraph" w:styleId="20">
    <w:name w:val="Body Text First Indent 2"/>
    <w:basedOn w:val="11"/>
    <w:link w:val="36"/>
    <w:autoRedefine/>
    <w:qFormat/>
    <w:uiPriority w:val="0"/>
    <w:pPr>
      <w:spacing w:after="120"/>
      <w:ind w:left="420" w:leftChars="200" w:firstLine="210" w:firstLineChars="200"/>
    </w:pPr>
    <w:rPr>
      <w:rFonts w:ascii="宋体" w:hAnsi="宋体"/>
      <w:kern w:val="2"/>
      <w:sz w:val="28"/>
    </w:rPr>
  </w:style>
  <w:style w:type="character" w:styleId="23">
    <w:name w:val="Hyperlink"/>
    <w:qFormat/>
    <w:uiPriority w:val="0"/>
    <w:rPr>
      <w:rFonts w:cs="Times New Roman"/>
      <w:color w:val="0000FF"/>
      <w:u w:val="single"/>
    </w:rPr>
  </w:style>
  <w:style w:type="character" w:styleId="24">
    <w:name w:val="annotation reference"/>
    <w:basedOn w:val="22"/>
    <w:qFormat/>
    <w:uiPriority w:val="0"/>
    <w:rPr>
      <w:sz w:val="21"/>
      <w:szCs w:val="21"/>
    </w:rPr>
  </w:style>
  <w:style w:type="paragraph" w:customStyle="1" w:styleId="25">
    <w:name w:val="正文1"/>
    <w:qFormat/>
    <w:uiPriority w:val="0"/>
    <w:rPr>
      <w:rFonts w:ascii="Times New Roman" w:hAnsi="Times New Roman" w:eastAsia="Times New Roman" w:cs="Times New Roman"/>
      <w:sz w:val="24"/>
      <w:szCs w:val="24"/>
      <w:lang w:val="en-US" w:eastAsia="zh-CN" w:bidi="ar-SA"/>
    </w:rPr>
  </w:style>
  <w:style w:type="paragraph" w:customStyle="1" w:styleId="26">
    <w:name w:val="Div_MsoNormal ParagraphIndent"/>
    <w:basedOn w:val="25"/>
    <w:qFormat/>
    <w:uiPriority w:val="0"/>
    <w:rPr>
      <w:rFonts w:ascii="宋体" w:hAnsi="宋体" w:eastAsia="宋体" w:cs="宋体"/>
      <w:sz w:val="21"/>
    </w:rPr>
  </w:style>
  <w:style w:type="paragraph" w:customStyle="1" w:styleId="27">
    <w:name w:val="Div_MsoNormal  ParagraphIndent"/>
    <w:basedOn w:val="25"/>
    <w:qFormat/>
    <w:uiPriority w:val="0"/>
    <w:rPr>
      <w:rFonts w:ascii="宋体" w:hAnsi="宋体" w:eastAsia="宋体" w:cs="宋体"/>
      <w:sz w:val="21"/>
    </w:rPr>
  </w:style>
  <w:style w:type="paragraph" w:customStyle="1" w:styleId="28">
    <w:name w:val="_Style 6"/>
    <w:basedOn w:val="4"/>
    <w:autoRedefine/>
    <w:qFormat/>
    <w:uiPriority w:val="0"/>
    <w:pPr>
      <w:outlineLvl w:val="9"/>
    </w:pPr>
  </w:style>
  <w:style w:type="paragraph" w:customStyle="1" w:styleId="29">
    <w:name w:val="次段落1"/>
    <w:basedOn w:val="1"/>
    <w:qFormat/>
    <w:uiPriority w:val="0"/>
    <w:pPr>
      <w:tabs>
        <w:tab w:val="left" w:pos="360"/>
        <w:tab w:val="left" w:pos="840"/>
      </w:tabs>
      <w:spacing w:beforeLines="50" w:line="360" w:lineRule="auto"/>
    </w:pPr>
    <w:rPr>
      <w:rFonts w:ascii="Times New Roman" w:hAnsi="Times New Roman"/>
      <w:sz w:val="24"/>
      <w:szCs w:val="24"/>
    </w:rPr>
  </w:style>
  <w:style w:type="character" w:customStyle="1" w:styleId="30">
    <w:name w:val="批注文字 Char"/>
    <w:basedOn w:val="22"/>
    <w:link w:val="9"/>
    <w:qFormat/>
    <w:uiPriority w:val="0"/>
    <w:rPr>
      <w:rFonts w:ascii="Calibri" w:hAnsi="Calibri"/>
      <w:kern w:val="2"/>
      <w:sz w:val="21"/>
      <w:szCs w:val="22"/>
    </w:rPr>
  </w:style>
  <w:style w:type="character" w:customStyle="1" w:styleId="31">
    <w:name w:val="批注主题 Char"/>
    <w:basedOn w:val="30"/>
    <w:link w:val="19"/>
    <w:qFormat/>
    <w:uiPriority w:val="0"/>
    <w:rPr>
      <w:rFonts w:ascii="Calibri" w:hAnsi="Calibri"/>
      <w:kern w:val="2"/>
      <w:sz w:val="21"/>
      <w:szCs w:val="22"/>
    </w:rPr>
  </w:style>
  <w:style w:type="character" w:customStyle="1" w:styleId="32">
    <w:name w:val="批注框文本 Char"/>
    <w:basedOn w:val="22"/>
    <w:link w:val="14"/>
    <w:qFormat/>
    <w:uiPriority w:val="0"/>
    <w:rPr>
      <w:rFonts w:ascii="Calibri" w:hAnsi="Calibri"/>
      <w:kern w:val="2"/>
      <w:sz w:val="18"/>
      <w:szCs w:val="18"/>
    </w:rPr>
  </w:style>
  <w:style w:type="paragraph" w:styleId="33">
    <w:name w:val="List Paragraph"/>
    <w:basedOn w:val="1"/>
    <w:unhideWhenUsed/>
    <w:qFormat/>
    <w:uiPriority w:val="99"/>
    <w:pPr>
      <w:ind w:firstLine="420" w:firstLineChars="200"/>
    </w:pPr>
  </w:style>
  <w:style w:type="paragraph" w:customStyle="1" w:styleId="34">
    <w:name w:val="表格文字"/>
    <w:basedOn w:val="1"/>
    <w:qFormat/>
    <w:uiPriority w:val="99"/>
    <w:pPr>
      <w:spacing w:before="25" w:after="25"/>
      <w:jc w:val="left"/>
    </w:pPr>
    <w:rPr>
      <w:bCs/>
      <w:spacing w:val="10"/>
      <w:kern w:val="0"/>
      <w:sz w:val="24"/>
    </w:rPr>
  </w:style>
  <w:style w:type="character" w:customStyle="1" w:styleId="35">
    <w:name w:val="正文文本缩进 Char"/>
    <w:basedOn w:val="22"/>
    <w:link w:val="11"/>
    <w:qFormat/>
    <w:uiPriority w:val="0"/>
    <w:rPr>
      <w:rFonts w:hint="default" w:ascii="Calibri" w:hAnsi="Calibri" w:cs="Calibri"/>
      <w:kern w:val="2"/>
      <w:sz w:val="21"/>
      <w:szCs w:val="22"/>
    </w:rPr>
  </w:style>
  <w:style w:type="character" w:customStyle="1" w:styleId="36">
    <w:name w:val="正文首行缩进 2 Char"/>
    <w:basedOn w:val="35"/>
    <w:link w:val="20"/>
    <w:qFormat/>
    <w:uiPriority w:val="0"/>
    <w:rPr>
      <w:rFonts w:hint="default" w:ascii="Calibri" w:hAnsi="Calibri" w:cs="Calibri"/>
      <w:kern w:val="2"/>
      <w:sz w:val="21"/>
      <w:szCs w:val="22"/>
    </w:rPr>
  </w:style>
  <w:style w:type="paragraph" w:customStyle="1" w:styleId="37">
    <w:name w:val="_Style 1"/>
    <w:basedOn w:val="1"/>
    <w:qFormat/>
    <w:uiPriority w:val="99"/>
    <w:pPr>
      <w:ind w:firstLine="420" w:firstLineChars="200"/>
    </w:pPr>
    <w:rPr>
      <w:rFonts w:ascii="Times New Roman" w:hAnsi="Times New Roman"/>
      <w:szCs w:val="20"/>
    </w:rPr>
  </w:style>
  <w:style w:type="character" w:customStyle="1" w:styleId="38">
    <w:name w:val="纯文本 Char"/>
    <w:link w:val="2"/>
    <w:qFormat/>
    <w:uiPriority w:val="99"/>
    <w:rPr>
      <w:rFonts w:ascii="宋体" w:hAnsi="Courier New" w:cs="Courier New"/>
      <w:kern w:val="2"/>
      <w:sz w:val="21"/>
      <w:szCs w:val="21"/>
    </w:rPr>
  </w:style>
  <w:style w:type="character" w:customStyle="1" w:styleId="39">
    <w:name w:val="font71"/>
    <w:basedOn w:val="2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9" textRotate="1"/>
    <customShpInfo spid="_x0000_s4100"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3923</Words>
  <Characters>4022</Characters>
  <Lines>29</Lines>
  <Paragraphs>8</Paragraphs>
  <TotalTime>0</TotalTime>
  <ScaleCrop>false</ScaleCrop>
  <LinksUpToDate>false</LinksUpToDate>
  <CharactersWithSpaces>4052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2024-10-24T08:52:00Z</dcterms:created>
  <dc:creator>麦智德</dc:creator>
  <cp:lastModifiedBy>可爱滴46</cp:lastModifiedBy>
  <dcterms:modified xsi:type="dcterms:W3CDTF">2025-04-07T02:39:05Z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5D8CE5C05E3148A0B068E9933CE5D18E</vt:lpwstr>
  </property>
  <property fmtid="{D5CDD505-2E9C-101B-9397-08002B2CF9AE}" pid="4" name="KSOTemplateDocerSaveRecord">
    <vt:lpwstr>eyJoZGlkIjoiNjg0YjRlNWU1MTNmNTNlNDQ0NGVhYTdmNzNlMjllYTEiLCJ1c2VySWQiOiI2MzkwMTA2NDYifQ==</vt:lpwstr>
  </property>
</Properties>
</file>