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23CB22">
      <w:pPr>
        <w:pStyle w:val="27"/>
        <w:spacing w:line="360" w:lineRule="auto"/>
        <w:jc w:val="center"/>
        <w:rPr>
          <w:rFonts w:asciiTheme="minorEastAsia" w:hAnsiTheme="minorEastAsia" w:eastAsiaTheme="minorEastAsia"/>
          <w:b/>
          <w:bCs/>
          <w:color w:val="auto"/>
          <w:sz w:val="30"/>
          <w:szCs w:val="30"/>
          <w:highlight w:val="none"/>
        </w:rPr>
      </w:pPr>
      <w:r>
        <w:rPr>
          <w:rFonts w:hint="eastAsia" w:asciiTheme="minorEastAsia" w:hAnsiTheme="minorEastAsia" w:eastAsiaTheme="minorEastAsia"/>
          <w:b/>
          <w:bCs/>
          <w:color w:val="auto"/>
          <w:sz w:val="30"/>
          <w:szCs w:val="30"/>
          <w:highlight w:val="none"/>
        </w:rPr>
        <w:t>中国-东盟医疗保健合作中心(广西)直饮水机安装及租赁服务</w:t>
      </w:r>
    </w:p>
    <w:p w14:paraId="478511B4">
      <w:pPr>
        <w:pStyle w:val="27"/>
        <w:spacing w:line="360" w:lineRule="auto"/>
        <w:jc w:val="center"/>
        <w:rPr>
          <w:rFonts w:asciiTheme="minorEastAsia" w:hAnsiTheme="minorEastAsia" w:eastAsiaTheme="minorEastAsia"/>
          <w:b/>
          <w:bCs/>
          <w:color w:val="auto"/>
          <w:sz w:val="30"/>
          <w:szCs w:val="30"/>
          <w:highlight w:val="none"/>
          <w:lang w:val="zh-CN"/>
        </w:rPr>
      </w:pPr>
      <w:r>
        <w:rPr>
          <w:rFonts w:hint="eastAsia" w:asciiTheme="minorEastAsia" w:hAnsiTheme="minorEastAsia" w:eastAsiaTheme="minorEastAsia"/>
          <w:b/>
          <w:bCs/>
          <w:color w:val="auto"/>
          <w:sz w:val="30"/>
          <w:szCs w:val="30"/>
          <w:highlight w:val="none"/>
          <w:lang w:val="zh-CN"/>
        </w:rPr>
        <w:t>采购需求</w:t>
      </w:r>
    </w:p>
    <w:p w14:paraId="347404D7">
      <w:pPr>
        <w:pStyle w:val="27"/>
        <w:spacing w:line="360" w:lineRule="auto"/>
        <w:rPr>
          <w:rFonts w:asciiTheme="minorEastAsia" w:hAnsiTheme="minorEastAsia" w:eastAsiaTheme="minorEastAsia"/>
          <w:color w:val="auto"/>
          <w:szCs w:val="21"/>
          <w:highlight w:val="none"/>
          <w:lang w:val="zh-CN"/>
        </w:rPr>
      </w:pPr>
    </w:p>
    <w:p w14:paraId="42A77A3D">
      <w:pPr>
        <w:pStyle w:val="27"/>
        <w:spacing w:line="360" w:lineRule="auto"/>
        <w:rPr>
          <w:b/>
          <w:bCs/>
          <w:color w:val="auto"/>
          <w:sz w:val="24"/>
          <w:highlight w:val="none"/>
          <w:lang w:val="zh-CN"/>
        </w:rPr>
      </w:pPr>
      <w:r>
        <w:rPr>
          <w:rFonts w:hint="eastAsia"/>
          <w:b/>
          <w:bCs/>
          <w:color w:val="auto"/>
          <w:sz w:val="24"/>
          <w:highlight w:val="none"/>
          <w:lang w:val="zh-CN"/>
        </w:rPr>
        <w:t>一、项目概况</w:t>
      </w:r>
    </w:p>
    <w:p w14:paraId="7F799729">
      <w:pPr>
        <w:pStyle w:val="27"/>
        <w:numPr>
          <w:ilvl w:val="0"/>
          <w:numId w:val="1"/>
        </w:numPr>
        <w:spacing w:line="360" w:lineRule="auto"/>
        <w:rPr>
          <w:color w:val="auto"/>
          <w:sz w:val="24"/>
          <w:highlight w:val="none"/>
          <w:lang w:val="zh-CN"/>
        </w:rPr>
      </w:pPr>
      <w:r>
        <w:rPr>
          <w:rFonts w:hint="eastAsia"/>
          <w:color w:val="auto"/>
          <w:sz w:val="24"/>
          <w:highlight w:val="none"/>
          <w:lang w:val="zh-CN"/>
        </w:rPr>
        <w:t>预算价:</w:t>
      </w:r>
      <w:r>
        <w:rPr>
          <w:rFonts w:hint="eastAsia"/>
          <w:color w:val="auto"/>
          <w:sz w:val="24"/>
          <w:highlight w:val="none"/>
        </w:rPr>
        <w:t>299647</w:t>
      </w:r>
      <w:r>
        <w:rPr>
          <w:rFonts w:hint="eastAsia"/>
          <w:color w:val="auto"/>
          <w:sz w:val="24"/>
          <w:highlight w:val="none"/>
          <w:lang w:val="zh-CN"/>
        </w:rPr>
        <w:t>元</w:t>
      </w:r>
    </w:p>
    <w:p w14:paraId="2276C36A">
      <w:pPr>
        <w:pStyle w:val="27"/>
        <w:numPr>
          <w:ilvl w:val="0"/>
          <w:numId w:val="1"/>
        </w:numPr>
        <w:spacing w:line="360" w:lineRule="auto"/>
        <w:rPr>
          <w:color w:val="auto"/>
          <w:sz w:val="24"/>
          <w:highlight w:val="none"/>
          <w:lang w:val="zh-CN"/>
        </w:rPr>
      </w:pPr>
      <w:r>
        <w:rPr>
          <w:rFonts w:hint="eastAsia"/>
          <w:color w:val="auto"/>
          <w:sz w:val="24"/>
          <w:highlight w:val="none"/>
          <w:lang w:val="zh-CN"/>
        </w:rPr>
        <w:t>服务期:</w:t>
      </w:r>
      <w:r>
        <w:rPr>
          <w:rFonts w:hint="eastAsia"/>
          <w:color w:val="auto"/>
          <w:sz w:val="24"/>
          <w:highlight w:val="none"/>
        </w:rPr>
        <w:t>1年</w:t>
      </w:r>
      <w:r>
        <w:rPr>
          <w:rFonts w:hint="eastAsia"/>
          <w:color w:val="auto"/>
          <w:sz w:val="24"/>
          <w:highlight w:val="none"/>
          <w:lang w:val="zh-CN"/>
        </w:rPr>
        <w:t>。</w:t>
      </w:r>
    </w:p>
    <w:p w14:paraId="0C200C5C">
      <w:pPr>
        <w:pStyle w:val="27"/>
        <w:spacing w:line="360" w:lineRule="auto"/>
        <w:rPr>
          <w:color w:val="auto"/>
          <w:sz w:val="24"/>
          <w:highlight w:val="none"/>
          <w:lang w:val="zh-CN"/>
        </w:rPr>
      </w:pPr>
      <w:r>
        <w:rPr>
          <w:rFonts w:hint="eastAsia"/>
          <w:b/>
          <w:bCs/>
          <w:color w:val="auto"/>
          <w:sz w:val="24"/>
          <w:highlight w:val="none"/>
          <w:lang w:val="zh-CN"/>
        </w:rPr>
        <w:t>二、供应商资格要求</w:t>
      </w:r>
    </w:p>
    <w:p w14:paraId="6BBE6E2B">
      <w:pPr>
        <w:pStyle w:val="27"/>
        <w:spacing w:line="360" w:lineRule="auto"/>
        <w:rPr>
          <w:rFonts w:hint="eastAsia" w:eastAsia="宋体"/>
          <w:color w:val="auto"/>
          <w:sz w:val="24"/>
          <w:highlight w:val="none"/>
          <w:lang w:val="en-US" w:eastAsia="zh-CN"/>
        </w:rPr>
      </w:pPr>
      <w:r>
        <w:rPr>
          <w:rFonts w:hint="eastAsia"/>
          <w:color w:val="auto"/>
          <w:sz w:val="24"/>
          <w:highlight w:val="none"/>
          <w:lang w:val="zh-CN"/>
        </w:rPr>
        <w:t>1.参与供应商必须具有独立承担民事责任的能力，具有有效的《营业执照》，市场监督管理部门有特定资格要求的，应满足特定资格要求；</w:t>
      </w:r>
      <w:r>
        <w:rPr>
          <w:rFonts w:hint="eastAsia"/>
          <w:color w:val="auto"/>
          <w:sz w:val="24"/>
          <w:highlight w:val="none"/>
          <w:lang w:val="en-US" w:eastAsia="zh-CN"/>
        </w:rPr>
        <w:t xml:space="preserve"> </w:t>
      </w:r>
    </w:p>
    <w:p w14:paraId="6F380B92">
      <w:pPr>
        <w:pStyle w:val="27"/>
        <w:spacing w:line="360" w:lineRule="auto"/>
        <w:rPr>
          <w:color w:val="auto"/>
          <w:sz w:val="24"/>
          <w:highlight w:val="none"/>
          <w:lang w:val="zh-CN"/>
        </w:rPr>
      </w:pPr>
      <w:r>
        <w:rPr>
          <w:rFonts w:hint="eastAsia"/>
          <w:color w:val="auto"/>
          <w:sz w:val="24"/>
          <w:highlight w:val="none"/>
          <w:lang w:val="zh-CN"/>
        </w:rPr>
        <w:t>2.对在“信用中国”网站(www.creditchina.gov.cn)、中国政府采购网(www.ccgp.gov.cn)等渠道列入失信被执行人、重大税收违法案件当事人名单、政府采购严重违法失信行为记录名单的供应商，将被拒绝参与本次比选活动。</w:t>
      </w:r>
    </w:p>
    <w:p w14:paraId="4E1B1B00">
      <w:pPr>
        <w:pStyle w:val="27"/>
        <w:spacing w:line="360" w:lineRule="auto"/>
        <w:rPr>
          <w:color w:val="auto"/>
          <w:sz w:val="24"/>
          <w:highlight w:val="none"/>
          <w:lang w:val="zh-CN"/>
        </w:rPr>
      </w:pPr>
      <w:r>
        <w:rPr>
          <w:rFonts w:hint="eastAsia"/>
          <w:color w:val="auto"/>
          <w:sz w:val="24"/>
          <w:highlight w:val="none"/>
          <w:lang w:val="zh-CN"/>
        </w:rPr>
        <w:t>3.不接受联合体参与，不允许供应商对项目进行分包或转包。</w:t>
      </w:r>
    </w:p>
    <w:p w14:paraId="6DEA4261">
      <w:pPr>
        <w:tabs>
          <w:tab w:val="left" w:pos="180"/>
          <w:tab w:val="left" w:pos="1620"/>
        </w:tabs>
        <w:spacing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三、服务要求。</w:t>
      </w:r>
    </w:p>
    <w:p w14:paraId="4795DD6C">
      <w:pPr>
        <w:pStyle w:val="2"/>
        <w:ind w:left="0" w:leftChars="0" w:right="63"/>
        <w:jc w:val="both"/>
        <w:rPr>
          <w:rFonts w:ascii="宋体" w:hAnsi="宋体" w:cs="宋体"/>
          <w:color w:val="auto"/>
          <w:sz w:val="24"/>
          <w:szCs w:val="24"/>
          <w:highlight w:val="none"/>
        </w:rPr>
      </w:pPr>
      <w:r>
        <w:rPr>
          <w:rFonts w:hint="eastAsia" w:ascii="宋体" w:hAnsi="宋体" w:cs="宋体"/>
          <w:color w:val="auto"/>
          <w:sz w:val="24"/>
          <w:szCs w:val="24"/>
          <w:highlight w:val="none"/>
        </w:rPr>
        <w:t>注明：本采购项目中标注</w:t>
      </w:r>
      <w:r>
        <w:rPr>
          <w:rFonts w:hint="eastAsia" w:ascii="宋体" w:hAnsi="宋体" w:cs="宋体"/>
          <w:b/>
          <w:color w:val="auto"/>
          <w:sz w:val="24"/>
          <w:szCs w:val="24"/>
          <w:highlight w:val="none"/>
          <w:lang w:val="hr-HR"/>
        </w:rPr>
        <w:t>▲</w:t>
      </w:r>
      <w:r>
        <w:rPr>
          <w:rFonts w:hint="eastAsia" w:ascii="宋体" w:hAnsi="宋体" w:cs="宋体"/>
          <w:color w:val="auto"/>
          <w:sz w:val="24"/>
          <w:szCs w:val="24"/>
          <w:highlight w:val="none"/>
        </w:rPr>
        <w:t>号的内容为实质性要求和条件，如果供应商服务响应表存在不响应或者负偏离，在符合性审查时将不予通过，响应无效。</w:t>
      </w:r>
    </w:p>
    <w:p w14:paraId="018F1F9F">
      <w:pPr>
        <w:pStyle w:val="18"/>
        <w:spacing w:line="400" w:lineRule="exact"/>
        <w:jc w:val="left"/>
        <w:rPr>
          <w:rFonts w:ascii="宋体" w:hAnsi="宋体" w:cs="宋体"/>
          <w:bCs/>
          <w:color w:val="auto"/>
          <w:szCs w:val="24"/>
          <w:highlight w:val="none"/>
        </w:rPr>
      </w:pPr>
      <w:r>
        <w:rPr>
          <w:rFonts w:hint="eastAsia" w:ascii="宋体" w:hAnsi="宋体" w:cs="宋体"/>
          <w:bCs/>
          <w:color w:val="auto"/>
          <w:szCs w:val="24"/>
          <w:highlight w:val="none"/>
        </w:rPr>
        <w:t>1、租赁设备安装位置</w:t>
      </w:r>
    </w:p>
    <w:tbl>
      <w:tblPr>
        <w:tblStyle w:val="21"/>
        <w:tblW w:w="8423" w:type="dxa"/>
        <w:tblInd w:w="106" w:type="dxa"/>
        <w:tblLayout w:type="fixed"/>
        <w:tblCellMar>
          <w:top w:w="0" w:type="dxa"/>
          <w:left w:w="108" w:type="dxa"/>
          <w:bottom w:w="0" w:type="dxa"/>
          <w:right w:w="108" w:type="dxa"/>
        </w:tblCellMar>
      </w:tblPr>
      <w:tblGrid>
        <w:gridCol w:w="1118"/>
        <w:gridCol w:w="7305"/>
      </w:tblGrid>
      <w:tr w14:paraId="19A9B3B8">
        <w:tblPrEx>
          <w:tblCellMar>
            <w:top w:w="0" w:type="dxa"/>
            <w:left w:w="108" w:type="dxa"/>
            <w:bottom w:w="0" w:type="dxa"/>
            <w:right w:w="108" w:type="dxa"/>
          </w:tblCellMar>
        </w:tblPrEx>
        <w:trPr>
          <w:trHeight w:val="277" w:hRule="atLeast"/>
        </w:trPr>
        <w:tc>
          <w:tcPr>
            <w:tcW w:w="1118" w:type="dxa"/>
            <w:tcBorders>
              <w:top w:val="single" w:color="auto" w:sz="4" w:space="0"/>
              <w:left w:val="single" w:color="auto" w:sz="4" w:space="0"/>
              <w:bottom w:val="single" w:color="auto" w:sz="4" w:space="0"/>
              <w:right w:val="single" w:color="auto" w:sz="4" w:space="0"/>
            </w:tcBorders>
            <w:noWrap/>
            <w:vAlign w:val="bottom"/>
          </w:tcPr>
          <w:p w14:paraId="6B81E357">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序号</w:t>
            </w:r>
          </w:p>
        </w:tc>
        <w:tc>
          <w:tcPr>
            <w:tcW w:w="7305" w:type="dxa"/>
            <w:tcBorders>
              <w:top w:val="single" w:color="auto" w:sz="4" w:space="0"/>
              <w:left w:val="nil"/>
              <w:bottom w:val="single" w:color="auto" w:sz="4" w:space="0"/>
              <w:right w:val="single" w:color="auto" w:sz="4" w:space="0"/>
            </w:tcBorders>
            <w:noWrap/>
            <w:vAlign w:val="bottom"/>
          </w:tcPr>
          <w:p w14:paraId="618D4F69">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位置</w:t>
            </w:r>
          </w:p>
        </w:tc>
      </w:tr>
      <w:tr w14:paraId="22B4F16B">
        <w:tblPrEx>
          <w:tblCellMar>
            <w:top w:w="0" w:type="dxa"/>
            <w:left w:w="108" w:type="dxa"/>
            <w:bottom w:w="0" w:type="dxa"/>
            <w:right w:w="108" w:type="dxa"/>
          </w:tblCellMar>
        </w:tblPrEx>
        <w:trPr>
          <w:trHeight w:val="277" w:hRule="atLeast"/>
        </w:trPr>
        <w:tc>
          <w:tcPr>
            <w:tcW w:w="1118" w:type="dxa"/>
            <w:tcBorders>
              <w:top w:val="nil"/>
              <w:left w:val="single" w:color="auto" w:sz="4" w:space="0"/>
              <w:bottom w:val="single" w:color="auto" w:sz="4" w:space="0"/>
              <w:right w:val="single" w:color="auto" w:sz="4" w:space="0"/>
            </w:tcBorders>
            <w:shd w:val="clear" w:color="auto" w:fill="auto"/>
            <w:noWrap/>
            <w:vAlign w:val="center"/>
          </w:tcPr>
          <w:p w14:paraId="0F977EB6">
            <w:pPr>
              <w:widowControl/>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7305" w:type="dxa"/>
            <w:tcBorders>
              <w:top w:val="nil"/>
              <w:left w:val="nil"/>
              <w:bottom w:val="single" w:color="auto" w:sz="4" w:space="0"/>
              <w:right w:val="single" w:color="auto" w:sz="4" w:space="0"/>
            </w:tcBorders>
            <w:shd w:val="clear" w:color="000000" w:fill="FFFFFF"/>
            <w:noWrap/>
            <w:vAlign w:val="center"/>
          </w:tcPr>
          <w:p w14:paraId="1B0E62F0">
            <w:pPr>
              <w:jc w:val="center"/>
              <w:rPr>
                <w:rFonts w:ascii="宋体" w:hAnsi="宋体" w:cs="宋体"/>
                <w:color w:val="auto"/>
                <w:sz w:val="24"/>
                <w:szCs w:val="24"/>
                <w:highlight w:val="none"/>
              </w:rPr>
            </w:pPr>
            <w:r>
              <w:rPr>
                <w:rFonts w:hint="eastAsia" w:ascii="宋体" w:hAnsi="宋体" w:cs="宋体"/>
                <w:color w:val="auto"/>
                <w:sz w:val="24"/>
                <w:szCs w:val="24"/>
                <w:highlight w:val="none"/>
              </w:rPr>
              <w:t>中国—东盟医疗保健合作中心（广西）1-26层，分批安装</w:t>
            </w:r>
          </w:p>
        </w:tc>
      </w:tr>
    </w:tbl>
    <w:p w14:paraId="103B6686">
      <w:pPr>
        <w:numPr>
          <w:ilvl w:val="0"/>
          <w:numId w:val="2"/>
        </w:numPr>
        <w:spacing w:line="400" w:lineRule="exact"/>
        <w:jc w:val="left"/>
        <w:rPr>
          <w:rFonts w:ascii="宋体" w:hAnsi="宋体" w:cs="宋体"/>
          <w:bCs/>
          <w:color w:val="auto"/>
          <w:sz w:val="24"/>
          <w:szCs w:val="24"/>
          <w:highlight w:val="none"/>
        </w:rPr>
      </w:pPr>
      <w:r>
        <w:rPr>
          <w:rFonts w:hint="eastAsia" w:ascii="宋体" w:hAnsi="宋体" w:cs="宋体"/>
          <w:bCs/>
          <w:color w:val="auto"/>
          <w:sz w:val="24"/>
          <w:szCs w:val="24"/>
          <w:highlight w:val="none"/>
        </w:rPr>
        <w:t>每层楼饮水点数量要求</w:t>
      </w:r>
    </w:p>
    <w:tbl>
      <w:tblPr>
        <w:tblStyle w:val="21"/>
        <w:tblW w:w="5000" w:type="pct"/>
        <w:tblInd w:w="0" w:type="dxa"/>
        <w:tblLayout w:type="fixed"/>
        <w:tblCellMar>
          <w:top w:w="0" w:type="dxa"/>
          <w:left w:w="108" w:type="dxa"/>
          <w:bottom w:w="0" w:type="dxa"/>
          <w:right w:w="108" w:type="dxa"/>
        </w:tblCellMar>
      </w:tblPr>
      <w:tblGrid>
        <w:gridCol w:w="573"/>
        <w:gridCol w:w="3233"/>
        <w:gridCol w:w="1320"/>
        <w:gridCol w:w="3396"/>
      </w:tblGrid>
      <w:tr w14:paraId="5EBCA141">
        <w:tblPrEx>
          <w:tblCellMar>
            <w:top w:w="0" w:type="dxa"/>
            <w:left w:w="108" w:type="dxa"/>
            <w:bottom w:w="0" w:type="dxa"/>
            <w:right w:w="108" w:type="dxa"/>
          </w:tblCellMar>
        </w:tblPrEx>
        <w:trPr>
          <w:trHeight w:val="31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B86C2">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楼层</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3FEED">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科室功能</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B6BF">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饮水点数量（不可低于本数量）</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86A02">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备注</w:t>
            </w:r>
          </w:p>
        </w:tc>
      </w:tr>
      <w:tr w14:paraId="0FBC2337">
        <w:tblPrEx>
          <w:tblCellMar>
            <w:top w:w="0" w:type="dxa"/>
            <w:left w:w="108" w:type="dxa"/>
            <w:bottom w:w="0" w:type="dxa"/>
            <w:right w:w="108" w:type="dxa"/>
          </w:tblCellMar>
        </w:tblPrEx>
        <w:trPr>
          <w:trHeight w:val="31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FE4FE">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26层</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7EE6C">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综合三病区</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7DBBA">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12个</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5E3D">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病床8张+工作人员饮水</w:t>
            </w:r>
          </w:p>
        </w:tc>
      </w:tr>
      <w:tr w14:paraId="16A76783">
        <w:tblPrEx>
          <w:tblCellMar>
            <w:top w:w="0" w:type="dxa"/>
            <w:left w:w="108" w:type="dxa"/>
            <w:bottom w:w="0" w:type="dxa"/>
            <w:right w:w="108" w:type="dxa"/>
          </w:tblCellMar>
        </w:tblPrEx>
        <w:trPr>
          <w:trHeight w:val="31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87DCF">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25层</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925DE">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综合病一、二病区</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D28FB">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21个</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2BD0E">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病床 14 张+工作人员饮水</w:t>
            </w:r>
          </w:p>
        </w:tc>
      </w:tr>
      <w:tr w14:paraId="69DA97F2">
        <w:tblPrEx>
          <w:tblCellMar>
            <w:top w:w="0" w:type="dxa"/>
            <w:left w:w="108" w:type="dxa"/>
            <w:bottom w:w="0" w:type="dxa"/>
            <w:right w:w="108" w:type="dxa"/>
          </w:tblCellMar>
        </w:tblPrEx>
        <w:trPr>
          <w:trHeight w:val="31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43F7B">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21层</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02823">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中国-东盟老年心血管病区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7DBAA">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46个</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0EABF">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病床 56 张+工作人员饮水</w:t>
            </w:r>
          </w:p>
        </w:tc>
      </w:tr>
      <w:tr w14:paraId="32737778">
        <w:tblPrEx>
          <w:tblCellMar>
            <w:top w:w="0" w:type="dxa"/>
            <w:left w:w="108" w:type="dxa"/>
            <w:bottom w:w="0" w:type="dxa"/>
            <w:right w:w="108" w:type="dxa"/>
          </w:tblCellMar>
        </w:tblPrEx>
        <w:trPr>
          <w:trHeight w:val="31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A424D">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20层</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0063C">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中国-东盟老年内分泌代谢病区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C5695">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45个</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D82F1">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病床 56 张+工作人员饮水</w:t>
            </w:r>
          </w:p>
        </w:tc>
      </w:tr>
      <w:tr w14:paraId="69412DCA">
        <w:tblPrEx>
          <w:tblCellMar>
            <w:top w:w="0" w:type="dxa"/>
            <w:left w:w="108" w:type="dxa"/>
            <w:bottom w:w="0" w:type="dxa"/>
            <w:right w:w="108" w:type="dxa"/>
          </w:tblCellMar>
        </w:tblPrEx>
        <w:trPr>
          <w:trHeight w:val="9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F4C25">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19层</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09920">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中国-东盟老年神经内科病区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BD1F4">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45个</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3C4FA">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病床 56 张+工作人员饮水</w:t>
            </w:r>
          </w:p>
        </w:tc>
      </w:tr>
      <w:tr w14:paraId="5E5E65E6">
        <w:tblPrEx>
          <w:tblCellMar>
            <w:top w:w="0" w:type="dxa"/>
            <w:left w:w="108" w:type="dxa"/>
            <w:bottom w:w="0" w:type="dxa"/>
            <w:right w:w="108" w:type="dxa"/>
          </w:tblCellMar>
        </w:tblPrEx>
        <w:trPr>
          <w:trHeight w:val="31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BBB4D">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18层</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9E1C">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中国-东盟老年呼吸病区</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B82F0">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46个</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0FD5">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病床 56 张+工作人员饮水</w:t>
            </w:r>
          </w:p>
        </w:tc>
      </w:tr>
      <w:tr w14:paraId="6C8939AA">
        <w:tblPrEx>
          <w:tblCellMar>
            <w:top w:w="0" w:type="dxa"/>
            <w:left w:w="108" w:type="dxa"/>
            <w:bottom w:w="0" w:type="dxa"/>
            <w:right w:w="108" w:type="dxa"/>
          </w:tblCellMar>
        </w:tblPrEx>
        <w:trPr>
          <w:trHeight w:val="31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FC70C">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17层</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52BD8">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中国-东盟老年消化病区</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A448C">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46个</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B0C65">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病床 56 张+工作人员饮水</w:t>
            </w:r>
          </w:p>
        </w:tc>
      </w:tr>
      <w:tr w14:paraId="0FA35ED0">
        <w:tblPrEx>
          <w:tblCellMar>
            <w:top w:w="0" w:type="dxa"/>
            <w:left w:w="108" w:type="dxa"/>
            <w:bottom w:w="0" w:type="dxa"/>
            <w:right w:w="108" w:type="dxa"/>
          </w:tblCellMar>
        </w:tblPrEx>
        <w:trPr>
          <w:trHeight w:val="31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796EA">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15层</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918D8">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中国-东盟心内一病区、心内二病区</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D28DE">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val="en-US" w:eastAsia="zh-CN" w:bidi="ar"/>
              </w:rPr>
              <w:t>42</w:t>
            </w:r>
            <w:r>
              <w:rPr>
                <w:rFonts w:hint="eastAsia" w:ascii="宋体" w:hAnsi="宋体" w:cs="宋体"/>
                <w:color w:val="auto"/>
                <w:kern w:val="0"/>
                <w:sz w:val="24"/>
                <w:szCs w:val="24"/>
                <w:highlight w:val="none"/>
                <w:lang w:bidi="ar"/>
              </w:rPr>
              <w:t>个</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91B38">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病床 92 张+工作人员饮水</w:t>
            </w:r>
          </w:p>
        </w:tc>
      </w:tr>
      <w:tr w14:paraId="53F85575">
        <w:tblPrEx>
          <w:tblCellMar>
            <w:top w:w="0" w:type="dxa"/>
            <w:left w:w="108" w:type="dxa"/>
            <w:bottom w:w="0" w:type="dxa"/>
            <w:right w:w="108" w:type="dxa"/>
          </w:tblCellMar>
        </w:tblPrEx>
        <w:trPr>
          <w:trHeight w:val="31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3526E">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14层</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EA794">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中国-东盟心胸外一病区、心胸外二病区</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C524D">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val="en-US" w:eastAsia="zh-CN" w:bidi="ar"/>
              </w:rPr>
              <w:t>40</w:t>
            </w:r>
            <w:r>
              <w:rPr>
                <w:rFonts w:hint="eastAsia" w:ascii="宋体" w:hAnsi="宋体" w:cs="宋体"/>
                <w:color w:val="auto"/>
                <w:kern w:val="0"/>
                <w:sz w:val="24"/>
                <w:szCs w:val="24"/>
                <w:highlight w:val="none"/>
                <w:lang w:bidi="ar"/>
              </w:rPr>
              <w:t>个</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0D7E8">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病床 92张+工作人员饮水</w:t>
            </w:r>
          </w:p>
        </w:tc>
      </w:tr>
      <w:tr w14:paraId="3262A206">
        <w:tblPrEx>
          <w:tblCellMar>
            <w:top w:w="0" w:type="dxa"/>
            <w:left w:w="108" w:type="dxa"/>
            <w:bottom w:w="0" w:type="dxa"/>
            <w:right w:w="108" w:type="dxa"/>
          </w:tblCellMar>
        </w:tblPrEx>
        <w:trPr>
          <w:trHeight w:val="31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9A48C">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13层</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98203">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中国-心血管内科三病区 (46 床)、心胸外三病区病区 (46 床)</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BDCBB">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val="en-US" w:eastAsia="zh-CN" w:bidi="ar"/>
              </w:rPr>
              <w:t>40</w:t>
            </w:r>
            <w:r>
              <w:rPr>
                <w:rFonts w:hint="eastAsia" w:ascii="宋体" w:hAnsi="宋体" w:cs="宋体"/>
                <w:color w:val="auto"/>
                <w:kern w:val="0"/>
                <w:sz w:val="24"/>
                <w:szCs w:val="24"/>
                <w:highlight w:val="none"/>
                <w:lang w:bidi="ar"/>
              </w:rPr>
              <w:t>个</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6DB5F">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病床 92 张+工作人员饮水</w:t>
            </w:r>
          </w:p>
        </w:tc>
      </w:tr>
      <w:tr w14:paraId="26C467CF">
        <w:tblPrEx>
          <w:tblCellMar>
            <w:top w:w="0" w:type="dxa"/>
            <w:left w:w="108" w:type="dxa"/>
            <w:bottom w:w="0" w:type="dxa"/>
            <w:right w:w="108" w:type="dxa"/>
          </w:tblCellMar>
        </w:tblPrEx>
        <w:trPr>
          <w:trHeight w:val="31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C01D">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10层</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B48C4">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中国-东盟重症监护病区</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72706">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17个</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D4453">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CSICU 床位 31张+CCU 床位15张+工作人员饮水</w:t>
            </w:r>
          </w:p>
        </w:tc>
      </w:tr>
      <w:tr w14:paraId="235A1A7A">
        <w:tblPrEx>
          <w:tblCellMar>
            <w:top w:w="0" w:type="dxa"/>
            <w:left w:w="108" w:type="dxa"/>
            <w:bottom w:w="0" w:type="dxa"/>
            <w:right w:w="108" w:type="dxa"/>
          </w:tblCellMar>
        </w:tblPrEx>
        <w:trPr>
          <w:trHeight w:val="31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90E11">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9层</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FDC82">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介入手术中心</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DACA">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2个 </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30ACE">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工作人员饮水</w:t>
            </w:r>
          </w:p>
        </w:tc>
      </w:tr>
      <w:tr w14:paraId="41244F59">
        <w:tblPrEx>
          <w:tblCellMar>
            <w:top w:w="0" w:type="dxa"/>
            <w:left w:w="108" w:type="dxa"/>
            <w:bottom w:w="0" w:type="dxa"/>
            <w:right w:w="108" w:type="dxa"/>
          </w:tblCellMar>
        </w:tblPrEx>
        <w:trPr>
          <w:trHeight w:val="31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30ADB">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7层</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8E0A5">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手术室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7AA19">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2个</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C59E7">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工作人员饮水</w:t>
            </w:r>
          </w:p>
        </w:tc>
      </w:tr>
      <w:tr w14:paraId="6A986CED">
        <w:tblPrEx>
          <w:tblCellMar>
            <w:top w:w="0" w:type="dxa"/>
            <w:left w:w="108" w:type="dxa"/>
            <w:bottom w:w="0" w:type="dxa"/>
            <w:right w:w="108" w:type="dxa"/>
          </w:tblCellMar>
        </w:tblPrEx>
        <w:trPr>
          <w:trHeight w:val="31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DB17B">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6层</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BA7AE">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手术室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0182F">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2个</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125B4">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工作人员饮水</w:t>
            </w:r>
          </w:p>
        </w:tc>
      </w:tr>
      <w:tr w14:paraId="05C94BA8">
        <w:tblPrEx>
          <w:tblCellMar>
            <w:top w:w="0" w:type="dxa"/>
            <w:left w:w="108" w:type="dxa"/>
            <w:bottom w:w="0" w:type="dxa"/>
            <w:right w:w="108" w:type="dxa"/>
          </w:tblCellMar>
        </w:tblPrEx>
        <w:trPr>
          <w:trHeight w:val="62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D4582">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5层</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BD944">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中国-东盟临床医学培训教室、中国-东盟学术交流厅、</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中国-东盟远程医学中心、大学术厅(增设院史馆、接待厅)</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0E46">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4个</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2870C">
            <w:pPr>
              <w:rPr>
                <w:rFonts w:ascii="宋体" w:hAnsi="宋体" w:cs="宋体"/>
                <w:color w:val="auto"/>
                <w:sz w:val="24"/>
                <w:szCs w:val="24"/>
                <w:highlight w:val="none"/>
              </w:rPr>
            </w:pPr>
            <w:r>
              <w:rPr>
                <w:rFonts w:hint="eastAsia" w:ascii="宋体" w:hAnsi="宋体" w:cs="宋体"/>
                <w:color w:val="auto"/>
                <w:sz w:val="24"/>
                <w:szCs w:val="24"/>
                <w:highlight w:val="none"/>
              </w:rPr>
              <w:t>以会议室为主，人流量较多</w:t>
            </w:r>
          </w:p>
        </w:tc>
      </w:tr>
      <w:tr w14:paraId="694708C0">
        <w:tblPrEx>
          <w:tblCellMar>
            <w:top w:w="0" w:type="dxa"/>
            <w:left w:w="108" w:type="dxa"/>
            <w:bottom w:w="0" w:type="dxa"/>
            <w:right w:w="108" w:type="dxa"/>
          </w:tblCellMar>
        </w:tblPrEx>
        <w:trPr>
          <w:trHeight w:val="31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91AAD">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4层</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AB18A">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中心供应室、血库</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40AFD">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3个</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F743E">
            <w:pP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w:t>
            </w:r>
          </w:p>
        </w:tc>
      </w:tr>
      <w:tr w14:paraId="7E73ED86">
        <w:tblPrEx>
          <w:tblCellMar>
            <w:top w:w="0" w:type="dxa"/>
            <w:left w:w="108" w:type="dxa"/>
            <w:bottom w:w="0" w:type="dxa"/>
            <w:right w:w="108" w:type="dxa"/>
          </w:tblCellMar>
        </w:tblPrEx>
        <w:trPr>
          <w:trHeight w:val="31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CF6C">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3层</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54D2A">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干部门诊、干部保健科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08277">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14个</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E4F3E">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公共区域+工作人员饮水</w:t>
            </w:r>
          </w:p>
        </w:tc>
      </w:tr>
      <w:tr w14:paraId="4EE01475">
        <w:tblPrEx>
          <w:tblCellMar>
            <w:top w:w="0" w:type="dxa"/>
            <w:left w:w="108" w:type="dxa"/>
            <w:bottom w:w="0" w:type="dxa"/>
            <w:right w:w="108" w:type="dxa"/>
          </w:tblCellMar>
        </w:tblPrEx>
        <w:trPr>
          <w:trHeight w:val="74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0291B">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2层</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4264">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医技科室: CT、磁共振、DR、骨密度、内镜诊疗; B 超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E6FA9">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1个</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85AE2">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公共区域+工作人员饮水</w:t>
            </w:r>
          </w:p>
        </w:tc>
      </w:tr>
      <w:tr w14:paraId="274A3132">
        <w:tblPrEx>
          <w:tblCellMar>
            <w:top w:w="0" w:type="dxa"/>
            <w:left w:w="108" w:type="dxa"/>
            <w:bottom w:w="0" w:type="dxa"/>
            <w:right w:w="108" w:type="dxa"/>
          </w:tblCellMar>
        </w:tblPrEx>
        <w:trPr>
          <w:trHeight w:val="624"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3D264">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1层</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1CC2">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 放射科;(2) 住院办理处、收费、取药；</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C1E5C">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3个</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817FB">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公共区域+工作人员饮水</w:t>
            </w:r>
          </w:p>
        </w:tc>
      </w:tr>
      <w:tr w14:paraId="229E6C90">
        <w:tblPrEx>
          <w:tblCellMar>
            <w:top w:w="0" w:type="dxa"/>
            <w:left w:w="108" w:type="dxa"/>
            <w:bottom w:w="0" w:type="dxa"/>
            <w:right w:w="108" w:type="dxa"/>
          </w:tblCellMar>
        </w:tblPrEx>
        <w:trPr>
          <w:trHeight w:val="288"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D5B7F">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合计</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17423">
            <w:pPr>
              <w:rPr>
                <w:rFonts w:ascii="宋体" w:hAnsi="宋体" w:cs="宋体"/>
                <w:color w:val="auto"/>
                <w:sz w:val="24"/>
                <w:szCs w:val="24"/>
                <w:highlight w:val="none"/>
              </w:rPr>
            </w:pPr>
          </w:p>
        </w:tc>
        <w:tc>
          <w:tcPr>
            <w:tcW w:w="1320" w:type="dxa"/>
            <w:tcBorders>
              <w:top w:val="single" w:color="000000" w:sz="4" w:space="0"/>
              <w:left w:val="nil"/>
              <w:bottom w:val="single" w:color="000000" w:sz="4" w:space="0"/>
              <w:right w:val="single" w:color="000000" w:sz="4" w:space="0"/>
            </w:tcBorders>
            <w:shd w:val="clear" w:color="auto" w:fill="auto"/>
            <w:noWrap/>
            <w:vAlign w:val="center"/>
          </w:tcPr>
          <w:p w14:paraId="19430A51">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430个</w:t>
            </w:r>
          </w:p>
        </w:tc>
        <w:tc>
          <w:tcPr>
            <w:tcW w:w="3396" w:type="dxa"/>
            <w:tcBorders>
              <w:top w:val="single" w:color="000000" w:sz="4" w:space="0"/>
              <w:left w:val="nil"/>
              <w:bottom w:val="single" w:color="000000" w:sz="4" w:space="0"/>
              <w:right w:val="single" w:color="000000" w:sz="4" w:space="0"/>
            </w:tcBorders>
            <w:shd w:val="clear" w:color="auto" w:fill="auto"/>
            <w:noWrap/>
            <w:vAlign w:val="center"/>
          </w:tcPr>
          <w:p w14:paraId="27947D3D">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w:t>
            </w:r>
          </w:p>
        </w:tc>
      </w:tr>
    </w:tbl>
    <w:p w14:paraId="18FDCB68">
      <w:pPr>
        <w:spacing w:line="400" w:lineRule="exact"/>
        <w:jc w:val="left"/>
        <w:rPr>
          <w:rFonts w:ascii="宋体" w:hAnsi="宋体" w:cs="宋体"/>
          <w:bCs/>
          <w:color w:val="auto"/>
          <w:sz w:val="24"/>
          <w:szCs w:val="24"/>
          <w:highlight w:val="none"/>
        </w:rPr>
      </w:pPr>
    </w:p>
    <w:p w14:paraId="10CBB2FA">
      <w:pPr>
        <w:spacing w:line="400" w:lineRule="exact"/>
        <w:jc w:val="left"/>
        <w:rPr>
          <w:rFonts w:ascii="宋体" w:hAnsi="宋体" w:cs="宋体"/>
          <w:bCs/>
          <w:color w:val="auto"/>
          <w:sz w:val="24"/>
          <w:szCs w:val="24"/>
          <w:highlight w:val="none"/>
        </w:rPr>
      </w:pPr>
    </w:p>
    <w:p w14:paraId="2F11CC27">
      <w:pPr>
        <w:spacing w:line="400" w:lineRule="exact"/>
        <w:jc w:val="left"/>
        <w:rPr>
          <w:rFonts w:ascii="宋体" w:hAnsi="宋体" w:cs="宋体"/>
          <w:b/>
          <w:bCs/>
          <w:color w:val="auto"/>
          <w:sz w:val="24"/>
          <w:szCs w:val="24"/>
          <w:highlight w:val="none"/>
        </w:rPr>
      </w:pPr>
      <w:r>
        <w:rPr>
          <w:rFonts w:hint="eastAsia" w:ascii="宋体" w:hAnsi="宋体" w:cs="宋体"/>
          <w:bCs/>
          <w:color w:val="auto"/>
          <w:sz w:val="24"/>
          <w:szCs w:val="24"/>
          <w:highlight w:val="none"/>
        </w:rPr>
        <w:t>2、服务要求</w:t>
      </w:r>
    </w:p>
    <w:tbl>
      <w:tblPr>
        <w:tblStyle w:val="21"/>
        <w:tblW w:w="8677"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8"/>
        <w:gridCol w:w="708"/>
        <w:gridCol w:w="7541"/>
      </w:tblGrid>
      <w:tr w14:paraId="08813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8" w:type="dxa"/>
            <w:tcBorders>
              <w:top w:val="single" w:color="auto" w:sz="4" w:space="0"/>
              <w:left w:val="single" w:color="auto" w:sz="4" w:space="0"/>
              <w:right w:val="single" w:color="auto" w:sz="4" w:space="0"/>
            </w:tcBorders>
            <w:vAlign w:val="center"/>
          </w:tcPr>
          <w:p w14:paraId="1EE89A02">
            <w:pPr>
              <w:spacing w:line="36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708" w:type="dxa"/>
            <w:tcBorders>
              <w:top w:val="single" w:color="auto" w:sz="4" w:space="0"/>
              <w:left w:val="single" w:color="auto" w:sz="4" w:space="0"/>
              <w:right w:val="single" w:color="auto" w:sz="4" w:space="0"/>
            </w:tcBorders>
            <w:vAlign w:val="center"/>
          </w:tcPr>
          <w:p w14:paraId="1F3CFB0F">
            <w:pPr>
              <w:spacing w:line="36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名称</w:t>
            </w:r>
          </w:p>
        </w:tc>
        <w:tc>
          <w:tcPr>
            <w:tcW w:w="7541" w:type="dxa"/>
            <w:tcBorders>
              <w:top w:val="single" w:color="auto" w:sz="4" w:space="0"/>
              <w:left w:val="single" w:color="auto" w:sz="4" w:space="0"/>
              <w:bottom w:val="single" w:color="auto" w:sz="4" w:space="0"/>
              <w:right w:val="single" w:color="auto" w:sz="4" w:space="0"/>
            </w:tcBorders>
            <w:vAlign w:val="center"/>
          </w:tcPr>
          <w:p w14:paraId="70426048">
            <w:pPr>
              <w:spacing w:line="360" w:lineRule="atLeast"/>
              <w:jc w:val="center"/>
              <w:rPr>
                <w:rFonts w:ascii="宋体" w:hAnsi="宋体" w:cs="宋体"/>
                <w:bCs/>
                <w:color w:val="auto"/>
                <w:sz w:val="24"/>
                <w:szCs w:val="24"/>
                <w:highlight w:val="none"/>
              </w:rPr>
            </w:pPr>
            <w:r>
              <w:rPr>
                <w:rFonts w:hint="eastAsia" w:ascii="宋体" w:hAnsi="宋体" w:cs="宋体"/>
                <w:b/>
                <w:color w:val="auto"/>
                <w:sz w:val="24"/>
                <w:szCs w:val="24"/>
                <w:highlight w:val="none"/>
              </w:rPr>
              <w:t>服务要求</w:t>
            </w:r>
          </w:p>
        </w:tc>
      </w:tr>
      <w:tr w14:paraId="5415E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428" w:type="dxa"/>
            <w:tcBorders>
              <w:top w:val="single" w:color="auto" w:sz="4" w:space="0"/>
              <w:left w:val="single" w:color="auto" w:sz="4" w:space="0"/>
              <w:bottom w:val="single" w:color="auto" w:sz="4" w:space="0"/>
              <w:right w:val="single" w:color="auto" w:sz="4" w:space="0"/>
            </w:tcBorders>
            <w:vAlign w:val="center"/>
          </w:tcPr>
          <w:p w14:paraId="5599CB21">
            <w:pPr>
              <w:pStyle w:val="12"/>
              <w:snapToGrid w:val="0"/>
              <w:jc w:val="left"/>
              <w:outlineLvl w:val="0"/>
              <w:rPr>
                <w:rFonts w:hAnsi="宋体" w:cs="宋体"/>
                <w:b/>
                <w:bCs/>
                <w:color w:val="auto"/>
                <w:sz w:val="24"/>
                <w:szCs w:val="24"/>
                <w:highlight w:val="none"/>
              </w:rPr>
            </w:pPr>
            <w:r>
              <w:rPr>
                <w:rFonts w:hint="eastAsia" w:hAnsi="宋体" w:cs="宋体"/>
                <w:b/>
                <w:bCs/>
                <w:color w:val="auto"/>
                <w:sz w:val="24"/>
                <w:szCs w:val="24"/>
                <w:highlight w:val="none"/>
              </w:rPr>
              <w:t>1</w:t>
            </w:r>
          </w:p>
        </w:tc>
        <w:tc>
          <w:tcPr>
            <w:tcW w:w="708" w:type="dxa"/>
            <w:tcBorders>
              <w:top w:val="single" w:color="auto" w:sz="4" w:space="0"/>
              <w:left w:val="single" w:color="auto" w:sz="4" w:space="0"/>
              <w:bottom w:val="single" w:color="auto" w:sz="4" w:space="0"/>
              <w:right w:val="single" w:color="auto" w:sz="4" w:space="0"/>
            </w:tcBorders>
            <w:vAlign w:val="center"/>
          </w:tcPr>
          <w:p w14:paraId="7D24CB31">
            <w:pPr>
              <w:widowControl/>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饮水机设备要求</w:t>
            </w:r>
          </w:p>
        </w:tc>
        <w:tc>
          <w:tcPr>
            <w:tcW w:w="7541" w:type="dxa"/>
            <w:tcBorders>
              <w:top w:val="single" w:color="auto" w:sz="4" w:space="0"/>
              <w:left w:val="single" w:color="auto" w:sz="4" w:space="0"/>
              <w:bottom w:val="single" w:color="auto" w:sz="4" w:space="0"/>
              <w:right w:val="single" w:color="auto" w:sz="4" w:space="0"/>
            </w:tcBorders>
            <w:vAlign w:val="center"/>
          </w:tcPr>
          <w:p w14:paraId="73C54926">
            <w:pPr>
              <w:widowControl/>
              <w:jc w:val="left"/>
              <w:rPr>
                <w:rFonts w:ascii="宋体" w:hAnsi="宋体" w:cs="宋体"/>
                <w:color w:val="auto"/>
                <w:sz w:val="24"/>
                <w:szCs w:val="24"/>
                <w:highlight w:val="none"/>
              </w:rPr>
            </w:pPr>
            <w:r>
              <w:rPr>
                <w:rFonts w:hint="eastAsia" w:ascii="宋体" w:hAnsi="宋体" w:cs="宋体"/>
                <w:b/>
                <w:color w:val="auto"/>
                <w:sz w:val="24"/>
                <w:szCs w:val="24"/>
                <w:highlight w:val="none"/>
                <w:lang w:val="hr-HR"/>
              </w:rPr>
              <w:t>▲</w:t>
            </w:r>
            <w:r>
              <w:rPr>
                <w:rFonts w:hint="eastAsia" w:ascii="宋体" w:hAnsi="宋体" w:cs="宋体"/>
                <w:b/>
                <w:color w:val="auto"/>
                <w:sz w:val="24"/>
                <w:szCs w:val="24"/>
                <w:highlight w:val="none"/>
              </w:rPr>
              <w:t>1、</w:t>
            </w:r>
            <w:r>
              <w:rPr>
                <w:rFonts w:hint="eastAsia" w:ascii="宋体" w:hAnsi="宋体" w:cs="宋体"/>
                <w:color w:val="auto"/>
                <w:sz w:val="24"/>
                <w:szCs w:val="24"/>
                <w:highlight w:val="none"/>
              </w:rPr>
              <w:t>过滤工艺：过滤级别四级以上纯水RO过滤，</w:t>
            </w:r>
            <w:r>
              <w:rPr>
                <w:rFonts w:hint="eastAsia" w:ascii="宋体" w:hAnsi="宋体" w:cs="宋体"/>
                <w:color w:val="auto"/>
                <w:sz w:val="24"/>
                <w:szCs w:val="24"/>
                <w:highlight w:val="none"/>
                <w:lang w:eastAsia="zh-Hans"/>
              </w:rPr>
              <w:t>RO</w:t>
            </w:r>
            <w:r>
              <w:rPr>
                <w:rFonts w:hint="eastAsia" w:ascii="宋体" w:hAnsi="宋体" w:cs="宋体"/>
                <w:color w:val="auto"/>
                <w:sz w:val="24"/>
                <w:szCs w:val="24"/>
                <w:highlight w:val="none"/>
              </w:rPr>
              <w:t>≥1200</w:t>
            </w:r>
            <w:r>
              <w:rPr>
                <w:rFonts w:hint="eastAsia" w:ascii="宋体" w:hAnsi="宋体" w:cs="宋体"/>
                <w:color w:val="auto"/>
                <w:sz w:val="24"/>
                <w:szCs w:val="24"/>
                <w:highlight w:val="none"/>
                <w:lang w:eastAsia="zh-Hans"/>
              </w:rPr>
              <w:t>G</w:t>
            </w:r>
            <w:r>
              <w:rPr>
                <w:rFonts w:hint="eastAsia" w:ascii="宋体" w:hAnsi="宋体" w:cs="宋体"/>
                <w:color w:val="auto"/>
                <w:sz w:val="24"/>
                <w:szCs w:val="24"/>
                <w:highlight w:val="none"/>
              </w:rPr>
              <w:t>（PP棉+活性炭+压缩碳+RO反渗透）；（需提供证明材料）</w:t>
            </w:r>
          </w:p>
          <w:p w14:paraId="5B32E852">
            <w:pPr>
              <w:pStyle w:val="2"/>
              <w:ind w:left="0" w:leftChars="0" w:right="63"/>
              <w:jc w:val="left"/>
              <w:rPr>
                <w:rFonts w:ascii="宋体" w:hAnsi="宋体" w:cs="宋体"/>
                <w:color w:val="auto"/>
                <w:sz w:val="24"/>
                <w:szCs w:val="24"/>
                <w:highlight w:val="none"/>
              </w:rPr>
            </w:pPr>
            <w:r>
              <w:rPr>
                <w:rFonts w:hint="eastAsia" w:ascii="宋体" w:hAnsi="宋体" w:cs="宋体"/>
                <w:b/>
                <w:color w:val="auto"/>
                <w:sz w:val="24"/>
                <w:szCs w:val="24"/>
                <w:highlight w:val="none"/>
                <w:lang w:val="hr-HR"/>
              </w:rPr>
              <w:t>▲</w:t>
            </w:r>
            <w:r>
              <w:rPr>
                <w:rFonts w:hint="eastAsia" w:ascii="宋体" w:hAnsi="宋体" w:cs="宋体"/>
                <w:color w:val="auto"/>
                <w:sz w:val="24"/>
                <w:szCs w:val="24"/>
                <w:highlight w:val="none"/>
              </w:rPr>
              <w:t>2、水效等级：一级水效；（需提供证明材料）</w:t>
            </w:r>
          </w:p>
          <w:p w14:paraId="47323D96">
            <w:pPr>
              <w:jc w:val="left"/>
              <w:rPr>
                <w:rFonts w:ascii="宋体" w:hAnsi="宋体" w:cs="宋体"/>
                <w:color w:val="auto"/>
                <w:kern w:val="0"/>
                <w:sz w:val="24"/>
                <w:szCs w:val="24"/>
                <w:highlight w:val="none"/>
              </w:rPr>
            </w:pPr>
            <w:r>
              <w:rPr>
                <w:rFonts w:hint="eastAsia" w:ascii="宋体" w:hAnsi="宋体" w:cs="宋体"/>
                <w:b/>
                <w:color w:val="auto"/>
                <w:sz w:val="24"/>
                <w:szCs w:val="24"/>
                <w:highlight w:val="none"/>
                <w:lang w:val="hr-HR"/>
              </w:rPr>
              <w:t>▲</w:t>
            </w:r>
            <w:r>
              <w:rPr>
                <w:rFonts w:hint="eastAsia" w:ascii="宋体" w:hAnsi="宋体" w:cs="宋体"/>
                <w:b/>
                <w:color w:val="auto"/>
                <w:sz w:val="24"/>
                <w:szCs w:val="24"/>
                <w:highlight w:val="none"/>
              </w:rPr>
              <w:t>3、</w:t>
            </w:r>
            <w:r>
              <w:rPr>
                <w:rFonts w:hint="eastAsia" w:ascii="宋体" w:hAnsi="宋体" w:cs="宋体"/>
                <w:color w:val="auto"/>
                <w:sz w:val="24"/>
                <w:szCs w:val="24"/>
                <w:highlight w:val="none"/>
              </w:rPr>
              <w:t>卫生许可批件：具有省级以上卫生部门颁发的《涉及饮用水卫生安全产品卫生许可批件》；</w:t>
            </w:r>
          </w:p>
          <w:p w14:paraId="7DA9EE6A">
            <w:pPr>
              <w:jc w:val="left"/>
              <w:rPr>
                <w:rFonts w:ascii="宋体" w:hAnsi="宋体" w:cs="宋体"/>
                <w:color w:val="auto"/>
                <w:sz w:val="24"/>
                <w:szCs w:val="24"/>
                <w:highlight w:val="none"/>
              </w:rPr>
            </w:pPr>
            <w:r>
              <w:rPr>
                <w:rFonts w:hint="eastAsia" w:ascii="宋体" w:hAnsi="宋体" w:cs="宋体"/>
                <w:b/>
                <w:color w:val="auto"/>
                <w:sz w:val="24"/>
                <w:szCs w:val="24"/>
                <w:highlight w:val="none"/>
                <w:lang w:val="hr-HR"/>
              </w:rPr>
              <w:t>▲</w:t>
            </w:r>
            <w:r>
              <w:rPr>
                <w:rFonts w:hint="eastAsia" w:ascii="宋体" w:hAnsi="宋体" w:cs="宋体"/>
                <w:color w:val="auto"/>
                <w:kern w:val="0"/>
                <w:sz w:val="24"/>
                <w:szCs w:val="24"/>
                <w:highlight w:val="none"/>
              </w:rPr>
              <w:t>4、具有滤芯寿命显示功能；（需提供证明材料）</w:t>
            </w:r>
          </w:p>
          <w:p w14:paraId="2B4EAAB1">
            <w:pPr>
              <w:jc w:val="left"/>
              <w:rPr>
                <w:rFonts w:ascii="宋体" w:hAnsi="宋体" w:cs="宋体"/>
                <w:color w:val="auto"/>
                <w:sz w:val="24"/>
                <w:szCs w:val="24"/>
                <w:highlight w:val="none"/>
              </w:rPr>
            </w:pPr>
            <w:r>
              <w:rPr>
                <w:rFonts w:hint="eastAsia" w:ascii="宋体" w:hAnsi="宋体" w:cs="宋体"/>
                <w:color w:val="auto"/>
                <w:kern w:val="0"/>
                <w:sz w:val="24"/>
                <w:szCs w:val="24"/>
                <w:highlight w:val="none"/>
              </w:rPr>
              <w:t>5、物联管控功能：</w:t>
            </w:r>
            <w:r>
              <w:rPr>
                <w:rFonts w:hint="eastAsia" w:ascii="宋体" w:hAnsi="宋体" w:cs="宋体"/>
                <w:color w:val="auto"/>
                <w:sz w:val="24"/>
                <w:szCs w:val="24"/>
                <w:highlight w:val="none"/>
              </w:rPr>
              <w:t>具有饮水设备物联网设备控制与监控系统，</w:t>
            </w:r>
            <w:r>
              <w:rPr>
                <w:rFonts w:hint="eastAsia" w:ascii="宋体" w:hAnsi="宋体" w:cs="宋体"/>
                <w:color w:val="auto"/>
                <w:sz w:val="24"/>
                <w:szCs w:val="24"/>
                <w:highlight w:val="none"/>
                <w:lang w:eastAsia="zh-Hans"/>
              </w:rPr>
              <w:t>便于远距离监控</w:t>
            </w:r>
            <w:r>
              <w:rPr>
                <w:rFonts w:hint="eastAsia" w:ascii="宋体" w:hAnsi="宋体" w:cs="宋体"/>
                <w:color w:val="auto"/>
                <w:sz w:val="24"/>
                <w:szCs w:val="24"/>
                <w:highlight w:val="none"/>
              </w:rPr>
              <w:t>（提供饮水设备控制系统计算机软件著作权登记证书复印件作为依据）。</w:t>
            </w:r>
          </w:p>
          <w:p w14:paraId="67153F38">
            <w:pPr>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6、物联操作功能：具有IOT物联管理终端小程序，可在手机端查看设备运行状态，远程操控设备。</w:t>
            </w:r>
          </w:p>
          <w:p w14:paraId="09018BCC">
            <w:pPr>
              <w:jc w:val="left"/>
              <w:rPr>
                <w:rFonts w:ascii="宋体" w:hAnsi="宋体" w:cs="宋体"/>
                <w:color w:val="auto"/>
                <w:sz w:val="24"/>
                <w:szCs w:val="24"/>
                <w:highlight w:val="none"/>
              </w:rPr>
            </w:pPr>
            <w:r>
              <w:rPr>
                <w:rFonts w:hint="eastAsia" w:ascii="宋体" w:hAnsi="宋体" w:cs="宋体"/>
                <w:b/>
                <w:color w:val="auto"/>
                <w:sz w:val="24"/>
                <w:szCs w:val="24"/>
                <w:highlight w:val="none"/>
                <w:lang w:val="hr-HR"/>
              </w:rPr>
              <w:t>▲</w:t>
            </w:r>
            <w:r>
              <w:rPr>
                <w:rFonts w:hint="eastAsia" w:ascii="宋体" w:hAnsi="宋体" w:cs="宋体"/>
                <w:color w:val="auto"/>
                <w:kern w:val="0"/>
                <w:sz w:val="24"/>
                <w:szCs w:val="24"/>
                <w:highlight w:val="none"/>
              </w:rPr>
              <w:t>7、供应商所投租赁设备须为同一品牌。</w:t>
            </w:r>
          </w:p>
        </w:tc>
      </w:tr>
      <w:tr w14:paraId="09B52C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428" w:type="dxa"/>
            <w:tcBorders>
              <w:top w:val="single" w:color="auto" w:sz="4" w:space="0"/>
              <w:left w:val="single" w:color="auto" w:sz="4" w:space="0"/>
              <w:bottom w:val="single" w:color="auto" w:sz="4" w:space="0"/>
              <w:right w:val="single" w:color="auto" w:sz="4" w:space="0"/>
            </w:tcBorders>
            <w:vAlign w:val="center"/>
          </w:tcPr>
          <w:p w14:paraId="431E36B6">
            <w:pPr>
              <w:pStyle w:val="12"/>
              <w:snapToGrid w:val="0"/>
              <w:jc w:val="left"/>
              <w:outlineLvl w:val="0"/>
              <w:rPr>
                <w:rFonts w:hAnsi="宋体" w:cs="宋体"/>
                <w:b/>
                <w:bCs/>
                <w:color w:val="auto"/>
                <w:sz w:val="24"/>
                <w:szCs w:val="24"/>
                <w:highlight w:val="none"/>
              </w:rPr>
            </w:pPr>
            <w:r>
              <w:rPr>
                <w:rFonts w:hint="eastAsia" w:hAnsi="宋体" w:cs="宋体"/>
                <w:b/>
                <w:bCs/>
                <w:color w:val="auto"/>
                <w:sz w:val="24"/>
                <w:szCs w:val="24"/>
                <w:highlight w:val="none"/>
              </w:rPr>
              <w:t>2</w:t>
            </w:r>
          </w:p>
        </w:tc>
        <w:tc>
          <w:tcPr>
            <w:tcW w:w="708" w:type="dxa"/>
            <w:tcBorders>
              <w:top w:val="single" w:color="auto" w:sz="4" w:space="0"/>
              <w:left w:val="single" w:color="auto" w:sz="4" w:space="0"/>
              <w:bottom w:val="single" w:color="auto" w:sz="4" w:space="0"/>
              <w:right w:val="single" w:color="auto" w:sz="4" w:space="0"/>
            </w:tcBorders>
            <w:vAlign w:val="center"/>
          </w:tcPr>
          <w:p w14:paraId="2A469B25">
            <w:pPr>
              <w:widowControl/>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租赁服务要求</w:t>
            </w:r>
          </w:p>
        </w:tc>
        <w:tc>
          <w:tcPr>
            <w:tcW w:w="7541" w:type="dxa"/>
            <w:tcBorders>
              <w:top w:val="single" w:color="auto" w:sz="4" w:space="0"/>
              <w:left w:val="single" w:color="auto" w:sz="4" w:space="0"/>
              <w:bottom w:val="single" w:color="auto" w:sz="4" w:space="0"/>
              <w:right w:val="single" w:color="auto" w:sz="4" w:space="0"/>
            </w:tcBorders>
            <w:vAlign w:val="center"/>
          </w:tcPr>
          <w:p w14:paraId="02D5022C">
            <w:pPr>
              <w:spacing w:line="460" w:lineRule="exact"/>
              <w:rPr>
                <w:rFonts w:ascii="宋体" w:hAnsi="宋体" w:cs="宋体"/>
                <w:color w:val="auto"/>
                <w:sz w:val="24"/>
                <w:szCs w:val="24"/>
                <w:highlight w:val="none"/>
              </w:rPr>
            </w:pPr>
            <w:r>
              <w:rPr>
                <w:rFonts w:hint="eastAsia" w:ascii="宋体" w:hAnsi="宋体" w:cs="宋体"/>
                <w:color w:val="auto"/>
                <w:sz w:val="24"/>
                <w:szCs w:val="24"/>
                <w:highlight w:val="none"/>
              </w:rPr>
              <w:t>1、根据法律法规和有关安全技术规范以及饮水机产品安装使用维护说明书的要求，制定完善的维保计划、方案和饮水机管理制度。服务人员及技术人员需持有健康证书，且具有饮水设备维护的专业知识、熟悉饮水设备的设备工作原理和保养要求。</w:t>
            </w:r>
          </w:p>
          <w:p w14:paraId="1CBB721A">
            <w:pPr>
              <w:spacing w:line="460" w:lineRule="exact"/>
              <w:ind w:left="425" w:hanging="425"/>
              <w:rPr>
                <w:rFonts w:ascii="宋体" w:hAnsi="宋体" w:cs="宋体"/>
                <w:color w:val="auto"/>
                <w:sz w:val="24"/>
                <w:szCs w:val="24"/>
                <w:highlight w:val="none"/>
              </w:rPr>
            </w:pPr>
            <w:r>
              <w:rPr>
                <w:rFonts w:hint="eastAsia" w:ascii="宋体" w:hAnsi="宋体" w:cs="宋体"/>
                <w:color w:val="auto"/>
                <w:sz w:val="24"/>
                <w:szCs w:val="24"/>
                <w:highlight w:val="none"/>
              </w:rPr>
              <w:t>2、质量保证：所选饮水机应保证符合国家颁布的产品技术标准，按照“产品说明书”规定的要求运输、保管、安装和使用。</w:t>
            </w:r>
          </w:p>
          <w:p w14:paraId="4781157B">
            <w:pPr>
              <w:spacing w:line="460" w:lineRule="exact"/>
              <w:ind w:left="425" w:hanging="425"/>
              <w:rPr>
                <w:rFonts w:ascii="宋体" w:hAnsi="宋体" w:cs="宋体"/>
                <w:color w:val="auto"/>
                <w:sz w:val="24"/>
                <w:szCs w:val="24"/>
                <w:highlight w:val="none"/>
              </w:rPr>
            </w:pPr>
            <w:r>
              <w:rPr>
                <w:rFonts w:hint="eastAsia" w:ascii="宋体" w:hAnsi="宋体" w:cs="宋体"/>
                <w:b/>
                <w:color w:val="auto"/>
                <w:sz w:val="24"/>
                <w:szCs w:val="24"/>
                <w:highlight w:val="none"/>
                <w:lang w:val="hr-HR"/>
              </w:rPr>
              <w:t>▲</w:t>
            </w:r>
            <w:r>
              <w:rPr>
                <w:rFonts w:hint="eastAsia" w:ascii="宋体" w:hAnsi="宋体" w:cs="宋体"/>
                <w:color w:val="auto"/>
                <w:sz w:val="24"/>
                <w:szCs w:val="24"/>
                <w:highlight w:val="none"/>
              </w:rPr>
              <w:t>3、维保服务：供应商需服务人员为采购人提供服务，至少每2个月进行一次饮水机的检查维护及更换滤芯。</w:t>
            </w:r>
          </w:p>
          <w:p w14:paraId="2ED972EF">
            <w:pPr>
              <w:spacing w:line="460" w:lineRule="exact"/>
              <w:rPr>
                <w:rFonts w:ascii="宋体" w:hAnsi="宋体" w:cs="宋体"/>
                <w:color w:val="auto"/>
                <w:sz w:val="24"/>
                <w:szCs w:val="24"/>
                <w:highlight w:val="none"/>
              </w:rPr>
            </w:pPr>
            <w:r>
              <w:rPr>
                <w:rFonts w:hint="eastAsia" w:ascii="宋体" w:hAnsi="宋体" w:cs="宋体"/>
                <w:b/>
                <w:color w:val="auto"/>
                <w:sz w:val="24"/>
                <w:szCs w:val="24"/>
                <w:highlight w:val="none"/>
                <w:lang w:val="hr-HR"/>
              </w:rPr>
              <w:t>▲</w:t>
            </w:r>
            <w:r>
              <w:rPr>
                <w:rFonts w:hint="eastAsia" w:ascii="宋体" w:hAnsi="宋体" w:cs="宋体"/>
                <w:color w:val="auto"/>
                <w:sz w:val="24"/>
                <w:szCs w:val="24"/>
                <w:highlight w:val="none"/>
              </w:rPr>
              <w:t>4、对提供的设备及附属设施的安装调试、运行检查、维护养护、设备配置、设备维修（人为破坏除外）、设备更换、设备规范性和完整性检查等，由此产生的所有费用，由供应商负责。机子</w:t>
            </w:r>
            <w:r>
              <w:rPr>
                <w:rFonts w:hint="eastAsia" w:ascii="宋体" w:hAnsi="宋体" w:cs="宋体"/>
                <w:color w:val="auto"/>
                <w:sz w:val="24"/>
                <w:szCs w:val="24"/>
                <w:highlight w:val="none"/>
                <w:lang w:eastAsia="zh-CN"/>
              </w:rPr>
              <w:t>应贴</w:t>
            </w:r>
            <w:r>
              <w:rPr>
                <w:rFonts w:hint="eastAsia" w:ascii="宋体" w:hAnsi="宋体" w:cs="宋体"/>
                <w:color w:val="auto"/>
                <w:sz w:val="24"/>
                <w:szCs w:val="24"/>
                <w:highlight w:val="none"/>
              </w:rPr>
              <w:t>ID码，后台系统</w:t>
            </w:r>
            <w:r>
              <w:rPr>
                <w:rFonts w:hint="eastAsia" w:ascii="宋体" w:hAnsi="宋体" w:cs="宋体"/>
                <w:color w:val="auto"/>
                <w:sz w:val="24"/>
                <w:szCs w:val="24"/>
                <w:highlight w:val="none"/>
                <w:lang w:eastAsia="zh-CN"/>
              </w:rPr>
              <w:t>应</w:t>
            </w:r>
            <w:r>
              <w:rPr>
                <w:rFonts w:hint="eastAsia" w:ascii="宋体" w:hAnsi="宋体" w:cs="宋体"/>
                <w:color w:val="auto"/>
                <w:sz w:val="24"/>
                <w:szCs w:val="24"/>
                <w:highlight w:val="none"/>
              </w:rPr>
              <w:t>标注设备安装的详细位置(比如几楼几号病房)，每台设备贴数字编号，</w:t>
            </w:r>
            <w:r>
              <w:rPr>
                <w:rFonts w:hint="eastAsia" w:ascii="宋体" w:hAnsi="宋体" w:cs="宋体"/>
                <w:color w:val="auto"/>
                <w:sz w:val="24"/>
                <w:szCs w:val="24"/>
                <w:highlight w:val="none"/>
                <w:lang w:eastAsia="zh-CN"/>
              </w:rPr>
              <w:t>以便采购人</w:t>
            </w:r>
            <w:r>
              <w:rPr>
                <w:rFonts w:hint="eastAsia" w:ascii="宋体" w:hAnsi="宋体" w:cs="宋体"/>
                <w:color w:val="auto"/>
                <w:sz w:val="24"/>
                <w:szCs w:val="24"/>
                <w:highlight w:val="none"/>
              </w:rPr>
              <w:t>管理。</w:t>
            </w:r>
          </w:p>
          <w:p w14:paraId="6611F07F">
            <w:pPr>
              <w:spacing w:line="460" w:lineRule="exact"/>
              <w:rPr>
                <w:rFonts w:ascii="宋体" w:hAnsi="宋体" w:cs="宋体"/>
                <w:color w:val="auto"/>
                <w:sz w:val="24"/>
                <w:szCs w:val="24"/>
                <w:highlight w:val="none"/>
              </w:rPr>
            </w:pPr>
            <w:r>
              <w:rPr>
                <w:rFonts w:hint="eastAsia" w:ascii="宋体" w:hAnsi="宋体" w:cs="宋体"/>
                <w:b/>
                <w:color w:val="auto"/>
                <w:sz w:val="24"/>
                <w:szCs w:val="24"/>
                <w:highlight w:val="none"/>
                <w:lang w:val="hr-HR"/>
              </w:rPr>
              <w:t>▲</w:t>
            </w:r>
            <w:r>
              <w:rPr>
                <w:rFonts w:hint="eastAsia" w:ascii="宋体" w:hAnsi="宋体" w:cs="宋体"/>
                <w:color w:val="auto"/>
                <w:sz w:val="24"/>
                <w:szCs w:val="24"/>
                <w:highlight w:val="none"/>
              </w:rPr>
              <w:t>5、水质检测要求：（1）委托第三方检测机构进行检测。采购人对5</w:t>
            </w:r>
            <w:r>
              <w:rPr>
                <w:rFonts w:ascii="宋体" w:hAnsi="宋体" w:cs="宋体"/>
                <w:color w:val="auto"/>
                <w:sz w:val="24"/>
                <w:szCs w:val="24"/>
                <w:highlight w:val="none"/>
              </w:rPr>
              <w:t>%的</w:t>
            </w:r>
            <w:r>
              <w:rPr>
                <w:rFonts w:hint="eastAsia" w:ascii="宋体" w:hAnsi="宋体" w:cs="宋体"/>
                <w:color w:val="auto"/>
                <w:sz w:val="24"/>
                <w:szCs w:val="24"/>
                <w:highlight w:val="none"/>
              </w:rPr>
              <w:t>饮水点进行抽检，由供应商委托第三方检测机构进行检测，出具水质检测报告（检测项目为浑浊度、色度、臭和味、肉眼可见物、总大肠菌群、粪大肠菌群等）。检测费用由供应商承担。检测时间：每批设备安装后、供水前，合同签订后第六个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第十二个月</w:t>
            </w:r>
            <w:r>
              <w:rPr>
                <w:rFonts w:hint="eastAsia" w:ascii="宋体" w:hAnsi="宋体" w:cs="宋体"/>
                <w:color w:val="auto"/>
                <w:sz w:val="24"/>
                <w:szCs w:val="24"/>
                <w:highlight w:val="none"/>
                <w:lang w:eastAsia="zh-CN"/>
              </w:rPr>
              <w:t>，合同期内</w:t>
            </w:r>
            <w:r>
              <w:rPr>
                <w:rFonts w:hint="eastAsia" w:ascii="宋体" w:hAnsi="宋体" w:cs="宋体"/>
                <w:color w:val="auto"/>
                <w:sz w:val="24"/>
                <w:szCs w:val="24"/>
                <w:highlight w:val="none"/>
              </w:rPr>
              <w:t>至少三次。（</w:t>
            </w:r>
            <w:r>
              <w:rPr>
                <w:rFonts w:ascii="宋体" w:hAnsi="宋体" w:cs="宋体"/>
                <w:color w:val="auto"/>
                <w:sz w:val="24"/>
                <w:szCs w:val="24"/>
                <w:highlight w:val="none"/>
              </w:rPr>
              <w:t>2</w:t>
            </w:r>
            <w:r>
              <w:rPr>
                <w:rFonts w:hint="eastAsia" w:ascii="宋体" w:hAnsi="宋体" w:cs="宋体"/>
                <w:color w:val="auto"/>
                <w:sz w:val="24"/>
                <w:szCs w:val="24"/>
                <w:highlight w:val="none"/>
              </w:rPr>
              <w:t>）自行检测。合同期内，供应商配备行业认可的检测设备，至少自行检测水质3次，并根据采购人要求进行临时水质检测。（3）直饮水达到《生活饮用水卫生标准》(GB 5749-2022)</w:t>
            </w:r>
            <w:r>
              <w:rPr>
                <w:rFonts w:hint="eastAsia" w:ascii="宋体" w:hAnsi="宋体" w:cs="宋体"/>
                <w:color w:val="auto"/>
                <w:sz w:val="24"/>
                <w:szCs w:val="24"/>
                <w:highlight w:val="none"/>
                <w:lang w:eastAsia="zh-CN"/>
              </w:rPr>
              <w:t>标准</w:t>
            </w:r>
            <w:r>
              <w:rPr>
                <w:rFonts w:hint="eastAsia" w:ascii="宋体" w:hAnsi="宋体" w:cs="宋体"/>
                <w:color w:val="auto"/>
                <w:sz w:val="24"/>
                <w:szCs w:val="24"/>
                <w:highlight w:val="none"/>
              </w:rPr>
              <w:t>，由于直饮水不达标造成的安全事故，由供应商负全责。</w:t>
            </w:r>
          </w:p>
          <w:p w14:paraId="1CF98D3C">
            <w:pPr>
              <w:spacing w:line="460" w:lineRule="exact"/>
              <w:rPr>
                <w:rFonts w:ascii="宋体" w:hAnsi="宋体" w:cs="宋体"/>
                <w:color w:val="auto"/>
                <w:sz w:val="24"/>
                <w:szCs w:val="24"/>
                <w:highlight w:val="none"/>
              </w:rPr>
            </w:pPr>
            <w:r>
              <w:rPr>
                <w:rFonts w:hint="eastAsia" w:ascii="宋体" w:hAnsi="宋体" w:cs="宋体"/>
                <w:b/>
                <w:color w:val="auto"/>
                <w:sz w:val="24"/>
                <w:szCs w:val="24"/>
                <w:highlight w:val="none"/>
                <w:lang w:val="hr-HR"/>
              </w:rPr>
              <w:t>▲</w:t>
            </w:r>
            <w:r>
              <w:rPr>
                <w:rFonts w:hint="eastAsia" w:ascii="宋体" w:hAnsi="宋体" w:cs="宋体"/>
                <w:color w:val="auto"/>
                <w:sz w:val="24"/>
                <w:szCs w:val="24"/>
                <w:highlight w:val="none"/>
              </w:rPr>
              <w:t>6、饮水机故障第一时间处理，在接到用户电话故障后6小时内到现场处理，紧急情况应2小时到现场处理。</w:t>
            </w:r>
            <w:r>
              <w:rPr>
                <w:rFonts w:hint="eastAsia" w:ascii="宋体" w:hAnsi="宋体" w:cs="宋体"/>
                <w:color w:val="auto"/>
                <w:sz w:val="24"/>
                <w:szCs w:val="24"/>
                <w:highlight w:val="none"/>
                <w:lang w:eastAsia="zh-CN"/>
              </w:rPr>
              <w:t>供应商应确保</w:t>
            </w:r>
            <w:r>
              <w:rPr>
                <w:rFonts w:hint="eastAsia" w:ascii="宋体" w:hAnsi="宋体" w:cs="宋体"/>
                <w:color w:val="auto"/>
                <w:sz w:val="24"/>
                <w:szCs w:val="24"/>
                <w:highlight w:val="none"/>
              </w:rPr>
              <w:t>饮水机配件齐全，突发情况有配件能够及时更换</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保证采购人的饮用水及时供应；饮水机耗材定期上门更换；定期上门维保（维保内容包含：</w:t>
            </w:r>
            <w:r>
              <w:rPr>
                <w:rFonts w:hint="eastAsia" w:ascii="宋体" w:hAnsi="宋体" w:cs="宋体"/>
                <w:bCs/>
                <w:color w:val="auto"/>
                <w:sz w:val="24"/>
                <w:szCs w:val="24"/>
                <w:highlight w:val="none"/>
              </w:rPr>
              <w:t>直饮水主机内部机件维护，含滤芯更换、故障排查、进排水的疏通；水路电路管路检测；直饮水机</w:t>
            </w:r>
            <w:r>
              <w:rPr>
                <w:rFonts w:hint="eastAsia" w:ascii="宋体" w:hAnsi="宋体" w:cs="宋体"/>
                <w:color w:val="auto"/>
                <w:sz w:val="24"/>
                <w:szCs w:val="24"/>
                <w:highlight w:val="none"/>
              </w:rPr>
              <w:t>拆卸、搬迁、安装；其他应用技术说明与指导服务）。</w:t>
            </w:r>
          </w:p>
          <w:p w14:paraId="41FE871D">
            <w:pPr>
              <w:spacing w:line="46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7、在维护保养期间内，应按规定周期定期保养，每次更换滤芯保养工作完成后，应双方签名确认。维保期间落实现场安全防护措施，保证施工安全，工作结束应做到工完场清。</w:t>
            </w:r>
          </w:p>
          <w:p w14:paraId="129B1372">
            <w:pPr>
              <w:spacing w:line="460" w:lineRule="exact"/>
              <w:rPr>
                <w:rFonts w:ascii="宋体" w:hAnsi="宋体" w:cs="宋体"/>
                <w:color w:val="auto"/>
                <w:sz w:val="24"/>
                <w:szCs w:val="24"/>
                <w:highlight w:val="none"/>
              </w:rPr>
            </w:pPr>
            <w:r>
              <w:rPr>
                <w:rFonts w:hint="eastAsia" w:ascii="宋体" w:hAnsi="宋体" w:cs="宋体"/>
                <w:color w:val="auto"/>
                <w:sz w:val="24"/>
                <w:szCs w:val="24"/>
                <w:highlight w:val="none"/>
              </w:rPr>
              <w:t>8、直饮水机实行一机一服务卡管理，张贴饮水机右侧，滤芯更换情况一目了然。</w:t>
            </w:r>
          </w:p>
          <w:p w14:paraId="7795005E">
            <w:pPr>
              <w:spacing w:line="460" w:lineRule="exact"/>
              <w:rPr>
                <w:rFonts w:ascii="宋体" w:hAnsi="宋体" w:cs="宋体"/>
                <w:color w:val="auto"/>
                <w:sz w:val="24"/>
                <w:szCs w:val="24"/>
                <w:highlight w:val="none"/>
              </w:rPr>
            </w:pPr>
            <w:r>
              <w:rPr>
                <w:rFonts w:hint="eastAsia" w:ascii="宋体" w:hAnsi="宋体" w:cs="宋体"/>
                <w:color w:val="auto"/>
                <w:sz w:val="24"/>
                <w:szCs w:val="24"/>
                <w:highlight w:val="none"/>
              </w:rPr>
              <w:t>9、每个取水点附近，需做好“小心烫伤”等饮水标识。</w:t>
            </w:r>
          </w:p>
          <w:p w14:paraId="64C97FBD">
            <w:pPr>
              <w:spacing w:line="460" w:lineRule="exact"/>
              <w:rPr>
                <w:rFonts w:ascii="宋体" w:hAnsi="宋体" w:cs="宋体"/>
                <w:color w:val="auto"/>
                <w:sz w:val="24"/>
                <w:szCs w:val="24"/>
                <w:highlight w:val="none"/>
              </w:rPr>
            </w:pPr>
            <w:r>
              <w:rPr>
                <w:rFonts w:hint="eastAsia" w:ascii="宋体" w:hAnsi="宋体" w:cs="宋体"/>
                <w:b/>
                <w:color w:val="auto"/>
                <w:sz w:val="24"/>
                <w:szCs w:val="24"/>
                <w:highlight w:val="none"/>
                <w:lang w:val="hr-HR"/>
              </w:rPr>
              <w:t>▲</w:t>
            </w:r>
            <w:r>
              <w:rPr>
                <w:rFonts w:hint="eastAsia" w:ascii="宋体" w:hAnsi="宋体" w:cs="宋体"/>
                <w:color w:val="auto"/>
                <w:sz w:val="24"/>
                <w:szCs w:val="24"/>
                <w:highlight w:val="none"/>
              </w:rPr>
              <w:t>10、供应商安装前，需提供详细的安装进度计划及保证措施，包括工期、进度计划及安全保障措施、保证采购人正常办公环境。在安装过程中，供应商对其施工操作负责，供应商应确保工人施工安全，为工人购买意外险等保障措施，施工过程不允许造成装修、装饰破坏、结构破坏等，否则采购人有权要求其复原，并索赔相关损失。</w:t>
            </w:r>
          </w:p>
          <w:p w14:paraId="7AA2CD8A">
            <w:pPr>
              <w:spacing w:line="460" w:lineRule="exact"/>
              <w:rPr>
                <w:rFonts w:ascii="宋体" w:hAnsi="宋体" w:cs="宋体"/>
                <w:color w:val="auto"/>
                <w:sz w:val="24"/>
                <w:szCs w:val="24"/>
                <w:highlight w:val="none"/>
              </w:rPr>
            </w:pPr>
            <w:r>
              <w:rPr>
                <w:rFonts w:hint="eastAsia" w:ascii="宋体" w:hAnsi="宋体" w:cs="宋体"/>
                <w:color w:val="auto"/>
                <w:sz w:val="24"/>
                <w:szCs w:val="24"/>
                <w:highlight w:val="none"/>
              </w:rPr>
              <w:t>11、安装前采购人对直饮机进行质量检查，供应商应提供质量证明，不合格的产品不予安装。</w:t>
            </w:r>
          </w:p>
          <w:p w14:paraId="62948AAC">
            <w:pPr>
              <w:spacing w:line="460" w:lineRule="exact"/>
              <w:rPr>
                <w:rFonts w:ascii="宋体" w:hAnsi="宋体" w:cs="宋体"/>
                <w:b/>
                <w:color w:val="auto"/>
                <w:sz w:val="24"/>
                <w:szCs w:val="24"/>
                <w:highlight w:val="none"/>
                <w:lang w:val="hr-HR"/>
              </w:rPr>
            </w:pPr>
            <w:r>
              <w:rPr>
                <w:rFonts w:hint="eastAsia" w:ascii="宋体" w:hAnsi="宋体" w:cs="宋体"/>
                <w:color w:val="auto"/>
                <w:sz w:val="24"/>
                <w:szCs w:val="24"/>
                <w:highlight w:val="none"/>
              </w:rPr>
              <w:t>12、安装完毕后，供应商应及时通知采购人进行验收，验收不合格的产品应拆除，不得投入使用。</w:t>
            </w:r>
          </w:p>
        </w:tc>
      </w:tr>
      <w:tr w14:paraId="3F7BC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428" w:type="dxa"/>
            <w:tcBorders>
              <w:top w:val="single" w:color="auto" w:sz="4" w:space="0"/>
              <w:left w:val="single" w:color="auto" w:sz="4" w:space="0"/>
              <w:right w:val="single" w:color="auto" w:sz="4" w:space="0"/>
            </w:tcBorders>
            <w:vAlign w:val="center"/>
          </w:tcPr>
          <w:p w14:paraId="16B22DD2">
            <w:pPr>
              <w:pStyle w:val="12"/>
              <w:snapToGrid w:val="0"/>
              <w:jc w:val="left"/>
              <w:outlineLvl w:val="0"/>
              <w:rPr>
                <w:rFonts w:hAnsi="宋体" w:cs="宋体"/>
                <w:b/>
                <w:bCs/>
                <w:color w:val="auto"/>
                <w:sz w:val="24"/>
                <w:szCs w:val="24"/>
                <w:highlight w:val="none"/>
              </w:rPr>
            </w:pPr>
            <w:r>
              <w:rPr>
                <w:rFonts w:hint="eastAsia" w:hAnsi="宋体" w:cs="宋体"/>
                <w:b/>
                <w:bCs/>
                <w:color w:val="auto"/>
                <w:sz w:val="24"/>
                <w:szCs w:val="24"/>
                <w:highlight w:val="none"/>
              </w:rPr>
              <w:t>3</w:t>
            </w:r>
          </w:p>
        </w:tc>
        <w:tc>
          <w:tcPr>
            <w:tcW w:w="708" w:type="dxa"/>
            <w:tcBorders>
              <w:top w:val="single" w:color="auto" w:sz="4" w:space="0"/>
              <w:left w:val="single" w:color="auto" w:sz="4" w:space="0"/>
              <w:right w:val="single" w:color="auto" w:sz="4" w:space="0"/>
            </w:tcBorders>
            <w:vAlign w:val="center"/>
          </w:tcPr>
          <w:p w14:paraId="3F2CECC9">
            <w:pPr>
              <w:widowControl/>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商务要求</w:t>
            </w:r>
          </w:p>
        </w:tc>
        <w:tc>
          <w:tcPr>
            <w:tcW w:w="7541" w:type="dxa"/>
            <w:tcBorders>
              <w:top w:val="single" w:color="auto" w:sz="4" w:space="0"/>
              <w:left w:val="single" w:color="auto" w:sz="4" w:space="0"/>
              <w:bottom w:val="single" w:color="auto" w:sz="4" w:space="0"/>
              <w:right w:val="single" w:color="auto" w:sz="4" w:space="0"/>
            </w:tcBorders>
            <w:vAlign w:val="center"/>
          </w:tcPr>
          <w:p w14:paraId="2BA9729A">
            <w:pPr>
              <w:spacing w:line="460" w:lineRule="exact"/>
              <w:rPr>
                <w:rFonts w:ascii="宋体" w:hAnsi="宋体" w:cs="宋体"/>
                <w:color w:val="auto"/>
                <w:sz w:val="24"/>
                <w:szCs w:val="24"/>
                <w:highlight w:val="none"/>
              </w:rPr>
            </w:pPr>
            <w:r>
              <w:rPr>
                <w:rFonts w:hint="eastAsia" w:ascii="宋体" w:hAnsi="宋体" w:cs="宋体"/>
                <w:color w:val="auto"/>
                <w:sz w:val="24"/>
                <w:szCs w:val="24"/>
                <w:highlight w:val="none"/>
              </w:rPr>
              <w:t>1、租赁服务期：1年，自合同签订之日起1年。</w:t>
            </w:r>
          </w:p>
          <w:p w14:paraId="63A0785F">
            <w:pPr>
              <w:spacing w:line="460" w:lineRule="exact"/>
              <w:rPr>
                <w:rFonts w:ascii="宋体" w:hAnsi="宋体" w:cs="宋体"/>
                <w:color w:val="auto"/>
                <w:sz w:val="24"/>
                <w:szCs w:val="24"/>
                <w:highlight w:val="none"/>
              </w:rPr>
            </w:pPr>
            <w:r>
              <w:rPr>
                <w:rFonts w:hint="eastAsia" w:ascii="宋体" w:hAnsi="宋体" w:cs="宋体"/>
                <w:color w:val="auto"/>
                <w:sz w:val="24"/>
                <w:szCs w:val="24"/>
                <w:highlight w:val="none"/>
              </w:rPr>
              <w:t>2、分批安装时间和地点：第一批设备于合同签订后30日内完成设备到货、安装调试等工作。剩余批次设备于自采购人通知之日起20日内完成设备到货、安装调试等工作。地点：南宁市青秀区双拥路6号。</w:t>
            </w:r>
          </w:p>
          <w:p w14:paraId="0B25D63E">
            <w:pPr>
              <w:spacing w:line="460" w:lineRule="exact"/>
              <w:rPr>
                <w:rFonts w:ascii="宋体" w:hAnsi="宋体" w:cs="宋体"/>
                <w:color w:val="auto"/>
                <w:sz w:val="24"/>
                <w:szCs w:val="24"/>
                <w:highlight w:val="none"/>
              </w:rPr>
            </w:pPr>
            <w:r>
              <w:rPr>
                <w:rFonts w:hint="eastAsia" w:ascii="宋体" w:hAnsi="宋体" w:cs="宋体"/>
                <w:color w:val="auto"/>
                <w:sz w:val="24"/>
                <w:szCs w:val="24"/>
                <w:highlight w:val="none"/>
              </w:rPr>
              <w:t>3、报价要求：报价金额应包含项目所有产品供货、运输、保管、安装、调试、垃圾清理、验收、设备安装维护，滤芯更换、水质检测、税费、租赁服务、培训服务等费用。报价不能超过预算价，超过预算价则响应无效。</w:t>
            </w:r>
          </w:p>
          <w:p w14:paraId="72FDE3BC">
            <w:pPr>
              <w:spacing w:line="460" w:lineRule="exact"/>
              <w:rPr>
                <w:rFonts w:ascii="宋体" w:hAnsi="宋体" w:cs="宋体"/>
                <w:color w:val="auto"/>
                <w:sz w:val="24"/>
                <w:szCs w:val="24"/>
                <w:highlight w:val="none"/>
              </w:rPr>
            </w:pPr>
            <w:r>
              <w:rPr>
                <w:rFonts w:hint="eastAsia" w:ascii="宋体" w:hAnsi="宋体" w:cs="宋体"/>
                <w:color w:val="auto"/>
                <w:sz w:val="24"/>
                <w:szCs w:val="24"/>
                <w:highlight w:val="none"/>
              </w:rPr>
              <w:t>4、结算方式：</w:t>
            </w:r>
          </w:p>
          <w:p w14:paraId="77922281">
            <w:pPr>
              <w:spacing w:line="460" w:lineRule="exact"/>
              <w:rPr>
                <w:rFonts w:ascii="宋体" w:hAnsi="宋体" w:cs="宋体"/>
                <w:color w:val="auto"/>
                <w:sz w:val="24"/>
                <w:szCs w:val="24"/>
                <w:highlight w:val="none"/>
              </w:rPr>
            </w:pPr>
            <w:r>
              <w:rPr>
                <w:rFonts w:hint="eastAsia" w:ascii="宋体" w:hAnsi="宋体" w:cs="宋体"/>
                <w:color w:val="auto"/>
                <w:sz w:val="24"/>
                <w:szCs w:val="24"/>
                <w:highlight w:val="none"/>
              </w:rPr>
              <w:t>签订合同后，第一批设备安装完毕后，供应商可申请支付合同服务费用的50%，采购人自材料审核完成之日起15个工作日内将费用汇至供应商指定账户。设备稳定运行六个月后，双方对考核表扣减费用进行核对后，剩余服务费按两个月支付一次，采购人自材料审核完成之日起15个工作日内将费用汇至供应商指定账户。</w:t>
            </w:r>
          </w:p>
          <w:p w14:paraId="29BE6CF6">
            <w:pPr>
              <w:spacing w:line="460" w:lineRule="exact"/>
              <w:rPr>
                <w:rFonts w:ascii="宋体" w:hAnsi="宋体" w:cs="宋体"/>
                <w:color w:val="auto"/>
                <w:sz w:val="24"/>
                <w:szCs w:val="24"/>
                <w:highlight w:val="none"/>
              </w:rPr>
            </w:pPr>
            <w:r>
              <w:rPr>
                <w:rFonts w:hint="eastAsia" w:ascii="宋体" w:hAnsi="宋体" w:cs="宋体"/>
                <w:color w:val="auto"/>
                <w:sz w:val="24"/>
                <w:szCs w:val="24"/>
                <w:highlight w:val="none"/>
              </w:rPr>
              <w:t>计算方式：单台设备租赁日单价*投入天数。</w:t>
            </w:r>
          </w:p>
          <w:p w14:paraId="5C88903C">
            <w:pPr>
              <w:spacing w:line="460" w:lineRule="exact"/>
              <w:rPr>
                <w:rFonts w:ascii="宋体" w:hAnsi="宋体" w:cs="宋体"/>
                <w:color w:val="auto"/>
                <w:sz w:val="24"/>
                <w:szCs w:val="24"/>
                <w:highlight w:val="none"/>
              </w:rPr>
            </w:pPr>
            <w:r>
              <w:rPr>
                <w:rFonts w:hint="eastAsia" w:ascii="宋体" w:hAnsi="宋体" w:cs="宋体"/>
                <w:color w:val="auto"/>
                <w:sz w:val="24"/>
                <w:szCs w:val="24"/>
                <w:highlight w:val="none"/>
              </w:rPr>
              <w:t>5、验收标准：符合现行国家相关标准、行业标准、地方标准或者其他标准、规范。</w:t>
            </w:r>
          </w:p>
          <w:p w14:paraId="1BB59038">
            <w:pPr>
              <w:jc w:val="left"/>
              <w:rPr>
                <w:rFonts w:ascii="宋体" w:hAnsi="宋体" w:cs="宋体"/>
                <w:b/>
                <w:color w:val="auto"/>
                <w:sz w:val="24"/>
                <w:szCs w:val="24"/>
                <w:highlight w:val="none"/>
                <w:lang w:val="hr-HR"/>
              </w:rPr>
            </w:pPr>
          </w:p>
        </w:tc>
      </w:tr>
    </w:tbl>
    <w:p w14:paraId="021A9F3F">
      <w:pPr>
        <w:tabs>
          <w:tab w:val="left" w:pos="180"/>
          <w:tab w:val="left" w:pos="1620"/>
        </w:tabs>
        <w:spacing w:line="360" w:lineRule="auto"/>
        <w:jc w:val="left"/>
        <w:rPr>
          <w:rFonts w:ascii="宋体" w:hAnsi="宋体" w:cs="宋体"/>
          <w:b/>
          <w:bCs/>
          <w:color w:val="auto"/>
          <w:sz w:val="24"/>
          <w:szCs w:val="24"/>
          <w:highlight w:val="none"/>
        </w:rPr>
        <w:sectPr>
          <w:footerReference r:id="rId4" w:type="first"/>
          <w:footerReference r:id="rId3" w:type="default"/>
          <w:pgSz w:w="11906" w:h="16838"/>
          <w:pgMar w:top="1440" w:right="1800" w:bottom="1440" w:left="1800" w:header="851" w:footer="992" w:gutter="0"/>
          <w:cols w:space="425" w:num="1"/>
          <w:docGrid w:type="lines" w:linePitch="312" w:charSpace="0"/>
        </w:sectPr>
      </w:pPr>
    </w:p>
    <w:tbl>
      <w:tblPr>
        <w:tblStyle w:val="21"/>
        <w:tblW w:w="5000" w:type="pct"/>
        <w:tblInd w:w="0" w:type="dxa"/>
        <w:tblLayout w:type="autofit"/>
        <w:tblCellMar>
          <w:top w:w="0" w:type="dxa"/>
          <w:left w:w="108" w:type="dxa"/>
          <w:bottom w:w="0" w:type="dxa"/>
          <w:right w:w="108" w:type="dxa"/>
        </w:tblCellMar>
      </w:tblPr>
      <w:tblGrid>
        <w:gridCol w:w="426"/>
        <w:gridCol w:w="708"/>
        <w:gridCol w:w="761"/>
        <w:gridCol w:w="1375"/>
        <w:gridCol w:w="3721"/>
        <w:gridCol w:w="890"/>
        <w:gridCol w:w="641"/>
      </w:tblGrid>
      <w:tr w14:paraId="4B877215">
        <w:tblPrEx>
          <w:tblCellMar>
            <w:top w:w="0" w:type="dxa"/>
            <w:left w:w="108" w:type="dxa"/>
            <w:bottom w:w="0" w:type="dxa"/>
            <w:right w:w="108" w:type="dxa"/>
          </w:tblCellMar>
        </w:tblPrEx>
        <w:trPr>
          <w:trHeight w:val="20" w:hRule="atLeast"/>
        </w:trPr>
        <w:tc>
          <w:tcPr>
            <w:tcW w:w="5000" w:type="pct"/>
            <w:gridSpan w:val="7"/>
            <w:vAlign w:val="center"/>
          </w:tcPr>
          <w:p w14:paraId="55D60804">
            <w:pPr>
              <w:widowControl/>
              <w:adjustRightInd w:val="0"/>
              <w:snapToGrid w:val="0"/>
              <w:spacing w:after="20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服务考核表</w:t>
            </w:r>
          </w:p>
        </w:tc>
      </w:tr>
      <w:tr w14:paraId="7E84F05C">
        <w:tblPrEx>
          <w:tblCellMar>
            <w:top w:w="0" w:type="dxa"/>
            <w:left w:w="108" w:type="dxa"/>
            <w:bottom w:w="0" w:type="dxa"/>
            <w:right w:w="108" w:type="dxa"/>
          </w:tblCellMar>
        </w:tblPrEx>
        <w:trPr>
          <w:trHeight w:val="20" w:hRule="atLeast"/>
        </w:trPr>
        <w:tc>
          <w:tcPr>
            <w:tcW w:w="1919" w:type="pct"/>
            <w:gridSpan w:val="4"/>
            <w:tcBorders>
              <w:top w:val="single" w:color="000000" w:sz="8" w:space="0"/>
              <w:left w:val="single" w:color="000000" w:sz="8" w:space="0"/>
              <w:bottom w:val="single" w:color="000000" w:sz="4" w:space="0"/>
              <w:right w:val="single" w:color="000000" w:sz="4" w:space="0"/>
            </w:tcBorders>
            <w:vAlign w:val="center"/>
          </w:tcPr>
          <w:p w14:paraId="578DF944">
            <w:pPr>
              <w:widowControl/>
              <w:adjustRightInd w:val="0"/>
              <w:snapToGrid w:val="0"/>
              <w:spacing w:after="200"/>
              <w:jc w:val="left"/>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2183" w:type="pct"/>
            <w:tcBorders>
              <w:top w:val="single" w:color="000000" w:sz="8" w:space="0"/>
              <w:left w:val="single" w:color="000000" w:sz="4" w:space="0"/>
              <w:bottom w:val="single" w:color="000000" w:sz="4" w:space="0"/>
              <w:right w:val="single" w:color="000000" w:sz="4" w:space="0"/>
            </w:tcBorders>
            <w:vAlign w:val="center"/>
          </w:tcPr>
          <w:p w14:paraId="2F676370">
            <w:pPr>
              <w:widowControl/>
              <w:adjustRightInd w:val="0"/>
              <w:snapToGrid w:val="0"/>
              <w:spacing w:after="200"/>
              <w:jc w:val="left"/>
              <w:rPr>
                <w:rFonts w:ascii="宋体" w:hAnsi="宋体" w:cs="宋体"/>
                <w:color w:val="auto"/>
                <w:kern w:val="0"/>
                <w:szCs w:val="21"/>
                <w:highlight w:val="none"/>
              </w:rPr>
            </w:pPr>
            <w:r>
              <w:rPr>
                <w:rFonts w:hint="eastAsia" w:ascii="宋体" w:hAnsi="宋体" w:cs="宋体"/>
                <w:color w:val="auto"/>
                <w:kern w:val="0"/>
                <w:szCs w:val="21"/>
                <w:highlight w:val="none"/>
              </w:rPr>
              <w:t>供应商名称：</w:t>
            </w:r>
          </w:p>
        </w:tc>
        <w:tc>
          <w:tcPr>
            <w:tcW w:w="897" w:type="pct"/>
            <w:gridSpan w:val="2"/>
            <w:tcBorders>
              <w:top w:val="single" w:color="000000" w:sz="8" w:space="0"/>
              <w:left w:val="single" w:color="000000" w:sz="4" w:space="0"/>
              <w:bottom w:val="single" w:color="000000" w:sz="4" w:space="0"/>
              <w:right w:val="single" w:color="000000" w:sz="4" w:space="0"/>
            </w:tcBorders>
            <w:vAlign w:val="center"/>
          </w:tcPr>
          <w:p w14:paraId="7273AD9A">
            <w:pPr>
              <w:widowControl/>
              <w:adjustRightInd w:val="0"/>
              <w:snapToGrid w:val="0"/>
              <w:spacing w:after="200"/>
              <w:jc w:val="left"/>
              <w:rPr>
                <w:rFonts w:ascii="宋体" w:hAnsi="宋体" w:cs="宋体"/>
                <w:color w:val="auto"/>
                <w:kern w:val="0"/>
                <w:szCs w:val="21"/>
                <w:highlight w:val="none"/>
              </w:rPr>
            </w:pPr>
            <w:r>
              <w:rPr>
                <w:rFonts w:hint="eastAsia" w:ascii="宋体" w:hAnsi="宋体" w:cs="宋体"/>
                <w:color w:val="auto"/>
                <w:kern w:val="0"/>
                <w:szCs w:val="21"/>
                <w:highlight w:val="none"/>
              </w:rPr>
              <w:t>评价日期：</w:t>
            </w:r>
          </w:p>
        </w:tc>
      </w:tr>
      <w:tr w14:paraId="09CFB836">
        <w:tblPrEx>
          <w:tblCellMar>
            <w:top w:w="0" w:type="dxa"/>
            <w:left w:w="108" w:type="dxa"/>
            <w:bottom w:w="0" w:type="dxa"/>
            <w:right w:w="108" w:type="dxa"/>
          </w:tblCellMar>
        </w:tblPrEx>
        <w:trPr>
          <w:trHeight w:val="20" w:hRule="atLeast"/>
        </w:trPr>
        <w:tc>
          <w:tcPr>
            <w:tcW w:w="24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AE98010">
            <w:pPr>
              <w:widowControl/>
              <w:adjustRightInd w:val="0"/>
              <w:snapToGrid w:val="0"/>
              <w:spacing w:after="200"/>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41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D5E56F7">
            <w:pPr>
              <w:widowControl/>
              <w:adjustRightInd w:val="0"/>
              <w:snapToGrid w:val="0"/>
              <w:spacing w:after="200"/>
              <w:jc w:val="center"/>
              <w:rPr>
                <w:rFonts w:ascii="宋体" w:hAnsi="宋体" w:cs="宋体"/>
                <w:color w:val="auto"/>
                <w:kern w:val="0"/>
                <w:szCs w:val="21"/>
                <w:highlight w:val="none"/>
              </w:rPr>
            </w:pPr>
            <w:r>
              <w:rPr>
                <w:rFonts w:hint="eastAsia" w:ascii="宋体" w:hAnsi="宋体" w:cs="宋体"/>
                <w:color w:val="auto"/>
                <w:kern w:val="0"/>
                <w:szCs w:val="21"/>
                <w:highlight w:val="none"/>
              </w:rPr>
              <w:t>评价项</w:t>
            </w:r>
          </w:p>
        </w:tc>
        <w:tc>
          <w:tcPr>
            <w:tcW w:w="44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87EB1CA">
            <w:pPr>
              <w:widowControl/>
              <w:adjustRightInd w:val="0"/>
              <w:snapToGrid w:val="0"/>
              <w:spacing w:after="200"/>
              <w:jc w:val="center"/>
              <w:rPr>
                <w:rFonts w:ascii="宋体" w:hAnsi="宋体" w:cs="宋体"/>
                <w:color w:val="auto"/>
                <w:kern w:val="0"/>
                <w:szCs w:val="21"/>
                <w:highlight w:val="none"/>
              </w:rPr>
            </w:pPr>
            <w:r>
              <w:rPr>
                <w:rFonts w:hint="eastAsia" w:ascii="宋体" w:hAnsi="宋体" w:cs="宋体"/>
                <w:color w:val="auto"/>
                <w:kern w:val="0"/>
                <w:szCs w:val="21"/>
                <w:highlight w:val="none"/>
              </w:rPr>
              <w:t>分值</w:t>
            </w:r>
          </w:p>
        </w:tc>
        <w:tc>
          <w:tcPr>
            <w:tcW w:w="80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ED83A76">
            <w:pPr>
              <w:widowControl/>
              <w:adjustRightInd w:val="0"/>
              <w:snapToGrid w:val="0"/>
              <w:spacing w:after="200"/>
              <w:jc w:val="center"/>
              <w:rPr>
                <w:rFonts w:ascii="宋体" w:hAnsi="宋体" w:cs="宋体"/>
                <w:color w:val="auto"/>
                <w:kern w:val="0"/>
                <w:szCs w:val="21"/>
                <w:highlight w:val="none"/>
              </w:rPr>
            </w:pPr>
            <w:r>
              <w:rPr>
                <w:rFonts w:hint="eastAsia" w:ascii="宋体" w:hAnsi="宋体" w:cs="宋体"/>
                <w:color w:val="auto"/>
                <w:kern w:val="0"/>
                <w:szCs w:val="21"/>
                <w:highlight w:val="none"/>
              </w:rPr>
              <w:t>指标</w:t>
            </w:r>
          </w:p>
        </w:tc>
        <w:tc>
          <w:tcPr>
            <w:tcW w:w="2183"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90F63BB">
            <w:pPr>
              <w:widowControl/>
              <w:adjustRightInd w:val="0"/>
              <w:snapToGrid w:val="0"/>
              <w:spacing w:after="200"/>
              <w:jc w:val="center"/>
              <w:rPr>
                <w:rFonts w:ascii="宋体" w:hAnsi="宋体" w:cs="宋体"/>
                <w:color w:val="auto"/>
                <w:kern w:val="0"/>
                <w:szCs w:val="21"/>
                <w:highlight w:val="none"/>
              </w:rPr>
            </w:pPr>
            <w:r>
              <w:rPr>
                <w:rFonts w:hint="eastAsia" w:ascii="宋体" w:hAnsi="宋体" w:cs="宋体"/>
                <w:color w:val="auto"/>
                <w:kern w:val="0"/>
                <w:szCs w:val="21"/>
                <w:highlight w:val="none"/>
              </w:rPr>
              <w:t>评分标准</w:t>
            </w:r>
          </w:p>
        </w:tc>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A27F1C8">
            <w:pPr>
              <w:widowControl/>
              <w:adjustRightInd w:val="0"/>
              <w:snapToGrid w:val="0"/>
              <w:spacing w:after="200"/>
              <w:jc w:val="center"/>
              <w:rPr>
                <w:rFonts w:ascii="宋体" w:hAnsi="宋体" w:cs="宋体"/>
                <w:color w:val="auto"/>
                <w:kern w:val="0"/>
                <w:szCs w:val="21"/>
                <w:highlight w:val="none"/>
              </w:rPr>
            </w:pPr>
            <w:r>
              <w:rPr>
                <w:rFonts w:hint="eastAsia" w:ascii="宋体" w:hAnsi="宋体" w:cs="宋体"/>
                <w:color w:val="auto"/>
                <w:kern w:val="0"/>
                <w:szCs w:val="21"/>
                <w:highlight w:val="none"/>
              </w:rPr>
              <w:t>得分</w:t>
            </w:r>
          </w:p>
        </w:tc>
        <w:tc>
          <w:tcPr>
            <w:tcW w:w="37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0E76F09">
            <w:pPr>
              <w:widowControl/>
              <w:adjustRightInd w:val="0"/>
              <w:snapToGrid w:val="0"/>
              <w:spacing w:after="200"/>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r>
      <w:tr w14:paraId="49C85F89">
        <w:tblPrEx>
          <w:tblCellMar>
            <w:top w:w="0" w:type="dxa"/>
            <w:left w:w="108" w:type="dxa"/>
            <w:bottom w:w="0" w:type="dxa"/>
            <w:right w:w="108" w:type="dxa"/>
          </w:tblCellMar>
        </w:tblPrEx>
        <w:trPr>
          <w:trHeight w:val="895" w:hRule="atLeast"/>
        </w:trPr>
        <w:tc>
          <w:tcPr>
            <w:tcW w:w="249" w:type="pct"/>
            <w:tcBorders>
              <w:top w:val="single" w:color="000000" w:sz="4" w:space="0"/>
              <w:left w:val="single" w:color="000000" w:sz="8" w:space="0"/>
              <w:bottom w:val="nil"/>
              <w:right w:val="single" w:color="000000" w:sz="4" w:space="0"/>
            </w:tcBorders>
            <w:vAlign w:val="center"/>
          </w:tcPr>
          <w:p w14:paraId="41D596D0">
            <w:pPr>
              <w:widowControl/>
              <w:adjustRightInd w:val="0"/>
              <w:snapToGrid w:val="0"/>
              <w:spacing w:after="200"/>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415" w:type="pct"/>
            <w:tcBorders>
              <w:top w:val="single" w:color="000000" w:sz="4" w:space="0"/>
              <w:left w:val="single" w:color="000000" w:sz="4" w:space="0"/>
              <w:bottom w:val="nil"/>
              <w:right w:val="single" w:color="000000" w:sz="4" w:space="0"/>
            </w:tcBorders>
            <w:vAlign w:val="center"/>
          </w:tcPr>
          <w:p w14:paraId="02A7C0D3">
            <w:pPr>
              <w:widowControl/>
              <w:adjustRightInd w:val="0"/>
              <w:snapToGrid w:val="0"/>
              <w:spacing w:after="200"/>
              <w:jc w:val="left"/>
              <w:rPr>
                <w:rFonts w:ascii="宋体" w:hAnsi="宋体" w:cs="宋体"/>
                <w:color w:val="auto"/>
                <w:kern w:val="0"/>
                <w:szCs w:val="21"/>
                <w:highlight w:val="none"/>
              </w:rPr>
            </w:pPr>
            <w:r>
              <w:rPr>
                <w:rFonts w:hint="eastAsia" w:ascii="宋体" w:hAnsi="宋体" w:cs="宋体"/>
                <w:color w:val="auto"/>
                <w:kern w:val="0"/>
                <w:szCs w:val="21"/>
                <w:highlight w:val="none"/>
              </w:rPr>
              <w:t>水质检测报告</w:t>
            </w:r>
          </w:p>
        </w:tc>
        <w:tc>
          <w:tcPr>
            <w:tcW w:w="447" w:type="pct"/>
            <w:tcBorders>
              <w:top w:val="single" w:color="000000" w:sz="4" w:space="0"/>
              <w:left w:val="single" w:color="000000" w:sz="4" w:space="0"/>
              <w:bottom w:val="nil"/>
              <w:right w:val="single" w:color="000000" w:sz="4" w:space="0"/>
            </w:tcBorders>
            <w:vAlign w:val="center"/>
          </w:tcPr>
          <w:p w14:paraId="7BD7752A">
            <w:pPr>
              <w:widowControl/>
              <w:adjustRightInd w:val="0"/>
              <w:snapToGrid w:val="0"/>
              <w:spacing w:after="200"/>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806" w:type="pct"/>
            <w:tcBorders>
              <w:top w:val="single" w:color="000000" w:sz="4" w:space="0"/>
              <w:left w:val="single" w:color="000000" w:sz="4" w:space="0"/>
              <w:bottom w:val="single" w:color="000000" w:sz="4" w:space="0"/>
              <w:right w:val="single" w:color="000000" w:sz="4" w:space="0"/>
            </w:tcBorders>
            <w:vAlign w:val="center"/>
          </w:tcPr>
          <w:p w14:paraId="00C12E55">
            <w:pPr>
              <w:widowControl/>
              <w:adjustRightInd w:val="0"/>
              <w:snapToGrid w:val="0"/>
              <w:spacing w:after="200"/>
              <w:jc w:val="left"/>
              <w:rPr>
                <w:rFonts w:ascii="宋体" w:hAnsi="宋体" w:cs="宋体"/>
                <w:color w:val="auto"/>
                <w:kern w:val="0"/>
                <w:szCs w:val="21"/>
                <w:highlight w:val="none"/>
              </w:rPr>
            </w:pPr>
            <w:r>
              <w:rPr>
                <w:rFonts w:hint="eastAsia" w:ascii="宋体" w:hAnsi="宋体" w:cs="宋体"/>
                <w:color w:val="auto"/>
                <w:kern w:val="0"/>
                <w:szCs w:val="21"/>
                <w:highlight w:val="none"/>
              </w:rPr>
              <w:t>是否按时提供</w:t>
            </w:r>
          </w:p>
        </w:tc>
        <w:tc>
          <w:tcPr>
            <w:tcW w:w="2183" w:type="pct"/>
            <w:tcBorders>
              <w:top w:val="single" w:color="000000" w:sz="4" w:space="0"/>
              <w:left w:val="single" w:color="000000" w:sz="4" w:space="0"/>
              <w:bottom w:val="single" w:color="000000" w:sz="4" w:space="0"/>
              <w:right w:val="single" w:color="000000" w:sz="4" w:space="0"/>
            </w:tcBorders>
            <w:vAlign w:val="center"/>
          </w:tcPr>
          <w:p w14:paraId="03CD33D5">
            <w:pPr>
              <w:widowControl/>
              <w:adjustRightInd w:val="0"/>
              <w:snapToGrid w:val="0"/>
              <w:spacing w:after="200"/>
              <w:jc w:val="left"/>
              <w:rPr>
                <w:rFonts w:ascii="宋体" w:hAnsi="宋体" w:cs="宋体"/>
                <w:color w:val="auto"/>
                <w:kern w:val="0"/>
                <w:szCs w:val="21"/>
                <w:highlight w:val="none"/>
              </w:rPr>
            </w:pPr>
            <w:r>
              <w:rPr>
                <w:rFonts w:hint="eastAsia" w:ascii="宋体" w:hAnsi="宋体" w:cs="宋体"/>
                <w:color w:val="auto"/>
                <w:kern w:val="0"/>
                <w:szCs w:val="21"/>
                <w:highlight w:val="none"/>
              </w:rPr>
              <w:t>每半年度按时提交检测报告，如有一次不符合质量要求，扣10分，以此类推。</w:t>
            </w:r>
          </w:p>
        </w:tc>
        <w:tc>
          <w:tcPr>
            <w:tcW w:w="522" w:type="pct"/>
            <w:tcBorders>
              <w:top w:val="single" w:color="000000" w:sz="4" w:space="0"/>
              <w:left w:val="single" w:color="000000" w:sz="4" w:space="0"/>
              <w:bottom w:val="single" w:color="000000" w:sz="4" w:space="0"/>
              <w:right w:val="single" w:color="000000" w:sz="4" w:space="0"/>
            </w:tcBorders>
            <w:vAlign w:val="center"/>
          </w:tcPr>
          <w:p w14:paraId="169B27D8">
            <w:pPr>
              <w:widowControl/>
              <w:adjustRightInd w:val="0"/>
              <w:snapToGrid w:val="0"/>
              <w:spacing w:after="200"/>
              <w:jc w:val="center"/>
              <w:rPr>
                <w:rFonts w:ascii="宋体" w:hAnsi="宋体" w:cs="宋体"/>
                <w:color w:val="auto"/>
                <w:kern w:val="0"/>
                <w:szCs w:val="21"/>
                <w:highlight w:val="none"/>
              </w:rPr>
            </w:pPr>
          </w:p>
        </w:tc>
        <w:tc>
          <w:tcPr>
            <w:tcW w:w="374" w:type="pct"/>
            <w:tcBorders>
              <w:top w:val="single" w:color="000000" w:sz="4" w:space="0"/>
              <w:left w:val="single" w:color="000000" w:sz="4" w:space="0"/>
              <w:bottom w:val="single" w:color="000000" w:sz="4" w:space="0"/>
              <w:right w:val="single" w:color="000000" w:sz="8" w:space="0"/>
            </w:tcBorders>
            <w:vAlign w:val="center"/>
          </w:tcPr>
          <w:p w14:paraId="40639C2A">
            <w:pPr>
              <w:widowControl/>
              <w:adjustRightInd w:val="0"/>
              <w:snapToGrid w:val="0"/>
              <w:spacing w:after="200"/>
              <w:jc w:val="center"/>
              <w:rPr>
                <w:rFonts w:ascii="宋体" w:hAnsi="宋体" w:cs="宋体"/>
                <w:color w:val="auto"/>
                <w:kern w:val="0"/>
                <w:szCs w:val="21"/>
                <w:highlight w:val="none"/>
              </w:rPr>
            </w:pPr>
          </w:p>
        </w:tc>
      </w:tr>
      <w:tr w14:paraId="5045B607">
        <w:tblPrEx>
          <w:tblCellMar>
            <w:top w:w="0" w:type="dxa"/>
            <w:left w:w="108" w:type="dxa"/>
            <w:bottom w:w="0" w:type="dxa"/>
            <w:right w:w="108" w:type="dxa"/>
          </w:tblCellMar>
        </w:tblPrEx>
        <w:trPr>
          <w:trHeight w:val="1143" w:hRule="atLeast"/>
        </w:trPr>
        <w:tc>
          <w:tcPr>
            <w:tcW w:w="249" w:type="pct"/>
            <w:tcBorders>
              <w:top w:val="single" w:color="000000" w:sz="4" w:space="0"/>
              <w:left w:val="single" w:color="000000" w:sz="8" w:space="0"/>
              <w:bottom w:val="nil"/>
              <w:right w:val="single" w:color="000000" w:sz="4" w:space="0"/>
            </w:tcBorders>
            <w:vAlign w:val="center"/>
          </w:tcPr>
          <w:p w14:paraId="66FDA569">
            <w:pPr>
              <w:widowControl/>
              <w:adjustRightInd w:val="0"/>
              <w:snapToGrid w:val="0"/>
              <w:spacing w:after="200"/>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415" w:type="pct"/>
            <w:tcBorders>
              <w:top w:val="single" w:color="000000" w:sz="4" w:space="0"/>
              <w:left w:val="single" w:color="000000" w:sz="4" w:space="0"/>
              <w:bottom w:val="nil"/>
              <w:right w:val="single" w:color="000000" w:sz="4" w:space="0"/>
            </w:tcBorders>
            <w:vAlign w:val="center"/>
          </w:tcPr>
          <w:p w14:paraId="629EB8E7">
            <w:pPr>
              <w:widowControl/>
              <w:adjustRightInd w:val="0"/>
              <w:snapToGrid w:val="0"/>
              <w:spacing w:after="200"/>
              <w:jc w:val="center"/>
              <w:rPr>
                <w:rFonts w:ascii="宋体" w:hAnsi="宋体" w:cs="宋体"/>
                <w:color w:val="auto"/>
                <w:kern w:val="0"/>
                <w:szCs w:val="21"/>
                <w:highlight w:val="none"/>
              </w:rPr>
            </w:pPr>
            <w:r>
              <w:rPr>
                <w:rFonts w:hint="eastAsia" w:ascii="宋体" w:hAnsi="宋体" w:cs="宋体"/>
                <w:color w:val="auto"/>
                <w:kern w:val="0"/>
                <w:szCs w:val="21"/>
                <w:highlight w:val="none"/>
              </w:rPr>
              <w:t>检修和故障排除</w:t>
            </w:r>
          </w:p>
        </w:tc>
        <w:tc>
          <w:tcPr>
            <w:tcW w:w="447" w:type="pct"/>
            <w:tcBorders>
              <w:top w:val="single" w:color="000000" w:sz="4" w:space="0"/>
              <w:left w:val="single" w:color="000000" w:sz="4" w:space="0"/>
              <w:bottom w:val="single" w:color="000000" w:sz="4" w:space="0"/>
              <w:right w:val="single" w:color="000000" w:sz="4" w:space="0"/>
            </w:tcBorders>
            <w:vAlign w:val="center"/>
          </w:tcPr>
          <w:p w14:paraId="15049D41">
            <w:pPr>
              <w:widowControl/>
              <w:adjustRightInd w:val="0"/>
              <w:snapToGrid w:val="0"/>
              <w:spacing w:after="200"/>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806" w:type="pct"/>
            <w:tcBorders>
              <w:top w:val="single" w:color="000000" w:sz="4" w:space="0"/>
              <w:left w:val="single" w:color="000000" w:sz="4" w:space="0"/>
              <w:bottom w:val="single" w:color="000000" w:sz="4" w:space="0"/>
              <w:right w:val="single" w:color="000000" w:sz="4" w:space="0"/>
            </w:tcBorders>
            <w:vAlign w:val="center"/>
          </w:tcPr>
          <w:p w14:paraId="4FC71080">
            <w:pPr>
              <w:widowControl/>
              <w:adjustRightInd w:val="0"/>
              <w:snapToGrid w:val="0"/>
              <w:spacing w:after="200"/>
              <w:jc w:val="center"/>
              <w:rPr>
                <w:rFonts w:ascii="宋体" w:hAnsi="宋体" w:cs="宋体"/>
                <w:color w:val="auto"/>
                <w:kern w:val="0"/>
                <w:szCs w:val="21"/>
                <w:highlight w:val="none"/>
              </w:rPr>
            </w:pPr>
            <w:r>
              <w:rPr>
                <w:rFonts w:hint="eastAsia" w:ascii="宋体" w:hAnsi="宋体" w:cs="宋体"/>
                <w:color w:val="auto"/>
                <w:kern w:val="0"/>
                <w:szCs w:val="21"/>
                <w:highlight w:val="none"/>
              </w:rPr>
              <w:t>是否按项目内容完成检修</w:t>
            </w:r>
          </w:p>
        </w:tc>
        <w:tc>
          <w:tcPr>
            <w:tcW w:w="2183" w:type="pct"/>
            <w:tcBorders>
              <w:top w:val="single" w:color="000000" w:sz="4" w:space="0"/>
              <w:left w:val="single" w:color="000000" w:sz="4" w:space="0"/>
              <w:bottom w:val="single" w:color="000000" w:sz="4" w:space="0"/>
              <w:right w:val="single" w:color="000000" w:sz="4" w:space="0"/>
            </w:tcBorders>
            <w:vAlign w:val="center"/>
          </w:tcPr>
          <w:p w14:paraId="4842323C">
            <w:pPr>
              <w:widowControl/>
              <w:adjustRightInd w:val="0"/>
              <w:snapToGrid w:val="0"/>
              <w:spacing w:after="200"/>
              <w:jc w:val="left"/>
              <w:rPr>
                <w:rFonts w:ascii="宋体" w:hAnsi="宋体" w:cs="宋体"/>
                <w:color w:val="auto"/>
                <w:kern w:val="0"/>
                <w:szCs w:val="21"/>
                <w:highlight w:val="none"/>
              </w:rPr>
            </w:pPr>
            <w:r>
              <w:rPr>
                <w:rFonts w:hint="eastAsia" w:ascii="宋体" w:hAnsi="宋体" w:cs="宋体"/>
                <w:color w:val="auto"/>
                <w:kern w:val="0"/>
                <w:szCs w:val="21"/>
                <w:highlight w:val="none"/>
              </w:rPr>
              <w:t>按照承诺的维保内容进行直饮水机检修和故障排除，按时全部内容完成检修，满分。定期每少检查一项扣1分，以此类推。</w:t>
            </w:r>
          </w:p>
        </w:tc>
        <w:tc>
          <w:tcPr>
            <w:tcW w:w="522" w:type="pct"/>
            <w:tcBorders>
              <w:top w:val="single" w:color="000000" w:sz="4" w:space="0"/>
              <w:left w:val="single" w:color="000000" w:sz="4" w:space="0"/>
              <w:bottom w:val="single" w:color="000000" w:sz="4" w:space="0"/>
              <w:right w:val="single" w:color="000000" w:sz="4" w:space="0"/>
            </w:tcBorders>
            <w:vAlign w:val="center"/>
          </w:tcPr>
          <w:p w14:paraId="192124CE">
            <w:pPr>
              <w:widowControl/>
              <w:adjustRightInd w:val="0"/>
              <w:snapToGrid w:val="0"/>
              <w:spacing w:after="200"/>
              <w:jc w:val="left"/>
              <w:rPr>
                <w:rFonts w:ascii="宋体" w:hAnsi="宋体" w:cs="宋体"/>
                <w:color w:val="auto"/>
                <w:kern w:val="0"/>
                <w:szCs w:val="21"/>
                <w:highlight w:val="none"/>
              </w:rPr>
            </w:pPr>
          </w:p>
        </w:tc>
        <w:tc>
          <w:tcPr>
            <w:tcW w:w="374" w:type="pct"/>
            <w:tcBorders>
              <w:top w:val="single" w:color="000000" w:sz="4" w:space="0"/>
              <w:left w:val="single" w:color="000000" w:sz="4" w:space="0"/>
              <w:bottom w:val="single" w:color="000000" w:sz="4" w:space="0"/>
              <w:right w:val="single" w:color="000000" w:sz="8" w:space="0"/>
            </w:tcBorders>
            <w:vAlign w:val="center"/>
          </w:tcPr>
          <w:p w14:paraId="44CC430F">
            <w:pPr>
              <w:widowControl/>
              <w:adjustRightInd w:val="0"/>
              <w:snapToGrid w:val="0"/>
              <w:spacing w:after="200"/>
              <w:jc w:val="left"/>
              <w:rPr>
                <w:rFonts w:ascii="宋体" w:hAnsi="宋体" w:cs="宋体"/>
                <w:color w:val="auto"/>
                <w:kern w:val="0"/>
                <w:szCs w:val="21"/>
                <w:highlight w:val="none"/>
              </w:rPr>
            </w:pPr>
          </w:p>
        </w:tc>
      </w:tr>
      <w:tr w14:paraId="254548F2">
        <w:tblPrEx>
          <w:tblCellMar>
            <w:top w:w="0" w:type="dxa"/>
            <w:left w:w="108" w:type="dxa"/>
            <w:bottom w:w="0" w:type="dxa"/>
            <w:right w:w="108" w:type="dxa"/>
          </w:tblCellMar>
        </w:tblPrEx>
        <w:trPr>
          <w:trHeight w:val="20" w:hRule="atLeast"/>
        </w:trPr>
        <w:tc>
          <w:tcPr>
            <w:tcW w:w="249" w:type="pct"/>
            <w:tcBorders>
              <w:top w:val="single" w:color="000000" w:sz="4" w:space="0"/>
              <w:left w:val="single" w:color="000000" w:sz="8" w:space="0"/>
              <w:bottom w:val="nil"/>
              <w:right w:val="single" w:color="000000" w:sz="4" w:space="0"/>
            </w:tcBorders>
            <w:vAlign w:val="center"/>
          </w:tcPr>
          <w:p w14:paraId="05E13043">
            <w:pPr>
              <w:widowControl/>
              <w:adjustRightInd w:val="0"/>
              <w:snapToGrid w:val="0"/>
              <w:spacing w:after="200"/>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415" w:type="pct"/>
            <w:tcBorders>
              <w:top w:val="single" w:color="000000" w:sz="4" w:space="0"/>
              <w:left w:val="single" w:color="000000" w:sz="4" w:space="0"/>
              <w:bottom w:val="nil"/>
              <w:right w:val="single" w:color="000000" w:sz="4" w:space="0"/>
            </w:tcBorders>
            <w:vAlign w:val="center"/>
          </w:tcPr>
          <w:p w14:paraId="2696DFDA">
            <w:pPr>
              <w:widowControl/>
              <w:adjustRightInd w:val="0"/>
              <w:snapToGrid w:val="0"/>
              <w:spacing w:after="200"/>
              <w:jc w:val="center"/>
              <w:rPr>
                <w:rFonts w:ascii="宋体" w:hAnsi="宋体" w:cs="宋体"/>
                <w:color w:val="auto"/>
                <w:kern w:val="0"/>
                <w:szCs w:val="21"/>
                <w:highlight w:val="none"/>
              </w:rPr>
            </w:pPr>
            <w:r>
              <w:rPr>
                <w:rFonts w:hint="eastAsia" w:ascii="宋体" w:hAnsi="宋体" w:cs="宋体"/>
                <w:color w:val="auto"/>
                <w:kern w:val="0"/>
                <w:szCs w:val="21"/>
                <w:highlight w:val="none"/>
              </w:rPr>
              <w:t>滤芯更换服务管理</w:t>
            </w:r>
          </w:p>
        </w:tc>
        <w:tc>
          <w:tcPr>
            <w:tcW w:w="447" w:type="pct"/>
            <w:tcBorders>
              <w:top w:val="single" w:color="000000" w:sz="4" w:space="0"/>
              <w:left w:val="single" w:color="000000" w:sz="4" w:space="0"/>
              <w:bottom w:val="single" w:color="000000" w:sz="4" w:space="0"/>
              <w:right w:val="single" w:color="000000" w:sz="4" w:space="0"/>
            </w:tcBorders>
            <w:vAlign w:val="center"/>
          </w:tcPr>
          <w:p w14:paraId="79D86214">
            <w:pPr>
              <w:widowControl/>
              <w:adjustRightInd w:val="0"/>
              <w:snapToGrid w:val="0"/>
              <w:spacing w:after="200"/>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806" w:type="pct"/>
            <w:tcBorders>
              <w:top w:val="single" w:color="000000" w:sz="4" w:space="0"/>
              <w:left w:val="single" w:color="000000" w:sz="4" w:space="0"/>
              <w:bottom w:val="single" w:color="000000" w:sz="4" w:space="0"/>
              <w:right w:val="single" w:color="000000" w:sz="4" w:space="0"/>
            </w:tcBorders>
            <w:vAlign w:val="center"/>
          </w:tcPr>
          <w:p w14:paraId="290B7C6F">
            <w:pPr>
              <w:widowControl/>
              <w:adjustRightInd w:val="0"/>
              <w:snapToGrid w:val="0"/>
              <w:spacing w:after="200"/>
              <w:jc w:val="center"/>
              <w:rPr>
                <w:rFonts w:ascii="宋体" w:hAnsi="宋体" w:cs="宋体"/>
                <w:color w:val="auto"/>
                <w:kern w:val="0"/>
                <w:szCs w:val="21"/>
                <w:highlight w:val="none"/>
              </w:rPr>
            </w:pPr>
            <w:r>
              <w:rPr>
                <w:rFonts w:hint="eastAsia" w:ascii="宋体" w:hAnsi="宋体" w:cs="宋体"/>
                <w:color w:val="auto"/>
                <w:kern w:val="0"/>
                <w:szCs w:val="21"/>
                <w:highlight w:val="none"/>
              </w:rPr>
              <w:t>更换时间节点</w:t>
            </w:r>
          </w:p>
        </w:tc>
        <w:tc>
          <w:tcPr>
            <w:tcW w:w="2183" w:type="pct"/>
            <w:tcBorders>
              <w:top w:val="single" w:color="000000" w:sz="4" w:space="0"/>
              <w:left w:val="single" w:color="000000" w:sz="4" w:space="0"/>
              <w:bottom w:val="single" w:color="000000" w:sz="4" w:space="0"/>
              <w:right w:val="single" w:color="000000" w:sz="4" w:space="0"/>
            </w:tcBorders>
            <w:vAlign w:val="center"/>
          </w:tcPr>
          <w:p w14:paraId="7989738C">
            <w:pPr>
              <w:widowControl/>
              <w:adjustRightInd w:val="0"/>
              <w:snapToGrid w:val="0"/>
              <w:spacing w:after="200"/>
              <w:jc w:val="left"/>
              <w:rPr>
                <w:rFonts w:ascii="宋体" w:hAnsi="宋体" w:cs="宋体"/>
                <w:color w:val="auto"/>
                <w:kern w:val="0"/>
                <w:szCs w:val="21"/>
                <w:highlight w:val="none"/>
              </w:rPr>
            </w:pPr>
            <w:r>
              <w:rPr>
                <w:rFonts w:hint="eastAsia" w:ascii="宋体" w:hAnsi="宋体" w:cs="宋体"/>
                <w:color w:val="auto"/>
                <w:kern w:val="0"/>
                <w:szCs w:val="21"/>
                <w:highlight w:val="none"/>
              </w:rPr>
              <w:t>按照承诺进行直饮水机</w:t>
            </w:r>
            <w:r>
              <w:rPr>
                <w:rFonts w:hint="eastAsia" w:ascii="宋体" w:hAnsi="宋体" w:cs="宋体"/>
                <w:color w:val="auto"/>
                <w:szCs w:val="21"/>
                <w:highlight w:val="none"/>
              </w:rPr>
              <w:t>的更换滤芯</w:t>
            </w:r>
            <w:r>
              <w:rPr>
                <w:rFonts w:hint="eastAsia" w:ascii="宋体" w:hAnsi="宋体" w:cs="宋体"/>
                <w:color w:val="auto"/>
                <w:kern w:val="0"/>
                <w:szCs w:val="21"/>
                <w:highlight w:val="none"/>
              </w:rPr>
              <w:t>工作，按时完成，满分。更换时间延迟一天扣1分，以此类推。</w:t>
            </w:r>
          </w:p>
        </w:tc>
        <w:tc>
          <w:tcPr>
            <w:tcW w:w="522" w:type="pct"/>
            <w:tcBorders>
              <w:top w:val="single" w:color="000000" w:sz="4" w:space="0"/>
              <w:left w:val="single" w:color="000000" w:sz="4" w:space="0"/>
              <w:bottom w:val="single" w:color="000000" w:sz="4" w:space="0"/>
              <w:right w:val="single" w:color="000000" w:sz="4" w:space="0"/>
            </w:tcBorders>
            <w:vAlign w:val="center"/>
          </w:tcPr>
          <w:p w14:paraId="2E5CE2B2">
            <w:pPr>
              <w:widowControl/>
              <w:adjustRightInd w:val="0"/>
              <w:snapToGrid w:val="0"/>
              <w:spacing w:after="200"/>
              <w:jc w:val="left"/>
              <w:rPr>
                <w:rFonts w:ascii="宋体" w:hAnsi="宋体" w:cs="宋体"/>
                <w:color w:val="auto"/>
                <w:kern w:val="0"/>
                <w:szCs w:val="21"/>
                <w:highlight w:val="none"/>
              </w:rPr>
            </w:pPr>
          </w:p>
        </w:tc>
        <w:tc>
          <w:tcPr>
            <w:tcW w:w="374" w:type="pct"/>
            <w:tcBorders>
              <w:top w:val="single" w:color="000000" w:sz="4" w:space="0"/>
              <w:left w:val="single" w:color="000000" w:sz="4" w:space="0"/>
              <w:bottom w:val="single" w:color="000000" w:sz="4" w:space="0"/>
              <w:right w:val="single" w:color="000000" w:sz="8" w:space="0"/>
            </w:tcBorders>
            <w:vAlign w:val="center"/>
          </w:tcPr>
          <w:p w14:paraId="68AD3EBB">
            <w:pPr>
              <w:widowControl/>
              <w:adjustRightInd w:val="0"/>
              <w:snapToGrid w:val="0"/>
              <w:spacing w:after="200"/>
              <w:jc w:val="left"/>
              <w:rPr>
                <w:rFonts w:ascii="宋体" w:hAnsi="宋体" w:cs="宋体"/>
                <w:color w:val="auto"/>
                <w:kern w:val="0"/>
                <w:szCs w:val="21"/>
                <w:highlight w:val="none"/>
              </w:rPr>
            </w:pPr>
          </w:p>
        </w:tc>
      </w:tr>
      <w:tr w14:paraId="7BF943C3">
        <w:tblPrEx>
          <w:tblCellMar>
            <w:top w:w="0" w:type="dxa"/>
            <w:left w:w="108" w:type="dxa"/>
            <w:bottom w:w="0" w:type="dxa"/>
            <w:right w:w="108" w:type="dxa"/>
          </w:tblCellMar>
        </w:tblPrEx>
        <w:trPr>
          <w:trHeight w:val="1418" w:hRule="atLeast"/>
        </w:trPr>
        <w:tc>
          <w:tcPr>
            <w:tcW w:w="249" w:type="pct"/>
            <w:tcBorders>
              <w:top w:val="single" w:color="000000" w:sz="4" w:space="0"/>
              <w:left w:val="single" w:color="000000" w:sz="8" w:space="0"/>
              <w:bottom w:val="nil"/>
              <w:right w:val="single" w:color="000000" w:sz="4" w:space="0"/>
            </w:tcBorders>
            <w:vAlign w:val="center"/>
          </w:tcPr>
          <w:p w14:paraId="21287DF7">
            <w:pPr>
              <w:widowControl/>
              <w:adjustRightInd w:val="0"/>
              <w:snapToGrid w:val="0"/>
              <w:spacing w:after="200"/>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415" w:type="pct"/>
            <w:tcBorders>
              <w:top w:val="single" w:color="000000" w:sz="4" w:space="0"/>
              <w:left w:val="single" w:color="000000" w:sz="4" w:space="0"/>
              <w:bottom w:val="nil"/>
              <w:right w:val="single" w:color="000000" w:sz="4" w:space="0"/>
            </w:tcBorders>
            <w:vAlign w:val="center"/>
          </w:tcPr>
          <w:p w14:paraId="1D5BC8A8">
            <w:pPr>
              <w:widowControl/>
              <w:adjustRightInd w:val="0"/>
              <w:snapToGrid w:val="0"/>
              <w:spacing w:after="200"/>
              <w:jc w:val="center"/>
              <w:rPr>
                <w:rFonts w:ascii="宋体" w:hAnsi="宋体" w:cs="宋体"/>
                <w:color w:val="auto"/>
                <w:kern w:val="0"/>
                <w:szCs w:val="21"/>
                <w:highlight w:val="none"/>
              </w:rPr>
            </w:pPr>
            <w:r>
              <w:rPr>
                <w:rFonts w:hint="eastAsia" w:ascii="宋体" w:hAnsi="宋体" w:cs="宋体"/>
                <w:color w:val="auto"/>
                <w:kern w:val="0"/>
                <w:szCs w:val="21"/>
                <w:highlight w:val="none"/>
              </w:rPr>
              <w:t>快速响应</w:t>
            </w:r>
          </w:p>
        </w:tc>
        <w:tc>
          <w:tcPr>
            <w:tcW w:w="447" w:type="pct"/>
            <w:tcBorders>
              <w:top w:val="single" w:color="000000" w:sz="4" w:space="0"/>
              <w:left w:val="single" w:color="000000" w:sz="4" w:space="0"/>
              <w:bottom w:val="single" w:color="000000" w:sz="4" w:space="0"/>
              <w:right w:val="single" w:color="000000" w:sz="4" w:space="0"/>
            </w:tcBorders>
            <w:vAlign w:val="center"/>
          </w:tcPr>
          <w:p w14:paraId="2C0D2F3B">
            <w:pPr>
              <w:widowControl/>
              <w:adjustRightInd w:val="0"/>
              <w:snapToGrid w:val="0"/>
              <w:spacing w:after="200"/>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806" w:type="pct"/>
            <w:tcBorders>
              <w:top w:val="single" w:color="000000" w:sz="4" w:space="0"/>
              <w:left w:val="single" w:color="000000" w:sz="4" w:space="0"/>
              <w:bottom w:val="single" w:color="000000" w:sz="4" w:space="0"/>
              <w:right w:val="single" w:color="000000" w:sz="4" w:space="0"/>
            </w:tcBorders>
            <w:vAlign w:val="center"/>
          </w:tcPr>
          <w:p w14:paraId="20211AB4">
            <w:pPr>
              <w:widowControl/>
              <w:adjustRightInd w:val="0"/>
              <w:snapToGrid w:val="0"/>
              <w:spacing w:after="200"/>
              <w:jc w:val="center"/>
              <w:rPr>
                <w:rFonts w:ascii="宋体" w:hAnsi="宋体" w:cs="宋体"/>
                <w:color w:val="auto"/>
                <w:kern w:val="0"/>
                <w:szCs w:val="21"/>
                <w:highlight w:val="none"/>
              </w:rPr>
            </w:pPr>
            <w:r>
              <w:rPr>
                <w:rFonts w:hint="eastAsia" w:ascii="宋体" w:hAnsi="宋体" w:cs="宋体"/>
                <w:color w:val="auto"/>
                <w:kern w:val="0"/>
                <w:szCs w:val="21"/>
                <w:highlight w:val="none"/>
              </w:rPr>
              <w:t>响应时间</w:t>
            </w:r>
          </w:p>
        </w:tc>
        <w:tc>
          <w:tcPr>
            <w:tcW w:w="2183" w:type="pct"/>
            <w:tcBorders>
              <w:top w:val="single" w:color="000000" w:sz="4" w:space="0"/>
              <w:left w:val="single" w:color="000000" w:sz="4" w:space="0"/>
              <w:bottom w:val="single" w:color="000000" w:sz="4" w:space="0"/>
              <w:right w:val="single" w:color="000000" w:sz="4" w:space="0"/>
            </w:tcBorders>
            <w:vAlign w:val="center"/>
          </w:tcPr>
          <w:p w14:paraId="0694E55B">
            <w:pPr>
              <w:jc w:val="left"/>
              <w:rPr>
                <w:rFonts w:ascii="宋体" w:hAnsi="宋体" w:cs="宋体"/>
                <w:color w:val="auto"/>
                <w:kern w:val="0"/>
                <w:szCs w:val="21"/>
                <w:highlight w:val="none"/>
              </w:rPr>
            </w:pPr>
            <w:r>
              <w:rPr>
                <w:rFonts w:hint="eastAsia" w:ascii="宋体" w:hAnsi="宋体" w:cs="宋体"/>
                <w:color w:val="auto"/>
                <w:szCs w:val="21"/>
                <w:highlight w:val="none"/>
              </w:rPr>
              <w:t>快速响应365天*24h电话报修及其它形式的报修服务。按照承诺的响应时间：响应时间每延迟半小时扣2分；到达现场时间每延迟1小时扣2分，以此类推。</w:t>
            </w:r>
          </w:p>
        </w:tc>
        <w:tc>
          <w:tcPr>
            <w:tcW w:w="522" w:type="pct"/>
            <w:tcBorders>
              <w:top w:val="single" w:color="000000" w:sz="4" w:space="0"/>
              <w:left w:val="single" w:color="000000" w:sz="4" w:space="0"/>
              <w:bottom w:val="single" w:color="000000" w:sz="4" w:space="0"/>
              <w:right w:val="single" w:color="000000" w:sz="4" w:space="0"/>
            </w:tcBorders>
            <w:vAlign w:val="center"/>
          </w:tcPr>
          <w:p w14:paraId="7479D0D5">
            <w:pPr>
              <w:widowControl/>
              <w:adjustRightInd w:val="0"/>
              <w:snapToGrid w:val="0"/>
              <w:spacing w:after="200"/>
              <w:jc w:val="left"/>
              <w:rPr>
                <w:rFonts w:ascii="宋体" w:hAnsi="宋体" w:cs="宋体"/>
                <w:color w:val="auto"/>
                <w:kern w:val="0"/>
                <w:szCs w:val="21"/>
                <w:highlight w:val="none"/>
              </w:rPr>
            </w:pPr>
          </w:p>
        </w:tc>
        <w:tc>
          <w:tcPr>
            <w:tcW w:w="374" w:type="pct"/>
            <w:tcBorders>
              <w:top w:val="single" w:color="000000" w:sz="4" w:space="0"/>
              <w:left w:val="single" w:color="000000" w:sz="4" w:space="0"/>
              <w:bottom w:val="single" w:color="000000" w:sz="4" w:space="0"/>
              <w:right w:val="single" w:color="000000" w:sz="8" w:space="0"/>
            </w:tcBorders>
            <w:vAlign w:val="center"/>
          </w:tcPr>
          <w:p w14:paraId="59E714BB">
            <w:pPr>
              <w:widowControl/>
              <w:adjustRightInd w:val="0"/>
              <w:snapToGrid w:val="0"/>
              <w:spacing w:after="200"/>
              <w:jc w:val="left"/>
              <w:rPr>
                <w:rFonts w:ascii="宋体" w:hAnsi="宋体" w:cs="宋体"/>
                <w:color w:val="auto"/>
                <w:kern w:val="0"/>
                <w:szCs w:val="21"/>
                <w:highlight w:val="none"/>
              </w:rPr>
            </w:pPr>
          </w:p>
        </w:tc>
      </w:tr>
      <w:tr w14:paraId="7AA2C8B9">
        <w:tblPrEx>
          <w:tblCellMar>
            <w:top w:w="0" w:type="dxa"/>
            <w:left w:w="108" w:type="dxa"/>
            <w:bottom w:w="0" w:type="dxa"/>
            <w:right w:w="108" w:type="dxa"/>
          </w:tblCellMar>
        </w:tblPrEx>
        <w:trPr>
          <w:trHeight w:val="20" w:hRule="atLeast"/>
        </w:trPr>
        <w:tc>
          <w:tcPr>
            <w:tcW w:w="249" w:type="pct"/>
            <w:tcBorders>
              <w:top w:val="single" w:color="000000" w:sz="4" w:space="0"/>
              <w:left w:val="single" w:color="000000" w:sz="8" w:space="0"/>
              <w:bottom w:val="nil"/>
              <w:right w:val="single" w:color="000000" w:sz="4" w:space="0"/>
            </w:tcBorders>
            <w:vAlign w:val="center"/>
          </w:tcPr>
          <w:p w14:paraId="78DF9C93">
            <w:pPr>
              <w:widowControl/>
              <w:adjustRightInd w:val="0"/>
              <w:snapToGrid w:val="0"/>
              <w:spacing w:after="200"/>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415" w:type="pct"/>
            <w:tcBorders>
              <w:top w:val="single" w:color="000000" w:sz="4" w:space="0"/>
              <w:left w:val="single" w:color="000000" w:sz="4" w:space="0"/>
              <w:bottom w:val="nil"/>
              <w:right w:val="single" w:color="000000" w:sz="4" w:space="0"/>
            </w:tcBorders>
            <w:vAlign w:val="center"/>
          </w:tcPr>
          <w:p w14:paraId="152F9F4F">
            <w:pPr>
              <w:widowControl/>
              <w:adjustRightInd w:val="0"/>
              <w:snapToGrid w:val="0"/>
              <w:spacing w:after="200"/>
              <w:jc w:val="center"/>
              <w:rPr>
                <w:rFonts w:ascii="宋体" w:hAnsi="宋体" w:cs="宋体"/>
                <w:color w:val="auto"/>
                <w:kern w:val="0"/>
                <w:szCs w:val="21"/>
                <w:highlight w:val="none"/>
              </w:rPr>
            </w:pPr>
            <w:r>
              <w:rPr>
                <w:rFonts w:hint="eastAsia" w:ascii="宋体" w:hAnsi="宋体" w:cs="宋体"/>
                <w:color w:val="auto"/>
                <w:kern w:val="0"/>
                <w:szCs w:val="21"/>
                <w:highlight w:val="none"/>
              </w:rPr>
              <w:t>服务人员专业度</w:t>
            </w:r>
          </w:p>
        </w:tc>
        <w:tc>
          <w:tcPr>
            <w:tcW w:w="447" w:type="pct"/>
            <w:tcBorders>
              <w:top w:val="single" w:color="000000" w:sz="4" w:space="0"/>
              <w:left w:val="single" w:color="000000" w:sz="4" w:space="0"/>
              <w:bottom w:val="nil"/>
              <w:right w:val="single" w:color="000000" w:sz="4" w:space="0"/>
            </w:tcBorders>
            <w:vAlign w:val="center"/>
          </w:tcPr>
          <w:p w14:paraId="63705BEB">
            <w:pPr>
              <w:widowControl/>
              <w:adjustRightInd w:val="0"/>
              <w:snapToGrid w:val="0"/>
              <w:spacing w:after="200"/>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06" w:type="pct"/>
            <w:tcBorders>
              <w:top w:val="single" w:color="000000" w:sz="4" w:space="0"/>
              <w:left w:val="single" w:color="000000" w:sz="4" w:space="0"/>
              <w:bottom w:val="single" w:color="000000" w:sz="4" w:space="0"/>
              <w:right w:val="single" w:color="000000" w:sz="4" w:space="0"/>
            </w:tcBorders>
            <w:vAlign w:val="center"/>
          </w:tcPr>
          <w:p w14:paraId="5EEF4119">
            <w:pPr>
              <w:widowControl/>
              <w:adjustRightInd w:val="0"/>
              <w:snapToGrid w:val="0"/>
              <w:spacing w:after="200"/>
              <w:jc w:val="left"/>
              <w:rPr>
                <w:rFonts w:ascii="宋体" w:hAnsi="宋体" w:cs="宋体"/>
                <w:color w:val="auto"/>
                <w:kern w:val="0"/>
                <w:szCs w:val="21"/>
                <w:highlight w:val="none"/>
              </w:rPr>
            </w:pPr>
            <w:r>
              <w:rPr>
                <w:rFonts w:hint="eastAsia" w:ascii="宋体" w:hAnsi="宋体" w:cs="宋体"/>
                <w:color w:val="auto"/>
                <w:kern w:val="0"/>
                <w:szCs w:val="21"/>
                <w:highlight w:val="none"/>
              </w:rPr>
              <w:t>服务及作业方式是否达标</w:t>
            </w:r>
          </w:p>
        </w:tc>
        <w:tc>
          <w:tcPr>
            <w:tcW w:w="2183" w:type="pct"/>
            <w:tcBorders>
              <w:top w:val="single" w:color="000000" w:sz="4" w:space="0"/>
              <w:left w:val="single" w:color="000000" w:sz="4" w:space="0"/>
              <w:bottom w:val="single" w:color="000000" w:sz="4" w:space="0"/>
              <w:right w:val="single" w:color="000000" w:sz="4" w:space="0"/>
            </w:tcBorders>
            <w:vAlign w:val="center"/>
          </w:tcPr>
          <w:p w14:paraId="0696F303">
            <w:pPr>
              <w:widowControl/>
              <w:adjustRightInd w:val="0"/>
              <w:snapToGrid w:val="0"/>
              <w:spacing w:after="200"/>
              <w:jc w:val="left"/>
              <w:rPr>
                <w:rFonts w:ascii="宋体" w:hAnsi="宋体" w:cs="宋体"/>
                <w:color w:val="auto"/>
                <w:kern w:val="0"/>
                <w:szCs w:val="21"/>
                <w:highlight w:val="none"/>
              </w:rPr>
            </w:pPr>
            <w:r>
              <w:rPr>
                <w:rFonts w:hint="eastAsia" w:ascii="宋体" w:hAnsi="宋体" w:cs="宋体"/>
                <w:color w:val="auto"/>
                <w:kern w:val="0"/>
                <w:szCs w:val="21"/>
                <w:highlight w:val="none"/>
              </w:rPr>
              <w:t>出现达不到合同要求的服务/作业方式或流程不符合行业标准，或因人员严重违反工作纪律、出现违约行为影响采购人形象，给采购人带来负面影响，经采购人告诫仍不改正的，每次扣5分，以此类推。</w:t>
            </w:r>
          </w:p>
        </w:tc>
        <w:tc>
          <w:tcPr>
            <w:tcW w:w="522" w:type="pct"/>
            <w:tcBorders>
              <w:top w:val="single" w:color="000000" w:sz="4" w:space="0"/>
              <w:left w:val="single" w:color="000000" w:sz="4" w:space="0"/>
              <w:bottom w:val="single" w:color="000000" w:sz="4" w:space="0"/>
              <w:right w:val="single" w:color="000000" w:sz="4" w:space="0"/>
            </w:tcBorders>
            <w:vAlign w:val="center"/>
          </w:tcPr>
          <w:p w14:paraId="6CBFB78D">
            <w:pPr>
              <w:widowControl/>
              <w:adjustRightInd w:val="0"/>
              <w:snapToGrid w:val="0"/>
              <w:spacing w:after="200"/>
              <w:jc w:val="left"/>
              <w:rPr>
                <w:rFonts w:ascii="宋体" w:hAnsi="宋体" w:cs="宋体"/>
                <w:color w:val="auto"/>
                <w:kern w:val="0"/>
                <w:szCs w:val="21"/>
                <w:highlight w:val="none"/>
              </w:rPr>
            </w:pPr>
          </w:p>
        </w:tc>
        <w:tc>
          <w:tcPr>
            <w:tcW w:w="374" w:type="pct"/>
            <w:tcBorders>
              <w:top w:val="single" w:color="000000" w:sz="4" w:space="0"/>
              <w:left w:val="single" w:color="000000" w:sz="4" w:space="0"/>
              <w:bottom w:val="single" w:color="000000" w:sz="4" w:space="0"/>
              <w:right w:val="single" w:color="000000" w:sz="8" w:space="0"/>
            </w:tcBorders>
            <w:vAlign w:val="center"/>
          </w:tcPr>
          <w:p w14:paraId="52925FBB">
            <w:pPr>
              <w:widowControl/>
              <w:adjustRightInd w:val="0"/>
              <w:snapToGrid w:val="0"/>
              <w:spacing w:after="200"/>
              <w:jc w:val="left"/>
              <w:rPr>
                <w:rFonts w:ascii="宋体" w:hAnsi="宋体" w:cs="宋体"/>
                <w:color w:val="auto"/>
                <w:kern w:val="0"/>
                <w:szCs w:val="21"/>
                <w:highlight w:val="none"/>
              </w:rPr>
            </w:pPr>
          </w:p>
        </w:tc>
      </w:tr>
      <w:tr w14:paraId="178F903C">
        <w:tblPrEx>
          <w:tblCellMar>
            <w:top w:w="0" w:type="dxa"/>
            <w:left w:w="108" w:type="dxa"/>
            <w:bottom w:w="0" w:type="dxa"/>
            <w:right w:w="108" w:type="dxa"/>
          </w:tblCellMar>
        </w:tblPrEx>
        <w:trPr>
          <w:trHeight w:val="1416" w:hRule="atLeast"/>
        </w:trPr>
        <w:tc>
          <w:tcPr>
            <w:tcW w:w="249" w:type="pct"/>
            <w:tcBorders>
              <w:top w:val="single" w:color="000000" w:sz="4" w:space="0"/>
              <w:left w:val="single" w:color="000000" w:sz="8" w:space="0"/>
              <w:bottom w:val="nil"/>
              <w:right w:val="nil"/>
            </w:tcBorders>
            <w:vAlign w:val="center"/>
          </w:tcPr>
          <w:p w14:paraId="21B96317">
            <w:pPr>
              <w:widowControl/>
              <w:adjustRightInd w:val="0"/>
              <w:snapToGrid w:val="0"/>
              <w:spacing w:after="200"/>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415" w:type="pct"/>
            <w:tcBorders>
              <w:top w:val="single" w:color="000000" w:sz="4" w:space="0"/>
              <w:left w:val="single" w:color="000000" w:sz="4" w:space="0"/>
              <w:bottom w:val="nil"/>
              <w:right w:val="single" w:color="000000" w:sz="4" w:space="0"/>
            </w:tcBorders>
            <w:vAlign w:val="center"/>
          </w:tcPr>
          <w:p w14:paraId="17205248">
            <w:pPr>
              <w:widowControl/>
              <w:adjustRightInd w:val="0"/>
              <w:snapToGrid w:val="0"/>
              <w:spacing w:after="200"/>
              <w:jc w:val="center"/>
              <w:rPr>
                <w:rFonts w:ascii="宋体" w:hAnsi="宋体" w:cs="宋体"/>
                <w:color w:val="auto"/>
                <w:kern w:val="0"/>
                <w:szCs w:val="21"/>
                <w:highlight w:val="none"/>
              </w:rPr>
            </w:pPr>
            <w:r>
              <w:rPr>
                <w:rFonts w:hint="eastAsia" w:ascii="宋体" w:hAnsi="宋体" w:cs="宋体"/>
                <w:color w:val="auto"/>
                <w:kern w:val="0"/>
                <w:szCs w:val="21"/>
                <w:highlight w:val="none"/>
              </w:rPr>
              <w:t>执行力</w:t>
            </w:r>
          </w:p>
        </w:tc>
        <w:tc>
          <w:tcPr>
            <w:tcW w:w="447" w:type="pct"/>
            <w:tcBorders>
              <w:top w:val="single" w:color="000000" w:sz="4" w:space="0"/>
              <w:left w:val="nil"/>
              <w:bottom w:val="single" w:color="000000" w:sz="4" w:space="0"/>
              <w:right w:val="single" w:color="000000" w:sz="4" w:space="0"/>
            </w:tcBorders>
            <w:vAlign w:val="center"/>
          </w:tcPr>
          <w:p w14:paraId="14D070FF">
            <w:pPr>
              <w:widowControl/>
              <w:adjustRightInd w:val="0"/>
              <w:snapToGrid w:val="0"/>
              <w:spacing w:after="200"/>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06" w:type="pct"/>
            <w:tcBorders>
              <w:top w:val="single" w:color="000000" w:sz="4" w:space="0"/>
              <w:left w:val="single" w:color="000000" w:sz="4" w:space="0"/>
              <w:bottom w:val="single" w:color="000000" w:sz="4" w:space="0"/>
              <w:right w:val="single" w:color="000000" w:sz="4" w:space="0"/>
            </w:tcBorders>
            <w:vAlign w:val="center"/>
          </w:tcPr>
          <w:p w14:paraId="1ADB0B6B">
            <w:pPr>
              <w:widowControl/>
              <w:adjustRightInd w:val="0"/>
              <w:snapToGrid w:val="0"/>
              <w:spacing w:after="200"/>
              <w:jc w:val="left"/>
              <w:rPr>
                <w:rFonts w:ascii="宋体" w:hAnsi="宋体" w:cs="宋体"/>
                <w:color w:val="auto"/>
                <w:kern w:val="0"/>
                <w:szCs w:val="21"/>
                <w:highlight w:val="none"/>
              </w:rPr>
            </w:pPr>
            <w:r>
              <w:rPr>
                <w:rFonts w:hint="eastAsia" w:ascii="宋体" w:hAnsi="宋体" w:cs="宋体"/>
                <w:color w:val="auto"/>
                <w:kern w:val="0"/>
                <w:szCs w:val="21"/>
                <w:highlight w:val="none"/>
              </w:rPr>
              <w:t>对甲方书面指令、口头指令、突发任务配合度、响应度及执行度</w:t>
            </w:r>
          </w:p>
        </w:tc>
        <w:tc>
          <w:tcPr>
            <w:tcW w:w="2183" w:type="pct"/>
            <w:tcBorders>
              <w:top w:val="single" w:color="000000" w:sz="4" w:space="0"/>
              <w:left w:val="single" w:color="000000" w:sz="4" w:space="0"/>
              <w:bottom w:val="single" w:color="000000" w:sz="4" w:space="0"/>
              <w:right w:val="single" w:color="000000" w:sz="4" w:space="0"/>
            </w:tcBorders>
            <w:vAlign w:val="center"/>
          </w:tcPr>
          <w:p w14:paraId="30A4285C">
            <w:pPr>
              <w:widowControl/>
              <w:adjustRightInd w:val="0"/>
              <w:snapToGrid w:val="0"/>
              <w:spacing w:after="200"/>
              <w:jc w:val="left"/>
              <w:rPr>
                <w:rFonts w:ascii="宋体" w:hAnsi="宋体" w:cs="宋体"/>
                <w:color w:val="auto"/>
                <w:kern w:val="0"/>
                <w:szCs w:val="21"/>
                <w:highlight w:val="none"/>
              </w:rPr>
            </w:pPr>
            <w:r>
              <w:rPr>
                <w:rFonts w:hint="eastAsia" w:ascii="宋体" w:hAnsi="宋体" w:cs="宋体"/>
                <w:color w:val="auto"/>
                <w:kern w:val="0"/>
                <w:szCs w:val="21"/>
                <w:highlight w:val="none"/>
              </w:rPr>
              <w:t>响应速度一般，沟通不够主动或很少沟通，每次扣1分；不予配合，响应速度慢，对采购人的沟通要求无响应或严重滞后，每次扣5分。</w:t>
            </w:r>
          </w:p>
        </w:tc>
        <w:tc>
          <w:tcPr>
            <w:tcW w:w="522" w:type="pct"/>
            <w:tcBorders>
              <w:top w:val="single" w:color="000000" w:sz="4" w:space="0"/>
              <w:left w:val="single" w:color="000000" w:sz="4" w:space="0"/>
              <w:bottom w:val="single" w:color="000000" w:sz="4" w:space="0"/>
              <w:right w:val="single" w:color="000000" w:sz="4" w:space="0"/>
            </w:tcBorders>
            <w:vAlign w:val="center"/>
          </w:tcPr>
          <w:p w14:paraId="25EE67D0">
            <w:pPr>
              <w:widowControl/>
              <w:adjustRightInd w:val="0"/>
              <w:snapToGrid w:val="0"/>
              <w:spacing w:after="200"/>
              <w:jc w:val="left"/>
              <w:rPr>
                <w:rFonts w:ascii="宋体" w:hAnsi="宋体" w:cs="宋体"/>
                <w:color w:val="auto"/>
                <w:kern w:val="0"/>
                <w:szCs w:val="21"/>
                <w:highlight w:val="none"/>
              </w:rPr>
            </w:pPr>
          </w:p>
        </w:tc>
        <w:tc>
          <w:tcPr>
            <w:tcW w:w="374" w:type="pct"/>
            <w:tcBorders>
              <w:top w:val="single" w:color="000000" w:sz="4" w:space="0"/>
              <w:left w:val="single" w:color="000000" w:sz="4" w:space="0"/>
              <w:bottom w:val="single" w:color="000000" w:sz="4" w:space="0"/>
              <w:right w:val="single" w:color="000000" w:sz="8" w:space="0"/>
            </w:tcBorders>
            <w:vAlign w:val="center"/>
          </w:tcPr>
          <w:p w14:paraId="3DBDF860">
            <w:pPr>
              <w:widowControl/>
              <w:adjustRightInd w:val="0"/>
              <w:snapToGrid w:val="0"/>
              <w:spacing w:after="200"/>
              <w:jc w:val="left"/>
              <w:rPr>
                <w:rFonts w:ascii="宋体" w:hAnsi="宋体" w:cs="宋体"/>
                <w:color w:val="auto"/>
                <w:kern w:val="0"/>
                <w:szCs w:val="21"/>
                <w:highlight w:val="none"/>
              </w:rPr>
            </w:pPr>
          </w:p>
        </w:tc>
      </w:tr>
      <w:tr w14:paraId="4F255631">
        <w:tblPrEx>
          <w:tblCellMar>
            <w:top w:w="0" w:type="dxa"/>
            <w:left w:w="108" w:type="dxa"/>
            <w:bottom w:w="0" w:type="dxa"/>
            <w:right w:w="108" w:type="dxa"/>
          </w:tblCellMar>
        </w:tblPrEx>
        <w:trPr>
          <w:trHeight w:val="20" w:hRule="atLeast"/>
        </w:trPr>
        <w:tc>
          <w:tcPr>
            <w:tcW w:w="66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67538CE">
            <w:pPr>
              <w:widowControl/>
              <w:adjustRightInd w:val="0"/>
              <w:snapToGrid w:val="0"/>
              <w:spacing w:after="200"/>
              <w:jc w:val="center"/>
              <w:rPr>
                <w:rFonts w:ascii="宋体" w:hAnsi="宋体" w:cs="宋体"/>
                <w:color w:val="auto"/>
                <w:kern w:val="0"/>
                <w:szCs w:val="21"/>
                <w:highlight w:val="none"/>
              </w:rPr>
            </w:pPr>
            <w:r>
              <w:rPr>
                <w:rFonts w:hint="eastAsia" w:ascii="宋体" w:hAnsi="宋体" w:cs="宋体"/>
                <w:color w:val="auto"/>
                <w:kern w:val="0"/>
                <w:szCs w:val="21"/>
                <w:highlight w:val="none"/>
              </w:rPr>
              <w:t>满分</w:t>
            </w:r>
          </w:p>
        </w:tc>
        <w:tc>
          <w:tcPr>
            <w:tcW w:w="44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4841127">
            <w:pPr>
              <w:widowControl/>
              <w:adjustRightInd w:val="0"/>
              <w:snapToGrid w:val="0"/>
              <w:spacing w:after="200"/>
              <w:jc w:val="center"/>
              <w:rPr>
                <w:rFonts w:ascii="宋体" w:hAnsi="宋体" w:cs="宋体"/>
                <w:color w:val="auto"/>
                <w:kern w:val="0"/>
                <w:szCs w:val="21"/>
                <w:highlight w:val="none"/>
              </w:rPr>
            </w:pPr>
            <w:r>
              <w:rPr>
                <w:rFonts w:hint="eastAsia" w:ascii="宋体" w:hAnsi="宋体" w:cs="宋体"/>
                <w:color w:val="auto"/>
                <w:kern w:val="0"/>
                <w:szCs w:val="21"/>
                <w:highlight w:val="none"/>
              </w:rPr>
              <w:t>100分</w:t>
            </w:r>
          </w:p>
        </w:tc>
        <w:tc>
          <w:tcPr>
            <w:tcW w:w="80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2C3F30C">
            <w:pPr>
              <w:widowControl/>
              <w:adjustRightInd w:val="0"/>
              <w:snapToGrid w:val="0"/>
              <w:spacing w:after="200"/>
              <w:jc w:val="left"/>
              <w:rPr>
                <w:rFonts w:ascii="宋体" w:hAnsi="宋体" w:cs="宋体"/>
                <w:color w:val="auto"/>
                <w:kern w:val="0"/>
                <w:szCs w:val="21"/>
                <w:highlight w:val="none"/>
              </w:rPr>
            </w:pPr>
          </w:p>
        </w:tc>
        <w:tc>
          <w:tcPr>
            <w:tcW w:w="2183"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77ADBA5">
            <w:pPr>
              <w:widowControl/>
              <w:adjustRightInd w:val="0"/>
              <w:snapToGrid w:val="0"/>
              <w:spacing w:after="200"/>
              <w:jc w:val="left"/>
              <w:rPr>
                <w:rFonts w:ascii="宋体" w:hAnsi="宋体" w:cs="宋体"/>
                <w:color w:val="auto"/>
                <w:kern w:val="0"/>
                <w:szCs w:val="21"/>
                <w:highlight w:val="none"/>
              </w:rPr>
            </w:pPr>
          </w:p>
        </w:tc>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D98443E">
            <w:pPr>
              <w:widowControl/>
              <w:adjustRightInd w:val="0"/>
              <w:snapToGrid w:val="0"/>
              <w:spacing w:after="200"/>
              <w:jc w:val="left"/>
              <w:rPr>
                <w:rFonts w:ascii="宋体" w:hAnsi="宋体" w:cs="宋体"/>
                <w:color w:val="auto"/>
                <w:kern w:val="0"/>
                <w:szCs w:val="21"/>
                <w:highlight w:val="none"/>
              </w:rPr>
            </w:pPr>
          </w:p>
        </w:tc>
        <w:tc>
          <w:tcPr>
            <w:tcW w:w="37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F894A27">
            <w:pPr>
              <w:widowControl/>
              <w:adjustRightInd w:val="0"/>
              <w:snapToGrid w:val="0"/>
              <w:spacing w:after="200"/>
              <w:jc w:val="left"/>
              <w:rPr>
                <w:rFonts w:ascii="宋体" w:hAnsi="宋体" w:cs="宋体"/>
                <w:color w:val="auto"/>
                <w:kern w:val="0"/>
                <w:szCs w:val="21"/>
                <w:highlight w:val="none"/>
              </w:rPr>
            </w:pPr>
          </w:p>
        </w:tc>
      </w:tr>
      <w:tr w14:paraId="3DCF8977">
        <w:tblPrEx>
          <w:tblCellMar>
            <w:top w:w="0" w:type="dxa"/>
            <w:left w:w="108" w:type="dxa"/>
            <w:bottom w:w="0" w:type="dxa"/>
            <w:right w:w="108" w:type="dxa"/>
          </w:tblCellMar>
        </w:tblPrEx>
        <w:trPr>
          <w:trHeight w:val="20" w:hRule="atLeast"/>
        </w:trPr>
        <w:tc>
          <w:tcPr>
            <w:tcW w:w="5000" w:type="pct"/>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14:paraId="18826D84">
            <w:pPr>
              <w:widowControl/>
              <w:adjustRightInd w:val="0"/>
              <w:snapToGrid w:val="0"/>
              <w:spacing w:after="200"/>
              <w:jc w:val="left"/>
              <w:rPr>
                <w:rFonts w:ascii="宋体" w:hAnsi="宋体" w:cs="宋体"/>
                <w:color w:val="auto"/>
                <w:kern w:val="0"/>
                <w:szCs w:val="21"/>
                <w:highlight w:val="none"/>
              </w:rPr>
            </w:pPr>
            <w:r>
              <w:rPr>
                <w:rFonts w:hint="eastAsia" w:ascii="宋体" w:hAnsi="宋体" w:cs="宋体"/>
                <w:color w:val="auto"/>
                <w:kern w:val="0"/>
                <w:szCs w:val="21"/>
                <w:highlight w:val="none"/>
              </w:rPr>
              <w:t>考核小组签字：</w:t>
            </w:r>
          </w:p>
          <w:p w14:paraId="6BA00C0A">
            <w:pPr>
              <w:widowControl/>
              <w:adjustRightInd w:val="0"/>
              <w:snapToGrid w:val="0"/>
              <w:spacing w:after="200"/>
              <w:jc w:val="left"/>
              <w:rPr>
                <w:rFonts w:ascii="宋体" w:hAnsi="宋体" w:cs="宋体"/>
                <w:color w:val="auto"/>
                <w:kern w:val="0"/>
                <w:szCs w:val="21"/>
                <w:highlight w:val="none"/>
              </w:rPr>
            </w:pPr>
          </w:p>
          <w:p w14:paraId="4D1A9964">
            <w:pPr>
              <w:widowControl/>
              <w:adjustRightInd w:val="0"/>
              <w:snapToGrid w:val="0"/>
              <w:spacing w:after="200"/>
              <w:jc w:val="left"/>
              <w:rPr>
                <w:rFonts w:ascii="宋体" w:hAnsi="宋体" w:cs="宋体"/>
                <w:color w:val="auto"/>
                <w:kern w:val="0"/>
                <w:szCs w:val="21"/>
                <w:highlight w:val="none"/>
              </w:rPr>
            </w:pPr>
          </w:p>
        </w:tc>
      </w:tr>
      <w:tr w14:paraId="3DBE9A25">
        <w:tblPrEx>
          <w:tblCellMar>
            <w:top w:w="0" w:type="dxa"/>
            <w:left w:w="108" w:type="dxa"/>
            <w:bottom w:w="0" w:type="dxa"/>
            <w:right w:w="108" w:type="dxa"/>
          </w:tblCellMar>
        </w:tblPrEx>
        <w:trPr>
          <w:trHeight w:val="20" w:hRule="atLeast"/>
        </w:trPr>
        <w:tc>
          <w:tcPr>
            <w:tcW w:w="5000" w:type="pct"/>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14:paraId="1DD32CA2">
            <w:pPr>
              <w:rPr>
                <w:rFonts w:ascii="宋体" w:hAnsi="宋体" w:cs="宋体"/>
                <w:color w:val="auto"/>
                <w:szCs w:val="21"/>
                <w:highlight w:val="none"/>
              </w:rPr>
            </w:pPr>
            <w:r>
              <w:rPr>
                <w:rFonts w:hint="eastAsia" w:ascii="宋体" w:hAnsi="宋体" w:cs="宋体"/>
                <w:color w:val="auto"/>
                <w:szCs w:val="21"/>
                <w:highlight w:val="none"/>
              </w:rPr>
              <w:t>备注：后勤办公室每两个月对供应商进行验收考核，根据考核结果支付相应款项。</w:t>
            </w:r>
            <w:r>
              <w:rPr>
                <w:rFonts w:hint="eastAsia" w:ascii="宋体" w:hAnsi="宋体" w:cs="宋体"/>
                <w:color w:val="auto"/>
                <w:szCs w:val="21"/>
                <w:highlight w:val="none"/>
              </w:rPr>
              <w:cr/>
            </w:r>
            <w:r>
              <w:rPr>
                <w:rFonts w:hint="eastAsia" w:ascii="宋体" w:hAnsi="宋体" w:cs="宋体"/>
                <w:color w:val="auto"/>
                <w:szCs w:val="21"/>
                <w:highlight w:val="none"/>
              </w:rPr>
              <w:t>1、考核结果分为：①良好、②一般、③不合格。</w:t>
            </w:r>
            <w:r>
              <w:rPr>
                <w:rFonts w:hint="eastAsia" w:ascii="宋体" w:hAnsi="宋体" w:cs="宋体"/>
                <w:color w:val="auto"/>
                <w:szCs w:val="21"/>
                <w:highlight w:val="none"/>
              </w:rPr>
              <w:cr/>
            </w:r>
            <w:r>
              <w:rPr>
                <w:rFonts w:hint="eastAsia" w:ascii="宋体" w:hAnsi="宋体" w:cs="宋体"/>
                <w:color w:val="auto"/>
                <w:szCs w:val="21"/>
                <w:highlight w:val="none"/>
              </w:rPr>
              <w:t>2、考核得分：①大于等于95分的为良好；②80分至94分为一般；③小于80分的为不合格。</w:t>
            </w:r>
          </w:p>
          <w:p w14:paraId="0CA3415C">
            <w:pPr>
              <w:rPr>
                <w:rFonts w:ascii="宋体" w:hAnsi="宋体" w:cs="宋体"/>
                <w:color w:val="auto"/>
                <w:kern w:val="0"/>
                <w:szCs w:val="21"/>
                <w:highlight w:val="none"/>
              </w:rPr>
            </w:pPr>
            <w:r>
              <w:rPr>
                <w:rFonts w:hint="eastAsia" w:ascii="宋体" w:hAnsi="宋体" w:cs="宋体"/>
                <w:color w:val="auto"/>
                <w:szCs w:val="21"/>
                <w:highlight w:val="none"/>
              </w:rPr>
              <w:t>3、考核结果使用：考核涉及的所有扣款，均在应付款项中扣除。①供应商应按良好的标准为采购人提供服务；②若考核结果为一般时，每扣除一分，采购人将按人民币500元整扣除；③当考核结果为不合格时，采购人要求按承诺的内容要求整改，整改不合格或拒不整改的，采购人有权解除合同。</w:t>
            </w:r>
          </w:p>
        </w:tc>
      </w:tr>
    </w:tbl>
    <w:p w14:paraId="42299CFE">
      <w:pPr>
        <w:tabs>
          <w:tab w:val="left" w:pos="180"/>
          <w:tab w:val="left" w:pos="1620"/>
        </w:tabs>
        <w:spacing w:line="360" w:lineRule="auto"/>
        <w:jc w:val="left"/>
        <w:rPr>
          <w:rFonts w:ascii="宋体" w:hAnsi="宋体" w:cs="宋体"/>
          <w:b/>
          <w:bCs/>
          <w:color w:val="auto"/>
          <w:sz w:val="24"/>
          <w:szCs w:val="24"/>
          <w:highlight w:val="none"/>
        </w:rPr>
        <w:sectPr>
          <w:pgSz w:w="11906" w:h="16838"/>
          <w:pgMar w:top="1440" w:right="1800" w:bottom="1440" w:left="1800" w:header="851" w:footer="992" w:gutter="0"/>
          <w:cols w:space="425" w:num="1"/>
          <w:docGrid w:type="lines" w:linePitch="312" w:charSpace="0"/>
        </w:sectPr>
      </w:pPr>
    </w:p>
    <w:p w14:paraId="2AF9C1D8">
      <w:pPr>
        <w:tabs>
          <w:tab w:val="left" w:pos="180"/>
          <w:tab w:val="left" w:pos="1620"/>
        </w:tabs>
        <w:spacing w:line="360" w:lineRule="auto"/>
        <w:jc w:val="left"/>
        <w:rPr>
          <w:rFonts w:ascii="宋体" w:hAnsi="宋体" w:cs="宋体"/>
          <w:b/>
          <w:bCs/>
          <w:color w:val="auto"/>
          <w:sz w:val="24"/>
          <w:szCs w:val="24"/>
          <w:highlight w:val="none"/>
        </w:rPr>
      </w:pPr>
    </w:p>
    <w:p w14:paraId="43120C1B">
      <w:pPr>
        <w:tabs>
          <w:tab w:val="left" w:pos="180"/>
          <w:tab w:val="left" w:pos="1620"/>
        </w:tabs>
        <w:spacing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四、采购人联系方式</w:t>
      </w:r>
    </w:p>
    <w:p w14:paraId="2F9D347F">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名称：广西医科大学第一附属医院</w:t>
      </w:r>
    </w:p>
    <w:p w14:paraId="7B60B80D">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地址：广西南宁市双拥路6号</w:t>
      </w:r>
    </w:p>
    <w:p w14:paraId="76C9AED2">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联系方式：黄工，0771-5356589</w:t>
      </w:r>
    </w:p>
    <w:p w14:paraId="6472F345">
      <w:pPr>
        <w:spacing w:after="120" w:line="360" w:lineRule="auto"/>
        <w:rPr>
          <w:rFonts w:ascii="仿宋" w:hAnsi="仿宋" w:eastAsia="仿宋" w:cs="仿宋"/>
          <w:b/>
          <w:bCs/>
          <w:color w:val="auto"/>
          <w:sz w:val="28"/>
          <w:szCs w:val="28"/>
          <w:highlight w:val="none"/>
        </w:rPr>
      </w:pPr>
    </w:p>
    <w:p w14:paraId="6AE888C8">
      <w:pPr>
        <w:spacing w:after="120" w:line="360" w:lineRule="auto"/>
        <w:rPr>
          <w:rFonts w:ascii="仿宋" w:hAnsi="仿宋" w:eastAsia="仿宋" w:cs="仿宋"/>
          <w:b/>
          <w:bCs/>
          <w:color w:val="auto"/>
          <w:sz w:val="28"/>
          <w:szCs w:val="28"/>
          <w:highlight w:val="none"/>
        </w:rPr>
      </w:pPr>
    </w:p>
    <w:p w14:paraId="06E5E6E9">
      <w:pPr>
        <w:spacing w:after="120" w:line="360" w:lineRule="auto"/>
        <w:rPr>
          <w:rFonts w:ascii="仿宋" w:hAnsi="仿宋" w:eastAsia="仿宋" w:cs="仿宋"/>
          <w:b/>
          <w:bCs/>
          <w:color w:val="auto"/>
          <w:sz w:val="28"/>
          <w:szCs w:val="28"/>
          <w:highlight w:val="none"/>
        </w:rPr>
      </w:pPr>
    </w:p>
    <w:p w14:paraId="6CB73165">
      <w:pPr>
        <w:spacing w:after="120" w:line="360" w:lineRule="auto"/>
        <w:rPr>
          <w:rFonts w:ascii="仿宋" w:hAnsi="仿宋" w:eastAsia="仿宋" w:cs="仿宋"/>
          <w:b/>
          <w:bCs/>
          <w:color w:val="auto"/>
          <w:sz w:val="28"/>
          <w:szCs w:val="28"/>
          <w:highlight w:val="none"/>
        </w:rPr>
        <w:sectPr>
          <w:pgSz w:w="11906" w:h="16838"/>
          <w:pgMar w:top="1440" w:right="1800" w:bottom="1440" w:left="1800" w:header="851" w:footer="992" w:gutter="0"/>
          <w:cols w:space="425" w:num="1"/>
          <w:docGrid w:type="lines" w:linePitch="312" w:charSpace="0"/>
        </w:sectPr>
      </w:pPr>
    </w:p>
    <w:p w14:paraId="1F7E4724">
      <w:pPr>
        <w:spacing w:line="360" w:lineRule="auto"/>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报价材料要求</w:t>
      </w:r>
    </w:p>
    <w:p w14:paraId="6FD9D0E5">
      <w:pPr>
        <w:pStyle w:val="20"/>
        <w:spacing w:line="360" w:lineRule="auto"/>
        <w:ind w:firstLine="562"/>
        <w:rPr>
          <w:rFonts w:ascii="仿宋" w:hAnsi="仿宋" w:eastAsia="仿宋" w:cs="仿宋"/>
          <w:b/>
          <w:color w:val="auto"/>
          <w:szCs w:val="28"/>
          <w:highlight w:val="none"/>
        </w:rPr>
      </w:pPr>
    </w:p>
    <w:p w14:paraId="64AFCE1F">
      <w:pPr>
        <w:pStyle w:val="20"/>
        <w:spacing w:line="360" w:lineRule="auto"/>
        <w:ind w:firstLine="560"/>
        <w:jc w:val="left"/>
        <w:rPr>
          <w:rFonts w:ascii="仿宋" w:hAnsi="仿宋" w:eastAsia="仿宋" w:cs="仿宋"/>
          <w:bCs/>
          <w:color w:val="auto"/>
          <w:szCs w:val="28"/>
          <w:highlight w:val="none"/>
        </w:rPr>
      </w:pPr>
      <w:r>
        <w:rPr>
          <w:rFonts w:hint="eastAsia" w:ascii="仿宋" w:hAnsi="仿宋" w:eastAsia="仿宋" w:cs="仿宋"/>
          <w:bCs/>
          <w:color w:val="auto"/>
          <w:szCs w:val="28"/>
          <w:highlight w:val="none"/>
        </w:rPr>
        <w:t>1.营业执照复印件</w:t>
      </w:r>
    </w:p>
    <w:p w14:paraId="27FD14C2">
      <w:pPr>
        <w:pStyle w:val="20"/>
        <w:spacing w:line="360" w:lineRule="auto"/>
        <w:ind w:firstLine="560"/>
        <w:jc w:val="left"/>
        <w:rPr>
          <w:rFonts w:ascii="仿宋" w:hAnsi="仿宋" w:eastAsia="仿宋" w:cs="仿宋"/>
          <w:bCs/>
          <w:color w:val="auto"/>
          <w:szCs w:val="28"/>
          <w:highlight w:val="none"/>
        </w:rPr>
      </w:pPr>
      <w:r>
        <w:rPr>
          <w:rFonts w:hint="eastAsia" w:ascii="仿宋" w:hAnsi="仿宋" w:eastAsia="仿宋" w:cs="仿宋"/>
          <w:bCs/>
          <w:color w:val="auto"/>
          <w:szCs w:val="28"/>
          <w:highlight w:val="none"/>
        </w:rPr>
        <w:t>2.法定代表人身份证明或法人授权委托书及被授权人身份证明和联系方式；</w:t>
      </w:r>
    </w:p>
    <w:p w14:paraId="3F9B8521">
      <w:pPr>
        <w:pStyle w:val="20"/>
        <w:spacing w:line="360" w:lineRule="auto"/>
        <w:ind w:firstLine="560"/>
        <w:jc w:val="left"/>
        <w:rPr>
          <w:rFonts w:ascii="仿宋" w:hAnsi="仿宋" w:eastAsia="仿宋" w:cs="仿宋"/>
          <w:bCs/>
          <w:color w:val="auto"/>
          <w:szCs w:val="28"/>
          <w:highlight w:val="none"/>
        </w:rPr>
      </w:pPr>
      <w:r>
        <w:rPr>
          <w:rFonts w:hint="eastAsia" w:ascii="仿宋" w:hAnsi="仿宋" w:eastAsia="仿宋" w:cs="仿宋"/>
          <w:bCs/>
          <w:color w:val="auto"/>
          <w:szCs w:val="28"/>
          <w:highlight w:val="none"/>
        </w:rPr>
        <w:t>3.报价表【报价不得高于预算价，仅一次报价】；</w:t>
      </w:r>
    </w:p>
    <w:p w14:paraId="41D8E5B8">
      <w:pPr>
        <w:pStyle w:val="20"/>
        <w:spacing w:line="360" w:lineRule="auto"/>
        <w:ind w:firstLine="560"/>
        <w:jc w:val="left"/>
        <w:rPr>
          <w:rFonts w:ascii="仿宋" w:hAnsi="仿宋" w:eastAsia="仿宋" w:cs="仿宋"/>
          <w:bCs/>
          <w:color w:val="auto"/>
          <w:szCs w:val="28"/>
          <w:highlight w:val="none"/>
        </w:rPr>
      </w:pPr>
      <w:r>
        <w:rPr>
          <w:rFonts w:hint="eastAsia" w:ascii="仿宋" w:hAnsi="仿宋" w:eastAsia="仿宋" w:cs="仿宋"/>
          <w:bCs/>
          <w:color w:val="auto"/>
          <w:szCs w:val="28"/>
          <w:highlight w:val="none"/>
        </w:rPr>
        <w:t>4.声明函、公司直接控股股东信息表、公司直接管理关系信息表</w:t>
      </w:r>
    </w:p>
    <w:p w14:paraId="155376AD">
      <w:pPr>
        <w:pStyle w:val="20"/>
        <w:spacing w:line="360" w:lineRule="auto"/>
        <w:ind w:firstLine="560"/>
        <w:jc w:val="left"/>
        <w:rPr>
          <w:rFonts w:ascii="仿宋" w:hAnsi="仿宋" w:eastAsia="仿宋" w:cs="仿宋"/>
          <w:bCs/>
          <w:color w:val="auto"/>
          <w:szCs w:val="28"/>
          <w:highlight w:val="none"/>
        </w:rPr>
      </w:pPr>
      <w:r>
        <w:rPr>
          <w:rFonts w:hint="eastAsia" w:ascii="仿宋" w:hAnsi="仿宋" w:eastAsia="仿宋" w:cs="仿宋"/>
          <w:bCs/>
          <w:color w:val="auto"/>
          <w:szCs w:val="28"/>
          <w:highlight w:val="none"/>
        </w:rPr>
        <w:t xml:space="preserve">5、服务要求响应表 </w:t>
      </w:r>
    </w:p>
    <w:p w14:paraId="5DC12CC3">
      <w:pPr>
        <w:pStyle w:val="20"/>
        <w:spacing w:line="360" w:lineRule="auto"/>
        <w:ind w:firstLine="560"/>
        <w:jc w:val="left"/>
        <w:rPr>
          <w:rFonts w:ascii="仿宋" w:hAnsi="仿宋" w:eastAsia="仿宋" w:cs="仿宋"/>
          <w:bCs/>
          <w:color w:val="auto"/>
          <w:szCs w:val="28"/>
          <w:highlight w:val="none"/>
        </w:rPr>
      </w:pPr>
      <w:r>
        <w:rPr>
          <w:rFonts w:hint="eastAsia" w:ascii="仿宋" w:hAnsi="仿宋" w:eastAsia="仿宋" w:cs="仿宋"/>
          <w:bCs/>
          <w:color w:val="auto"/>
          <w:szCs w:val="28"/>
          <w:highlight w:val="none"/>
        </w:rPr>
        <w:t>6.供应商自行根据评标方案提供评审资料。</w:t>
      </w:r>
    </w:p>
    <w:p w14:paraId="028E291E">
      <w:pPr>
        <w:pStyle w:val="20"/>
        <w:spacing w:line="360" w:lineRule="auto"/>
        <w:ind w:firstLine="562"/>
        <w:jc w:val="left"/>
        <w:rPr>
          <w:rFonts w:ascii="仿宋" w:hAnsi="仿宋" w:eastAsia="仿宋" w:cs="仿宋"/>
          <w:b/>
          <w:color w:val="auto"/>
          <w:szCs w:val="28"/>
          <w:highlight w:val="none"/>
        </w:rPr>
      </w:pPr>
      <w:r>
        <w:rPr>
          <w:rFonts w:hint="eastAsia" w:ascii="仿宋" w:hAnsi="仿宋" w:eastAsia="仿宋" w:cs="仿宋"/>
          <w:b/>
          <w:color w:val="auto"/>
          <w:szCs w:val="28"/>
          <w:highlight w:val="none"/>
        </w:rPr>
        <w:t>以上材料必须提交。</w:t>
      </w:r>
    </w:p>
    <w:p w14:paraId="4E3E1FE5">
      <w:pPr>
        <w:ind w:firstLine="560" w:firstLineChars="200"/>
        <w:rPr>
          <w:rFonts w:ascii="仿宋" w:hAnsi="仿宋" w:eastAsia="仿宋" w:cs="仿宋"/>
          <w:bCs/>
          <w:color w:val="auto"/>
          <w:sz w:val="28"/>
          <w:szCs w:val="28"/>
          <w:highlight w:val="none"/>
        </w:rPr>
        <w:sectPr>
          <w:footerReference r:id="rId6" w:type="first"/>
          <w:footerReference r:id="rId5" w:type="default"/>
          <w:pgSz w:w="11906" w:h="16838"/>
          <w:pgMar w:top="1418" w:right="1555" w:bottom="1418" w:left="1531" w:header="851" w:footer="992" w:gutter="0"/>
          <w:cols w:space="720" w:num="1"/>
          <w:titlePg/>
          <w:docGrid w:type="lines" w:linePitch="312" w:charSpace="0"/>
        </w:sectPr>
      </w:pPr>
      <w:r>
        <w:rPr>
          <w:rFonts w:hint="eastAsia" w:ascii="仿宋" w:hAnsi="仿宋" w:eastAsia="仿宋" w:cs="仿宋"/>
          <w:bCs/>
          <w:color w:val="auto"/>
          <w:sz w:val="28"/>
          <w:szCs w:val="28"/>
          <w:highlight w:val="none"/>
        </w:rPr>
        <w:t>备注：资料要求密封并加盖单位公章，所提交资料恕不退回，请按要求准备文件，如未按要求提供资料，视为不能响应需求。提交时间为2025年8月1日上午8:00—9:00，逾期不予受理（可提前提交）。递交或邮寄地址：广西南宁市青秀区中山街道广西医科大学附属小学正门，黄工</w:t>
      </w:r>
      <w:r>
        <w:rPr>
          <w:rFonts w:ascii="仿宋" w:hAnsi="仿宋" w:eastAsia="仿宋" w:cs="仿宋"/>
          <w:bCs/>
          <w:color w:val="auto"/>
          <w:sz w:val="28"/>
          <w:szCs w:val="28"/>
          <w:highlight w:val="none"/>
        </w:rPr>
        <w:t>0771-5356589</w:t>
      </w:r>
      <w:r>
        <w:rPr>
          <w:rFonts w:hint="eastAsia" w:ascii="仿宋" w:hAnsi="仿宋" w:eastAsia="仿宋" w:cs="仿宋"/>
          <w:bCs/>
          <w:color w:val="auto"/>
          <w:sz w:val="28"/>
          <w:szCs w:val="28"/>
          <w:highlight w:val="none"/>
        </w:rPr>
        <w:t>。</w:t>
      </w:r>
    </w:p>
    <w:p w14:paraId="34E099D5">
      <w:pPr>
        <w:snapToGrid w:val="0"/>
        <w:spacing w:before="50" w:after="120" w:afterLines="50"/>
        <w:jc w:val="center"/>
        <w:rPr>
          <w:rFonts w:ascii="宋体" w:hAnsi="宋体" w:cs="宋体"/>
          <w:b/>
          <w:color w:val="auto"/>
          <w:sz w:val="32"/>
          <w:szCs w:val="32"/>
          <w:highlight w:val="none"/>
        </w:rPr>
      </w:pPr>
      <w:r>
        <w:rPr>
          <w:rFonts w:hint="eastAsia" w:ascii="宋体" w:hAnsi="宋体" w:cs="宋体"/>
          <w:b/>
          <w:color w:val="auto"/>
          <w:sz w:val="32"/>
          <w:szCs w:val="32"/>
          <w:highlight w:val="none"/>
        </w:rPr>
        <w:t>声明函</w:t>
      </w:r>
    </w:p>
    <w:p w14:paraId="022EFE03">
      <w:pPr>
        <w:tabs>
          <w:tab w:val="left" w:pos="7200"/>
        </w:tabs>
        <w:spacing w:line="360" w:lineRule="auto"/>
        <w:rPr>
          <w:rFonts w:ascii="宋体" w:hAnsi="宋体" w:cs="宋体"/>
          <w:color w:val="auto"/>
          <w:szCs w:val="21"/>
          <w:highlight w:val="none"/>
        </w:rPr>
      </w:pPr>
      <w:r>
        <w:rPr>
          <w:rFonts w:hint="eastAsia" w:ascii="宋体" w:hAnsi="宋体" w:cs="宋体"/>
          <w:color w:val="auto"/>
          <w:szCs w:val="21"/>
          <w:highlight w:val="none"/>
        </w:rPr>
        <w:t>致：_</w:t>
      </w:r>
      <w:r>
        <w:rPr>
          <w:rFonts w:hint="eastAsia" w:ascii="宋体" w:hAnsi="宋体" w:cs="宋体"/>
          <w:color w:val="auto"/>
          <w:szCs w:val="21"/>
          <w:highlight w:val="none"/>
          <w:u w:val="single"/>
        </w:rPr>
        <w:t>广西医科大学第一附属医院</w:t>
      </w:r>
    </w:p>
    <w:p w14:paraId="065FB0B6">
      <w:pPr>
        <w:snapToGrid w:val="0"/>
        <w:ind w:firstLine="420" w:firstLineChars="200"/>
        <w:jc w:val="left"/>
        <w:rPr>
          <w:b/>
          <w:bCs/>
          <w:color w:val="auto"/>
          <w:szCs w:val="21"/>
          <w:highlight w:val="none"/>
          <w:u w:val="single"/>
        </w:rPr>
      </w:pPr>
      <w:r>
        <w:rPr>
          <w:rFonts w:hint="eastAsia" w:ascii="宋体" w:hAnsi="宋体" w:cs="宋体"/>
          <w:color w:val="auto"/>
          <w:szCs w:val="21"/>
          <w:highlight w:val="none"/>
        </w:rPr>
        <w:t>我方愿意参加贵方组织的</w:t>
      </w:r>
      <w:r>
        <w:rPr>
          <w:rFonts w:hint="eastAsia" w:ascii="宋体" w:hAnsi="宋体" w:cs="宋体"/>
          <w:color w:val="auto"/>
          <w:szCs w:val="21"/>
          <w:highlight w:val="none"/>
          <w:u w:val="single"/>
        </w:rPr>
        <w:t>中国-东盟医疗保健合作中心(广西)直饮水机安装及租赁服务</w:t>
      </w:r>
      <w:r>
        <w:rPr>
          <w:rFonts w:hint="eastAsia" w:ascii="宋体" w:hAnsi="宋体" w:cs="宋体"/>
          <w:color w:val="auto"/>
          <w:szCs w:val="21"/>
          <w:highlight w:val="none"/>
        </w:rPr>
        <w:t>项目的竞标，为便于贵方公正、择优地确定成交人，我方声明如下：</w:t>
      </w:r>
    </w:p>
    <w:p w14:paraId="23DC8C1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我方不是为本次采购项目提供整体设计、规范编制或者项目管理、监理、检测等货物的供应商；在获知本项目采购信息后，与采购人聘请的为此项目提供咨询货物的公司及其附属机构没有任何联系。其他关系详见“公司直接控股股东信息表”、“公司直接管理关系信息表”。</w:t>
      </w:r>
    </w:p>
    <w:p w14:paraId="6E8C3F3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2.经查询，在“信用中国”和“中国政府采购网”网站我方未被列入失信被执行人、重大税收违法案件当事人名单、政府采购严重违法失信行为记录名单。</w:t>
      </w:r>
    </w:p>
    <w:p w14:paraId="31CC5BB1">
      <w:pPr>
        <w:pStyle w:val="18"/>
        <w:spacing w:after="120"/>
        <w:ind w:firstLine="420" w:firstLineChars="200"/>
        <w:rPr>
          <w:rFonts w:cs="宋体"/>
          <w:color w:val="auto"/>
          <w:szCs w:val="21"/>
          <w:highlight w:val="none"/>
        </w:rPr>
      </w:pPr>
      <w:r>
        <w:rPr>
          <w:rFonts w:cs="宋体"/>
          <w:color w:val="auto"/>
          <w:sz w:val="21"/>
          <w:szCs w:val="21"/>
          <w:highlight w:val="none"/>
        </w:rPr>
        <w:t>3</w:t>
      </w:r>
      <w:r>
        <w:rPr>
          <w:rFonts w:hint="eastAsia" w:cs="宋体"/>
          <w:color w:val="auto"/>
          <w:sz w:val="21"/>
          <w:szCs w:val="21"/>
          <w:highlight w:val="none"/>
        </w:rPr>
        <w:t>、我方有以下行为之一的，同意贵方将我方列入不良行为记录：</w:t>
      </w:r>
    </w:p>
    <w:p w14:paraId="0D1A56F2">
      <w:pPr>
        <w:pStyle w:val="18"/>
        <w:spacing w:after="120"/>
        <w:ind w:left="420" w:leftChars="200" w:firstLine="420" w:firstLineChars="200"/>
        <w:rPr>
          <w:rFonts w:cs="宋体"/>
          <w:color w:val="auto"/>
          <w:szCs w:val="21"/>
          <w:highlight w:val="none"/>
        </w:rPr>
      </w:pPr>
      <w:r>
        <w:rPr>
          <w:rFonts w:cs="宋体"/>
          <w:color w:val="auto"/>
          <w:sz w:val="21"/>
          <w:szCs w:val="21"/>
          <w:highlight w:val="none"/>
        </w:rPr>
        <w:t>1)</w:t>
      </w:r>
      <w:r>
        <w:rPr>
          <w:rFonts w:cs="宋体"/>
          <w:color w:val="auto"/>
          <w:sz w:val="21"/>
          <w:szCs w:val="21"/>
          <w:highlight w:val="none"/>
        </w:rPr>
        <w:tab/>
      </w:r>
      <w:r>
        <w:rPr>
          <w:rFonts w:hint="eastAsia" w:cs="宋体"/>
          <w:color w:val="auto"/>
          <w:sz w:val="21"/>
          <w:szCs w:val="21"/>
          <w:highlight w:val="none"/>
        </w:rPr>
        <w:t>提供虚假材料谋取中标、成交的。</w:t>
      </w:r>
    </w:p>
    <w:p w14:paraId="7A74BDF3">
      <w:pPr>
        <w:pStyle w:val="18"/>
        <w:spacing w:after="120"/>
        <w:ind w:left="420" w:leftChars="200" w:firstLine="420" w:firstLineChars="200"/>
        <w:rPr>
          <w:rFonts w:cs="宋体"/>
          <w:color w:val="auto"/>
          <w:szCs w:val="21"/>
          <w:highlight w:val="none"/>
        </w:rPr>
      </w:pPr>
      <w:r>
        <w:rPr>
          <w:rFonts w:cs="宋体"/>
          <w:color w:val="auto"/>
          <w:sz w:val="21"/>
          <w:szCs w:val="21"/>
          <w:highlight w:val="none"/>
        </w:rPr>
        <w:t>2)</w:t>
      </w:r>
      <w:r>
        <w:rPr>
          <w:rFonts w:cs="宋体"/>
          <w:color w:val="auto"/>
          <w:sz w:val="21"/>
          <w:szCs w:val="21"/>
          <w:highlight w:val="none"/>
        </w:rPr>
        <w:tab/>
      </w:r>
      <w:r>
        <w:rPr>
          <w:rFonts w:hint="eastAsia" w:cs="宋体"/>
          <w:color w:val="auto"/>
          <w:sz w:val="21"/>
          <w:szCs w:val="21"/>
          <w:highlight w:val="none"/>
        </w:rPr>
        <w:t>采取不正当手段诋毁、排挤其他供应商的。</w:t>
      </w:r>
    </w:p>
    <w:p w14:paraId="3F5A5201">
      <w:pPr>
        <w:pStyle w:val="18"/>
        <w:spacing w:after="120"/>
        <w:ind w:left="420" w:leftChars="200" w:firstLine="420" w:firstLineChars="200"/>
        <w:rPr>
          <w:rFonts w:cs="宋体"/>
          <w:color w:val="auto"/>
          <w:szCs w:val="21"/>
          <w:highlight w:val="none"/>
        </w:rPr>
      </w:pPr>
      <w:r>
        <w:rPr>
          <w:rFonts w:cs="宋体"/>
          <w:color w:val="auto"/>
          <w:sz w:val="21"/>
          <w:szCs w:val="21"/>
          <w:highlight w:val="none"/>
        </w:rPr>
        <w:t>3)</w:t>
      </w:r>
      <w:r>
        <w:rPr>
          <w:rFonts w:cs="宋体"/>
          <w:color w:val="auto"/>
          <w:sz w:val="21"/>
          <w:szCs w:val="21"/>
          <w:highlight w:val="none"/>
        </w:rPr>
        <w:tab/>
      </w:r>
      <w:r>
        <w:rPr>
          <w:rFonts w:hint="eastAsia" w:cs="宋体"/>
          <w:color w:val="auto"/>
          <w:sz w:val="21"/>
          <w:szCs w:val="21"/>
          <w:highlight w:val="none"/>
        </w:rPr>
        <w:t>与我院工作人员、其他供应商或者招标代理机构恶意串通的。</w:t>
      </w:r>
    </w:p>
    <w:p w14:paraId="23776A35">
      <w:pPr>
        <w:pStyle w:val="18"/>
        <w:spacing w:after="120"/>
        <w:ind w:left="420" w:leftChars="200" w:firstLine="420" w:firstLineChars="200"/>
        <w:rPr>
          <w:rFonts w:cs="宋体"/>
          <w:color w:val="auto"/>
          <w:szCs w:val="21"/>
          <w:highlight w:val="none"/>
        </w:rPr>
      </w:pPr>
      <w:r>
        <w:rPr>
          <w:rFonts w:cs="宋体"/>
          <w:color w:val="auto"/>
          <w:sz w:val="21"/>
          <w:szCs w:val="21"/>
          <w:highlight w:val="none"/>
        </w:rPr>
        <w:t>4)</w:t>
      </w:r>
      <w:r>
        <w:rPr>
          <w:rFonts w:cs="宋体"/>
          <w:color w:val="auto"/>
          <w:sz w:val="21"/>
          <w:szCs w:val="21"/>
          <w:highlight w:val="none"/>
        </w:rPr>
        <w:tab/>
      </w:r>
      <w:r>
        <w:rPr>
          <w:rFonts w:hint="eastAsia" w:cs="宋体"/>
          <w:color w:val="auto"/>
          <w:sz w:val="21"/>
          <w:szCs w:val="21"/>
          <w:highlight w:val="none"/>
        </w:rPr>
        <w:t>向我院工作人员、招标代理机构行贿或者提供其他不正当利益的。</w:t>
      </w:r>
    </w:p>
    <w:p w14:paraId="3125D3A0">
      <w:pPr>
        <w:pStyle w:val="18"/>
        <w:spacing w:after="120"/>
        <w:ind w:left="420" w:leftChars="200" w:firstLine="420" w:firstLineChars="200"/>
        <w:rPr>
          <w:rFonts w:cs="宋体"/>
          <w:color w:val="auto"/>
          <w:szCs w:val="21"/>
          <w:highlight w:val="none"/>
        </w:rPr>
      </w:pPr>
      <w:r>
        <w:rPr>
          <w:rFonts w:cs="宋体"/>
          <w:color w:val="auto"/>
          <w:sz w:val="21"/>
          <w:szCs w:val="21"/>
          <w:highlight w:val="none"/>
        </w:rPr>
        <w:t>5)</w:t>
      </w:r>
      <w:r>
        <w:rPr>
          <w:rFonts w:cs="宋体"/>
          <w:color w:val="auto"/>
          <w:sz w:val="21"/>
          <w:szCs w:val="21"/>
          <w:highlight w:val="none"/>
        </w:rPr>
        <w:tab/>
      </w:r>
      <w:r>
        <w:rPr>
          <w:rFonts w:hint="eastAsia" w:cs="宋体"/>
          <w:color w:val="auto"/>
          <w:sz w:val="21"/>
          <w:szCs w:val="21"/>
          <w:highlight w:val="none"/>
        </w:rPr>
        <w:t>在招标采购过程中与采购人进行协商谈判的。</w:t>
      </w:r>
    </w:p>
    <w:p w14:paraId="5E4509DE">
      <w:pPr>
        <w:pStyle w:val="18"/>
        <w:spacing w:after="120"/>
        <w:ind w:left="420" w:leftChars="200" w:firstLine="420" w:firstLineChars="200"/>
        <w:rPr>
          <w:rFonts w:cs="宋体"/>
          <w:color w:val="auto"/>
          <w:szCs w:val="21"/>
          <w:highlight w:val="none"/>
        </w:rPr>
      </w:pPr>
      <w:r>
        <w:rPr>
          <w:rFonts w:cs="宋体"/>
          <w:color w:val="auto"/>
          <w:sz w:val="21"/>
          <w:szCs w:val="21"/>
          <w:highlight w:val="none"/>
        </w:rPr>
        <w:t>6)</w:t>
      </w:r>
      <w:r>
        <w:rPr>
          <w:rFonts w:cs="宋体"/>
          <w:color w:val="auto"/>
          <w:sz w:val="21"/>
          <w:szCs w:val="21"/>
          <w:highlight w:val="none"/>
        </w:rPr>
        <w:tab/>
      </w:r>
      <w:r>
        <w:rPr>
          <w:rFonts w:hint="eastAsia" w:cs="宋体"/>
          <w:color w:val="auto"/>
          <w:sz w:val="21"/>
          <w:szCs w:val="21"/>
          <w:highlight w:val="none"/>
        </w:rPr>
        <w:t>拒绝有关部门监督检查或者提供虚假情况的。</w:t>
      </w:r>
    </w:p>
    <w:p w14:paraId="7E58CC83">
      <w:pPr>
        <w:pStyle w:val="18"/>
        <w:spacing w:after="120"/>
        <w:ind w:left="420" w:leftChars="200" w:firstLine="420" w:firstLineChars="200"/>
        <w:rPr>
          <w:rFonts w:cs="宋体"/>
          <w:color w:val="auto"/>
          <w:szCs w:val="21"/>
          <w:highlight w:val="none"/>
        </w:rPr>
      </w:pPr>
      <w:r>
        <w:rPr>
          <w:rFonts w:cs="宋体"/>
          <w:color w:val="auto"/>
          <w:sz w:val="21"/>
          <w:szCs w:val="21"/>
          <w:highlight w:val="none"/>
        </w:rPr>
        <w:t>7)</w:t>
      </w:r>
      <w:r>
        <w:rPr>
          <w:rFonts w:cs="宋体"/>
          <w:color w:val="auto"/>
          <w:sz w:val="21"/>
          <w:szCs w:val="21"/>
          <w:highlight w:val="none"/>
        </w:rPr>
        <w:tab/>
      </w:r>
      <w:r>
        <w:rPr>
          <w:rFonts w:hint="eastAsia" w:cs="宋体"/>
          <w:color w:val="auto"/>
          <w:sz w:val="21"/>
          <w:szCs w:val="21"/>
          <w:highlight w:val="none"/>
        </w:rPr>
        <w:t>供应商向采购小组、竞争性谈判小组或者询价小组成员行贿或者提供其他不正当利益。</w:t>
      </w:r>
    </w:p>
    <w:p w14:paraId="546754DB">
      <w:pPr>
        <w:pStyle w:val="18"/>
        <w:spacing w:after="120"/>
        <w:ind w:left="420" w:leftChars="200" w:firstLine="420" w:firstLineChars="200"/>
        <w:rPr>
          <w:rFonts w:cs="宋体"/>
          <w:color w:val="auto"/>
          <w:szCs w:val="21"/>
          <w:highlight w:val="none"/>
        </w:rPr>
      </w:pPr>
      <w:r>
        <w:rPr>
          <w:rFonts w:cs="宋体"/>
          <w:color w:val="auto"/>
          <w:sz w:val="21"/>
          <w:szCs w:val="21"/>
          <w:highlight w:val="none"/>
        </w:rPr>
        <w:t>8)</w:t>
      </w:r>
      <w:r>
        <w:rPr>
          <w:rFonts w:cs="宋体"/>
          <w:color w:val="auto"/>
          <w:sz w:val="21"/>
          <w:szCs w:val="21"/>
          <w:highlight w:val="none"/>
        </w:rPr>
        <w:tab/>
      </w:r>
      <w:r>
        <w:rPr>
          <w:rFonts w:hint="eastAsia" w:cs="宋体"/>
          <w:color w:val="auto"/>
          <w:sz w:val="21"/>
          <w:szCs w:val="21"/>
          <w:highlight w:val="none"/>
        </w:rPr>
        <w:t>中标或者成交后无正当理由拒不与我院签订采购合同。</w:t>
      </w:r>
    </w:p>
    <w:p w14:paraId="1E2EF8D0">
      <w:pPr>
        <w:pStyle w:val="18"/>
        <w:spacing w:after="120"/>
        <w:ind w:left="420" w:leftChars="200" w:firstLine="420" w:firstLineChars="200"/>
        <w:rPr>
          <w:rFonts w:cs="宋体"/>
          <w:color w:val="auto"/>
          <w:szCs w:val="21"/>
          <w:highlight w:val="none"/>
        </w:rPr>
      </w:pPr>
      <w:r>
        <w:rPr>
          <w:rFonts w:cs="宋体"/>
          <w:color w:val="auto"/>
          <w:sz w:val="21"/>
          <w:szCs w:val="21"/>
          <w:highlight w:val="none"/>
        </w:rPr>
        <w:t>9)</w:t>
      </w:r>
      <w:r>
        <w:rPr>
          <w:rFonts w:cs="宋体"/>
          <w:color w:val="auto"/>
          <w:sz w:val="21"/>
          <w:szCs w:val="21"/>
          <w:highlight w:val="none"/>
        </w:rPr>
        <w:tab/>
      </w:r>
      <w:r>
        <w:rPr>
          <w:rFonts w:hint="eastAsia" w:cs="宋体"/>
          <w:color w:val="auto"/>
          <w:sz w:val="21"/>
          <w:szCs w:val="21"/>
          <w:highlight w:val="none"/>
        </w:rPr>
        <w:t>供应商将采购合同分包、转包（采购合同未禁止分包、转包的除外）。</w:t>
      </w:r>
    </w:p>
    <w:p w14:paraId="143B124D">
      <w:pPr>
        <w:pStyle w:val="18"/>
        <w:spacing w:after="120"/>
        <w:ind w:left="420" w:leftChars="200" w:firstLine="420" w:firstLineChars="200"/>
        <w:rPr>
          <w:rFonts w:cs="宋体"/>
          <w:color w:val="auto"/>
          <w:szCs w:val="21"/>
          <w:highlight w:val="none"/>
        </w:rPr>
      </w:pPr>
      <w:r>
        <w:rPr>
          <w:rFonts w:cs="宋体"/>
          <w:color w:val="auto"/>
          <w:sz w:val="21"/>
          <w:szCs w:val="21"/>
          <w:highlight w:val="none"/>
        </w:rPr>
        <w:t>10)</w:t>
      </w:r>
      <w:r>
        <w:rPr>
          <w:rFonts w:cs="宋体"/>
          <w:color w:val="auto"/>
          <w:sz w:val="21"/>
          <w:szCs w:val="21"/>
          <w:highlight w:val="none"/>
        </w:rPr>
        <w:tab/>
      </w:r>
      <w:r>
        <w:rPr>
          <w:rFonts w:hint="eastAsia" w:cs="宋体"/>
          <w:color w:val="auto"/>
          <w:sz w:val="21"/>
          <w:szCs w:val="21"/>
          <w:highlight w:val="none"/>
        </w:rPr>
        <w:t>供应商提供假冒伪劣产品。</w:t>
      </w:r>
    </w:p>
    <w:p w14:paraId="7AE6F629">
      <w:pPr>
        <w:pStyle w:val="18"/>
        <w:spacing w:after="120"/>
        <w:ind w:left="420" w:leftChars="200" w:firstLine="420" w:firstLineChars="200"/>
        <w:rPr>
          <w:rFonts w:cs="宋体"/>
          <w:color w:val="auto"/>
          <w:szCs w:val="21"/>
          <w:highlight w:val="none"/>
        </w:rPr>
      </w:pPr>
      <w:r>
        <w:rPr>
          <w:rFonts w:cs="宋体"/>
          <w:color w:val="auto"/>
          <w:sz w:val="21"/>
          <w:szCs w:val="21"/>
          <w:highlight w:val="none"/>
        </w:rPr>
        <w:t>11)</w:t>
      </w:r>
      <w:r>
        <w:rPr>
          <w:rFonts w:cs="宋体"/>
          <w:color w:val="auto"/>
          <w:sz w:val="21"/>
          <w:szCs w:val="21"/>
          <w:highlight w:val="none"/>
        </w:rPr>
        <w:tab/>
      </w:r>
      <w:r>
        <w:rPr>
          <w:rFonts w:hint="eastAsia" w:cs="宋体"/>
          <w:color w:val="auto"/>
          <w:sz w:val="21"/>
          <w:szCs w:val="21"/>
          <w:highlight w:val="none"/>
        </w:rPr>
        <w:t>供应商捏造事实、提供虚假材料或者以非法手段取得证明材料进行投诉的。</w:t>
      </w:r>
    </w:p>
    <w:p w14:paraId="3D6C229C">
      <w:pPr>
        <w:pStyle w:val="18"/>
        <w:spacing w:after="120"/>
        <w:ind w:left="420" w:leftChars="200" w:firstLine="420" w:firstLineChars="200"/>
        <w:rPr>
          <w:rFonts w:cs="宋体"/>
          <w:color w:val="auto"/>
          <w:szCs w:val="21"/>
          <w:highlight w:val="none"/>
        </w:rPr>
      </w:pPr>
      <w:r>
        <w:rPr>
          <w:rFonts w:cs="宋体"/>
          <w:color w:val="auto"/>
          <w:sz w:val="21"/>
          <w:szCs w:val="21"/>
          <w:highlight w:val="none"/>
        </w:rPr>
        <w:t>12)</w:t>
      </w:r>
      <w:r>
        <w:rPr>
          <w:rFonts w:cs="宋体"/>
          <w:color w:val="auto"/>
          <w:sz w:val="21"/>
          <w:szCs w:val="21"/>
          <w:highlight w:val="none"/>
        </w:rPr>
        <w:tab/>
      </w:r>
      <w:r>
        <w:rPr>
          <w:rFonts w:hint="eastAsia" w:cs="宋体"/>
          <w:color w:val="auto"/>
          <w:sz w:val="21"/>
          <w:szCs w:val="21"/>
          <w:highlight w:val="none"/>
        </w:rPr>
        <w:t>供应商擅自变更、中止或者终止采购合同。</w:t>
      </w:r>
    </w:p>
    <w:p w14:paraId="77041322">
      <w:pPr>
        <w:pStyle w:val="18"/>
        <w:spacing w:after="120"/>
        <w:ind w:left="420" w:leftChars="200" w:firstLine="420" w:firstLineChars="200"/>
        <w:rPr>
          <w:rFonts w:cs="宋体"/>
          <w:color w:val="auto"/>
          <w:szCs w:val="21"/>
          <w:highlight w:val="none"/>
        </w:rPr>
      </w:pPr>
      <w:r>
        <w:rPr>
          <w:rFonts w:cs="宋体"/>
          <w:color w:val="auto"/>
          <w:sz w:val="21"/>
          <w:szCs w:val="21"/>
          <w:highlight w:val="none"/>
        </w:rPr>
        <w:t>13)</w:t>
      </w:r>
      <w:r>
        <w:rPr>
          <w:rFonts w:cs="宋体"/>
          <w:color w:val="auto"/>
          <w:sz w:val="21"/>
          <w:szCs w:val="21"/>
          <w:highlight w:val="none"/>
        </w:rPr>
        <w:tab/>
      </w:r>
      <w:r>
        <w:rPr>
          <w:rFonts w:hint="eastAsia" w:cs="宋体"/>
          <w:color w:val="auto"/>
          <w:sz w:val="21"/>
          <w:szCs w:val="21"/>
          <w:highlight w:val="none"/>
        </w:rPr>
        <w:t>供应商直接或者间接从我院工作人员或者采购代理机构处获得其他供应商的相关情况并修改其报价文件或者响应文件。</w:t>
      </w:r>
    </w:p>
    <w:p w14:paraId="5999B701">
      <w:pPr>
        <w:pStyle w:val="18"/>
        <w:spacing w:after="120"/>
        <w:ind w:left="420" w:leftChars="200" w:firstLine="420" w:firstLineChars="200"/>
        <w:rPr>
          <w:rFonts w:cs="宋体"/>
          <w:color w:val="auto"/>
          <w:szCs w:val="21"/>
          <w:highlight w:val="none"/>
        </w:rPr>
      </w:pPr>
      <w:r>
        <w:rPr>
          <w:rFonts w:cs="宋体"/>
          <w:color w:val="auto"/>
          <w:sz w:val="21"/>
          <w:szCs w:val="21"/>
          <w:highlight w:val="none"/>
        </w:rPr>
        <w:t>14)</w:t>
      </w:r>
      <w:r>
        <w:rPr>
          <w:rFonts w:cs="宋体"/>
          <w:color w:val="auto"/>
          <w:sz w:val="21"/>
          <w:szCs w:val="21"/>
          <w:highlight w:val="none"/>
        </w:rPr>
        <w:tab/>
      </w:r>
      <w:r>
        <w:rPr>
          <w:rFonts w:hint="eastAsia" w:cs="宋体"/>
          <w:color w:val="auto"/>
          <w:sz w:val="21"/>
          <w:szCs w:val="21"/>
          <w:highlight w:val="none"/>
        </w:rPr>
        <w:t>供应商按照我院或者采购代理机构的授意撤换、修改报价文件或者响应文件。</w:t>
      </w:r>
    </w:p>
    <w:p w14:paraId="605050D8">
      <w:pPr>
        <w:pStyle w:val="18"/>
        <w:spacing w:after="120"/>
        <w:ind w:left="420" w:leftChars="200" w:firstLine="420" w:firstLineChars="200"/>
        <w:rPr>
          <w:rFonts w:cs="宋体"/>
          <w:color w:val="auto"/>
          <w:szCs w:val="21"/>
          <w:highlight w:val="none"/>
        </w:rPr>
      </w:pPr>
      <w:r>
        <w:rPr>
          <w:rFonts w:cs="宋体"/>
          <w:color w:val="auto"/>
          <w:sz w:val="21"/>
          <w:szCs w:val="21"/>
          <w:highlight w:val="none"/>
        </w:rPr>
        <w:t>15)</w:t>
      </w:r>
      <w:r>
        <w:rPr>
          <w:rFonts w:cs="宋体"/>
          <w:color w:val="auto"/>
          <w:sz w:val="21"/>
          <w:szCs w:val="21"/>
          <w:highlight w:val="none"/>
        </w:rPr>
        <w:tab/>
      </w:r>
      <w:r>
        <w:rPr>
          <w:rFonts w:hint="eastAsia" w:cs="宋体"/>
          <w:color w:val="auto"/>
          <w:sz w:val="21"/>
          <w:szCs w:val="21"/>
          <w:highlight w:val="none"/>
        </w:rPr>
        <w:t>供应商之间协商报价、技术方案等报价文件或者响应文件的实质性内容。</w:t>
      </w:r>
    </w:p>
    <w:p w14:paraId="29F71200">
      <w:pPr>
        <w:pStyle w:val="18"/>
        <w:spacing w:after="120"/>
        <w:ind w:left="420" w:leftChars="200" w:firstLine="420" w:firstLineChars="200"/>
        <w:rPr>
          <w:rFonts w:cs="宋体"/>
          <w:color w:val="auto"/>
          <w:szCs w:val="21"/>
          <w:highlight w:val="none"/>
        </w:rPr>
      </w:pPr>
      <w:r>
        <w:rPr>
          <w:rFonts w:cs="宋体"/>
          <w:color w:val="auto"/>
          <w:sz w:val="21"/>
          <w:szCs w:val="21"/>
          <w:highlight w:val="none"/>
        </w:rPr>
        <w:t>16)</w:t>
      </w:r>
      <w:r>
        <w:rPr>
          <w:rFonts w:cs="宋体"/>
          <w:color w:val="auto"/>
          <w:sz w:val="21"/>
          <w:szCs w:val="21"/>
          <w:highlight w:val="none"/>
        </w:rPr>
        <w:tab/>
      </w:r>
      <w:r>
        <w:rPr>
          <w:rFonts w:hint="eastAsia" w:cs="宋体"/>
          <w:color w:val="auto"/>
          <w:sz w:val="21"/>
          <w:szCs w:val="21"/>
          <w:highlight w:val="none"/>
        </w:rPr>
        <w:t>属于同一集团、协会、商会等组织成员的供应商按照该组织要求协同参加采购活动。</w:t>
      </w:r>
    </w:p>
    <w:p w14:paraId="51F26395">
      <w:pPr>
        <w:pStyle w:val="18"/>
        <w:spacing w:after="120"/>
        <w:ind w:left="420" w:leftChars="200" w:firstLine="420" w:firstLineChars="200"/>
        <w:rPr>
          <w:rFonts w:cs="宋体"/>
          <w:color w:val="auto"/>
          <w:szCs w:val="21"/>
          <w:highlight w:val="none"/>
        </w:rPr>
      </w:pPr>
      <w:r>
        <w:rPr>
          <w:rFonts w:cs="宋体"/>
          <w:color w:val="auto"/>
          <w:sz w:val="21"/>
          <w:szCs w:val="21"/>
          <w:highlight w:val="none"/>
        </w:rPr>
        <w:t>17)</w:t>
      </w:r>
      <w:r>
        <w:rPr>
          <w:rFonts w:cs="宋体"/>
          <w:color w:val="auto"/>
          <w:sz w:val="21"/>
          <w:szCs w:val="21"/>
          <w:highlight w:val="none"/>
        </w:rPr>
        <w:tab/>
      </w:r>
      <w:r>
        <w:rPr>
          <w:rFonts w:hint="eastAsia" w:cs="宋体"/>
          <w:color w:val="auto"/>
          <w:sz w:val="21"/>
          <w:szCs w:val="21"/>
          <w:highlight w:val="none"/>
        </w:rPr>
        <w:t>供应商之间事先约定由某一特定供应商中标、成交。</w:t>
      </w:r>
    </w:p>
    <w:p w14:paraId="2B60D933">
      <w:pPr>
        <w:pStyle w:val="18"/>
        <w:spacing w:after="120"/>
        <w:ind w:left="420" w:leftChars="200" w:firstLine="420" w:firstLineChars="200"/>
        <w:rPr>
          <w:rFonts w:cs="宋体"/>
          <w:color w:val="auto"/>
          <w:szCs w:val="21"/>
          <w:highlight w:val="none"/>
        </w:rPr>
      </w:pPr>
      <w:r>
        <w:rPr>
          <w:rFonts w:cs="宋体"/>
          <w:color w:val="auto"/>
          <w:sz w:val="21"/>
          <w:szCs w:val="21"/>
          <w:highlight w:val="none"/>
        </w:rPr>
        <w:t>18)</w:t>
      </w:r>
      <w:r>
        <w:rPr>
          <w:rFonts w:cs="宋体"/>
          <w:color w:val="auto"/>
          <w:sz w:val="21"/>
          <w:szCs w:val="21"/>
          <w:highlight w:val="none"/>
        </w:rPr>
        <w:tab/>
      </w:r>
      <w:r>
        <w:rPr>
          <w:rFonts w:hint="eastAsia" w:cs="宋体"/>
          <w:color w:val="auto"/>
          <w:sz w:val="21"/>
          <w:szCs w:val="21"/>
          <w:highlight w:val="none"/>
        </w:rPr>
        <w:t>供应商之间商定部分供应商放弃参加采购活动或者放弃中标、成交。</w:t>
      </w:r>
    </w:p>
    <w:p w14:paraId="63B7A6F6">
      <w:pPr>
        <w:pStyle w:val="18"/>
        <w:spacing w:after="120"/>
        <w:ind w:left="420" w:leftChars="200" w:firstLine="420" w:firstLineChars="200"/>
        <w:rPr>
          <w:rFonts w:cs="宋体"/>
          <w:color w:val="auto"/>
          <w:szCs w:val="21"/>
          <w:highlight w:val="none"/>
        </w:rPr>
      </w:pPr>
      <w:r>
        <w:rPr>
          <w:rFonts w:cs="宋体"/>
          <w:color w:val="auto"/>
          <w:sz w:val="21"/>
          <w:szCs w:val="21"/>
          <w:highlight w:val="none"/>
        </w:rPr>
        <w:t>19)</w:t>
      </w:r>
      <w:r>
        <w:rPr>
          <w:rFonts w:cs="宋体"/>
          <w:color w:val="auto"/>
          <w:sz w:val="21"/>
          <w:szCs w:val="21"/>
          <w:highlight w:val="none"/>
        </w:rPr>
        <w:tab/>
      </w:r>
      <w:r>
        <w:rPr>
          <w:rFonts w:hint="eastAsia" w:cs="宋体"/>
          <w:color w:val="auto"/>
          <w:sz w:val="21"/>
          <w:szCs w:val="21"/>
          <w:highlight w:val="none"/>
        </w:rPr>
        <w:t>供应商与我院或者采购代理机构之间、供应商相互之间，为谋求特定供应商中标、成交或者排斥其他供应商的其他串通行为。</w:t>
      </w:r>
    </w:p>
    <w:p w14:paraId="63B3FD91">
      <w:pPr>
        <w:pStyle w:val="18"/>
        <w:spacing w:after="120"/>
        <w:ind w:left="420" w:leftChars="200" w:firstLine="420" w:firstLineChars="200"/>
        <w:rPr>
          <w:rFonts w:cs="宋体"/>
          <w:color w:val="auto"/>
          <w:szCs w:val="21"/>
          <w:highlight w:val="none"/>
        </w:rPr>
      </w:pPr>
      <w:r>
        <w:rPr>
          <w:rFonts w:cs="宋体"/>
          <w:color w:val="auto"/>
          <w:sz w:val="21"/>
          <w:szCs w:val="21"/>
          <w:highlight w:val="none"/>
        </w:rPr>
        <w:t>20)</w:t>
      </w:r>
      <w:r>
        <w:rPr>
          <w:rFonts w:cs="宋体"/>
          <w:color w:val="auto"/>
          <w:sz w:val="21"/>
          <w:szCs w:val="21"/>
          <w:highlight w:val="none"/>
        </w:rPr>
        <w:tab/>
      </w:r>
      <w:r>
        <w:rPr>
          <w:rFonts w:hint="eastAsia" w:cs="宋体"/>
          <w:color w:val="auto"/>
          <w:sz w:val="21"/>
          <w:szCs w:val="21"/>
          <w:highlight w:val="none"/>
        </w:rPr>
        <w:t>在购销活动中给予医务人员“红包”“回扣”“提成”或任何形式的不当利益的。</w:t>
      </w:r>
    </w:p>
    <w:p w14:paraId="5E744FAC">
      <w:pPr>
        <w:pStyle w:val="18"/>
        <w:spacing w:after="120"/>
        <w:ind w:left="420" w:leftChars="200" w:firstLine="420" w:firstLineChars="200"/>
        <w:rPr>
          <w:rFonts w:cs="宋体"/>
          <w:color w:val="auto"/>
          <w:szCs w:val="21"/>
          <w:highlight w:val="none"/>
        </w:rPr>
      </w:pPr>
      <w:r>
        <w:rPr>
          <w:rFonts w:cs="宋体"/>
          <w:color w:val="auto"/>
          <w:sz w:val="21"/>
          <w:szCs w:val="21"/>
          <w:highlight w:val="none"/>
        </w:rPr>
        <w:t>21)</w:t>
      </w:r>
      <w:r>
        <w:rPr>
          <w:rFonts w:cs="宋体"/>
          <w:color w:val="auto"/>
          <w:sz w:val="21"/>
          <w:szCs w:val="21"/>
          <w:highlight w:val="none"/>
        </w:rPr>
        <w:tab/>
      </w:r>
      <w:r>
        <w:rPr>
          <w:rFonts w:hint="eastAsia" w:cs="宋体"/>
          <w:color w:val="auto"/>
          <w:sz w:val="21"/>
          <w:szCs w:val="21"/>
          <w:highlight w:val="none"/>
        </w:rPr>
        <w:t>所经销的货物质量有问题，且不积极配合医院相关部门处理的。</w:t>
      </w:r>
    </w:p>
    <w:p w14:paraId="113965E0">
      <w:pPr>
        <w:pStyle w:val="18"/>
        <w:spacing w:after="120"/>
        <w:ind w:left="420" w:leftChars="200" w:firstLine="420" w:firstLineChars="200"/>
        <w:rPr>
          <w:rFonts w:cs="宋体"/>
          <w:color w:val="auto"/>
          <w:szCs w:val="21"/>
          <w:highlight w:val="none"/>
        </w:rPr>
      </w:pPr>
      <w:r>
        <w:rPr>
          <w:rFonts w:cs="宋体"/>
          <w:color w:val="auto"/>
          <w:sz w:val="21"/>
          <w:szCs w:val="21"/>
          <w:highlight w:val="none"/>
        </w:rPr>
        <w:t>22)</w:t>
      </w:r>
      <w:r>
        <w:rPr>
          <w:rFonts w:cs="宋体"/>
          <w:color w:val="auto"/>
          <w:sz w:val="21"/>
          <w:szCs w:val="21"/>
          <w:highlight w:val="none"/>
        </w:rPr>
        <w:tab/>
      </w:r>
      <w:r>
        <w:rPr>
          <w:rFonts w:hint="eastAsia" w:cs="宋体"/>
          <w:color w:val="auto"/>
          <w:sz w:val="21"/>
          <w:szCs w:val="21"/>
          <w:highlight w:val="none"/>
        </w:rPr>
        <w:t>违法广告宣传、促销、误导消费等不良行为的。</w:t>
      </w:r>
    </w:p>
    <w:p w14:paraId="29D1DA89">
      <w:pPr>
        <w:pStyle w:val="18"/>
        <w:spacing w:after="120"/>
        <w:ind w:left="420" w:leftChars="200" w:firstLine="420" w:firstLineChars="200"/>
        <w:rPr>
          <w:rFonts w:cs="宋体"/>
          <w:color w:val="auto"/>
          <w:szCs w:val="21"/>
          <w:highlight w:val="none"/>
        </w:rPr>
      </w:pPr>
      <w:r>
        <w:rPr>
          <w:rFonts w:cs="宋体"/>
          <w:color w:val="auto"/>
          <w:sz w:val="21"/>
          <w:szCs w:val="21"/>
          <w:highlight w:val="none"/>
        </w:rPr>
        <w:t>23)</w:t>
      </w:r>
      <w:r>
        <w:rPr>
          <w:rFonts w:cs="宋体"/>
          <w:color w:val="auto"/>
          <w:sz w:val="21"/>
          <w:szCs w:val="21"/>
          <w:highlight w:val="none"/>
        </w:rPr>
        <w:tab/>
      </w:r>
      <w:r>
        <w:rPr>
          <w:rFonts w:hint="eastAsia" w:cs="宋体"/>
          <w:color w:val="auto"/>
          <w:sz w:val="21"/>
          <w:szCs w:val="21"/>
          <w:highlight w:val="none"/>
        </w:rPr>
        <w:t>不按约定时间配送药品、医疗器械、耗材，尤其是急救类用品，影响临床正常使用的。</w:t>
      </w:r>
    </w:p>
    <w:p w14:paraId="05EA6843">
      <w:pPr>
        <w:pStyle w:val="18"/>
        <w:spacing w:after="120"/>
        <w:ind w:left="420" w:leftChars="200" w:firstLine="420" w:firstLineChars="200"/>
        <w:rPr>
          <w:rFonts w:cs="宋体"/>
          <w:color w:val="auto"/>
          <w:szCs w:val="21"/>
          <w:highlight w:val="none"/>
        </w:rPr>
      </w:pPr>
      <w:r>
        <w:rPr>
          <w:rFonts w:cs="宋体"/>
          <w:color w:val="auto"/>
          <w:sz w:val="21"/>
          <w:szCs w:val="21"/>
          <w:highlight w:val="none"/>
        </w:rPr>
        <w:t>24)</w:t>
      </w:r>
      <w:r>
        <w:rPr>
          <w:rFonts w:cs="宋体"/>
          <w:color w:val="auto"/>
          <w:sz w:val="21"/>
          <w:szCs w:val="21"/>
          <w:highlight w:val="none"/>
        </w:rPr>
        <w:tab/>
      </w:r>
      <w:r>
        <w:rPr>
          <w:rFonts w:hint="eastAsia" w:cs="宋体"/>
          <w:color w:val="auto"/>
          <w:sz w:val="21"/>
          <w:szCs w:val="21"/>
          <w:highlight w:val="none"/>
        </w:rPr>
        <w:t>在购销活动中不遵守保密规定、未经医院同意擅自将医院药品、医疗器械、耗材数据信息披露的。</w:t>
      </w:r>
    </w:p>
    <w:p w14:paraId="23134785">
      <w:pPr>
        <w:pStyle w:val="18"/>
        <w:spacing w:after="120"/>
        <w:ind w:left="420" w:leftChars="200" w:firstLine="420" w:firstLineChars="200"/>
        <w:rPr>
          <w:rFonts w:cs="宋体"/>
          <w:color w:val="auto"/>
          <w:szCs w:val="21"/>
          <w:highlight w:val="none"/>
        </w:rPr>
      </w:pPr>
      <w:r>
        <w:rPr>
          <w:rFonts w:cs="宋体"/>
          <w:color w:val="auto"/>
          <w:sz w:val="21"/>
          <w:szCs w:val="21"/>
          <w:highlight w:val="none"/>
        </w:rPr>
        <w:t>25)</w:t>
      </w:r>
      <w:r>
        <w:rPr>
          <w:rFonts w:cs="宋体"/>
          <w:color w:val="auto"/>
          <w:sz w:val="21"/>
          <w:szCs w:val="21"/>
          <w:highlight w:val="none"/>
        </w:rPr>
        <w:tab/>
      </w:r>
      <w:r>
        <w:rPr>
          <w:rFonts w:hint="eastAsia" w:cs="宋体"/>
          <w:color w:val="auto"/>
          <w:sz w:val="21"/>
          <w:szCs w:val="21"/>
          <w:highlight w:val="none"/>
        </w:rPr>
        <w:t>药品价格变动未及时向医院书面反馈，给医院或患者造成损失的。</w:t>
      </w:r>
    </w:p>
    <w:p w14:paraId="69185337">
      <w:pPr>
        <w:pStyle w:val="18"/>
        <w:spacing w:after="120"/>
        <w:ind w:left="420" w:leftChars="200" w:firstLine="420" w:firstLineChars="200"/>
        <w:rPr>
          <w:rFonts w:cs="宋体"/>
          <w:color w:val="auto"/>
          <w:szCs w:val="21"/>
          <w:highlight w:val="none"/>
        </w:rPr>
      </w:pPr>
      <w:r>
        <w:rPr>
          <w:rFonts w:cs="宋体"/>
          <w:color w:val="auto"/>
          <w:sz w:val="21"/>
          <w:szCs w:val="21"/>
          <w:highlight w:val="none"/>
        </w:rPr>
        <w:t>26)</w:t>
      </w:r>
      <w:r>
        <w:rPr>
          <w:rFonts w:cs="宋体"/>
          <w:color w:val="auto"/>
          <w:sz w:val="21"/>
          <w:szCs w:val="21"/>
          <w:highlight w:val="none"/>
        </w:rPr>
        <w:tab/>
      </w:r>
      <w:r>
        <w:rPr>
          <w:rFonts w:hint="eastAsia" w:cs="宋体"/>
          <w:color w:val="auto"/>
          <w:sz w:val="21"/>
          <w:szCs w:val="21"/>
          <w:highlight w:val="none"/>
        </w:rPr>
        <w:t>传播虚假信息，严重干扰医院正常工作程序，造成恶劣影响的。</w:t>
      </w:r>
    </w:p>
    <w:p w14:paraId="47AD46A2">
      <w:pPr>
        <w:pStyle w:val="18"/>
        <w:spacing w:after="120"/>
        <w:ind w:left="420" w:leftChars="200" w:firstLine="420" w:firstLineChars="200"/>
        <w:rPr>
          <w:rFonts w:cs="宋体"/>
          <w:color w:val="auto"/>
          <w:szCs w:val="21"/>
          <w:highlight w:val="none"/>
        </w:rPr>
      </w:pPr>
      <w:r>
        <w:rPr>
          <w:rFonts w:cs="宋体"/>
          <w:color w:val="auto"/>
          <w:sz w:val="21"/>
          <w:szCs w:val="21"/>
          <w:highlight w:val="none"/>
        </w:rPr>
        <w:t>27)</w:t>
      </w:r>
      <w:r>
        <w:rPr>
          <w:rFonts w:cs="宋体"/>
          <w:color w:val="auto"/>
          <w:sz w:val="21"/>
          <w:szCs w:val="21"/>
          <w:highlight w:val="none"/>
        </w:rPr>
        <w:tab/>
      </w:r>
      <w:r>
        <w:rPr>
          <w:rFonts w:hint="eastAsia" w:cs="宋体"/>
          <w:color w:val="auto"/>
          <w:sz w:val="21"/>
          <w:szCs w:val="21"/>
          <w:highlight w:val="none"/>
        </w:rPr>
        <w:t>供应商与厂家恶意串通，故意提高药品、医疗器械、耗材供应价格的。</w:t>
      </w:r>
    </w:p>
    <w:p w14:paraId="26FEC25E">
      <w:pPr>
        <w:pStyle w:val="18"/>
        <w:spacing w:after="120"/>
        <w:ind w:left="420" w:leftChars="200" w:firstLine="420" w:firstLineChars="200"/>
        <w:rPr>
          <w:rFonts w:cs="宋体"/>
          <w:color w:val="auto"/>
          <w:szCs w:val="21"/>
          <w:highlight w:val="none"/>
        </w:rPr>
      </w:pPr>
      <w:r>
        <w:rPr>
          <w:rFonts w:cs="宋体"/>
          <w:color w:val="auto"/>
          <w:sz w:val="21"/>
          <w:szCs w:val="21"/>
          <w:highlight w:val="none"/>
        </w:rPr>
        <w:t>28)</w:t>
      </w:r>
      <w:r>
        <w:rPr>
          <w:rFonts w:cs="宋体"/>
          <w:color w:val="auto"/>
          <w:sz w:val="21"/>
          <w:szCs w:val="21"/>
          <w:highlight w:val="none"/>
        </w:rPr>
        <w:tab/>
      </w:r>
      <w:r>
        <w:rPr>
          <w:rFonts w:hint="eastAsia" w:cs="宋体"/>
          <w:color w:val="auto"/>
          <w:sz w:val="21"/>
          <w:szCs w:val="21"/>
          <w:highlight w:val="none"/>
        </w:rPr>
        <w:t>法规、规章规定的其他政府采购严重违法失信行为。</w:t>
      </w:r>
    </w:p>
    <w:p w14:paraId="4BD4ACF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4.以上事项如有虚假或隐瞒，我方愿意承担一切后果，并不再寻求任何旨在减轻或免除法律责任的辩解。</w:t>
      </w:r>
    </w:p>
    <w:p w14:paraId="533906B4">
      <w:pPr>
        <w:snapToGrid w:val="0"/>
        <w:spacing w:before="50" w:after="240" w:afterLines="100" w:line="360" w:lineRule="auto"/>
        <w:ind w:left="7428" w:leftChars="2223" w:hanging="2760" w:hangingChars="1150"/>
        <w:jc w:val="left"/>
        <w:rPr>
          <w:rFonts w:ascii="宋体" w:hAnsi="宋体" w:cs="宋体"/>
          <w:color w:val="auto"/>
          <w:sz w:val="24"/>
          <w:highlight w:val="none"/>
        </w:rPr>
      </w:pPr>
    </w:p>
    <w:p w14:paraId="2097B36C">
      <w:pPr>
        <w:snapToGrid w:val="0"/>
        <w:spacing w:before="50" w:after="240" w:afterLines="100" w:line="360" w:lineRule="auto"/>
        <w:ind w:left="7428" w:leftChars="2223" w:hanging="2760" w:hangingChars="1150"/>
        <w:jc w:val="left"/>
        <w:rPr>
          <w:rFonts w:ascii="宋体" w:hAnsi="宋体" w:cs="宋体"/>
          <w:color w:val="auto"/>
          <w:sz w:val="24"/>
          <w:highlight w:val="none"/>
        </w:rPr>
      </w:pPr>
    </w:p>
    <w:p w14:paraId="7C24AABC">
      <w:pPr>
        <w:snapToGrid w:val="0"/>
        <w:spacing w:before="50" w:after="240" w:afterLines="100" w:line="360" w:lineRule="auto"/>
        <w:ind w:left="7428" w:leftChars="2223" w:hanging="2760" w:hangingChars="1150"/>
        <w:jc w:val="left"/>
        <w:rPr>
          <w:rFonts w:ascii="宋体" w:hAnsi="宋体" w:cs="宋体"/>
          <w:color w:val="auto"/>
          <w:szCs w:val="21"/>
          <w:highlight w:val="none"/>
        </w:rPr>
      </w:pPr>
      <w:r>
        <w:rPr>
          <w:rFonts w:hint="eastAsia" w:ascii="宋体" w:hAnsi="宋体" w:cs="宋体"/>
          <w:color w:val="auto"/>
          <w:kern w:val="0"/>
          <w:sz w:val="24"/>
          <w:highlight w:val="none"/>
          <w:lang w:val="zh-CN"/>
        </w:rPr>
        <w:t>供应商名称(公章)：</w:t>
      </w:r>
    </w:p>
    <w:p w14:paraId="20C9ABAD">
      <w:pPr>
        <w:snapToGrid w:val="0"/>
        <w:spacing w:before="50" w:after="240" w:afterLines="100" w:line="360" w:lineRule="auto"/>
        <w:ind w:left="7083" w:leftChars="2223" w:hanging="2415" w:hangingChars="1150"/>
        <w:jc w:val="left"/>
        <w:rPr>
          <w:rFonts w:ascii="宋体" w:hAnsi="宋体" w:cs="宋体"/>
          <w:color w:val="auto"/>
          <w:kern w:val="0"/>
          <w:sz w:val="24"/>
          <w:highlight w:val="none"/>
          <w:lang w:val="zh-CN"/>
        </w:rPr>
      </w:pPr>
      <w:r>
        <w:rPr>
          <w:rFonts w:hint="eastAsia" w:ascii="宋体" w:hAnsi="宋体" w:cs="宋体"/>
          <w:color w:val="auto"/>
          <w:szCs w:val="21"/>
          <w:highlight w:val="none"/>
        </w:rPr>
        <w:t>年月日</w:t>
      </w:r>
    </w:p>
    <w:p w14:paraId="3906AF21">
      <w:pPr>
        <w:snapToGrid w:val="0"/>
        <w:spacing w:before="50" w:after="120" w:afterLines="50" w:line="360" w:lineRule="auto"/>
        <w:jc w:val="center"/>
        <w:rPr>
          <w:rFonts w:ascii="宋体" w:hAnsi="宋体" w:cs="宋体"/>
          <w:b/>
          <w:color w:val="auto"/>
          <w:kern w:val="0"/>
          <w:sz w:val="32"/>
          <w:szCs w:val="32"/>
          <w:highlight w:val="none"/>
        </w:rPr>
      </w:pPr>
    </w:p>
    <w:p w14:paraId="4AEA0B1B">
      <w:pPr>
        <w:snapToGrid w:val="0"/>
        <w:spacing w:before="50" w:after="120" w:afterLines="50" w:line="360" w:lineRule="auto"/>
        <w:jc w:val="center"/>
        <w:rPr>
          <w:rFonts w:ascii="宋体" w:hAnsi="宋体" w:cs="宋体"/>
          <w:b/>
          <w:color w:val="auto"/>
          <w:kern w:val="0"/>
          <w:sz w:val="32"/>
          <w:szCs w:val="32"/>
          <w:highlight w:val="none"/>
        </w:rPr>
      </w:pPr>
    </w:p>
    <w:p w14:paraId="04C8F8EF">
      <w:pPr>
        <w:snapToGrid w:val="0"/>
        <w:spacing w:before="50" w:after="120" w:afterLines="50" w:line="360" w:lineRule="auto"/>
        <w:jc w:val="center"/>
        <w:rPr>
          <w:rFonts w:ascii="宋体" w:hAnsi="宋体" w:cs="宋体"/>
          <w:b/>
          <w:color w:val="auto"/>
          <w:kern w:val="0"/>
          <w:sz w:val="32"/>
          <w:szCs w:val="32"/>
          <w:highlight w:val="none"/>
        </w:rPr>
      </w:pPr>
    </w:p>
    <w:p w14:paraId="5E57950D">
      <w:pPr>
        <w:snapToGrid w:val="0"/>
        <w:spacing w:before="50" w:after="120" w:afterLines="50" w:line="360" w:lineRule="auto"/>
        <w:jc w:val="center"/>
        <w:rPr>
          <w:rFonts w:ascii="宋体" w:hAnsi="宋体" w:cs="宋体"/>
          <w:b/>
          <w:color w:val="auto"/>
          <w:kern w:val="0"/>
          <w:sz w:val="32"/>
          <w:szCs w:val="32"/>
          <w:highlight w:val="none"/>
        </w:rPr>
      </w:pPr>
    </w:p>
    <w:p w14:paraId="1DF19D39">
      <w:pPr>
        <w:snapToGrid w:val="0"/>
        <w:spacing w:before="50" w:after="120" w:afterLines="50" w:line="360" w:lineRule="auto"/>
        <w:jc w:val="center"/>
        <w:rPr>
          <w:rFonts w:ascii="宋体" w:hAnsi="宋体" w:cs="宋体"/>
          <w:b/>
          <w:color w:val="auto"/>
          <w:kern w:val="0"/>
          <w:sz w:val="32"/>
          <w:szCs w:val="32"/>
          <w:highlight w:val="none"/>
        </w:rPr>
      </w:pPr>
    </w:p>
    <w:p w14:paraId="380D8E7A">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C4F5743">
      <w:pPr>
        <w:snapToGrid w:val="0"/>
        <w:spacing w:before="50" w:after="120" w:afterLines="50"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公司直接控股股东信息表</w:t>
      </w:r>
    </w:p>
    <w:tbl>
      <w:tblPr>
        <w:tblStyle w:val="21"/>
        <w:tblW w:w="0" w:type="auto"/>
        <w:tblInd w:w="588" w:type="dxa"/>
        <w:shd w:val="clear" w:color="auto" w:fill="FBFBFB"/>
        <w:tblLayout w:type="fixed"/>
        <w:tblCellMar>
          <w:top w:w="0" w:type="dxa"/>
          <w:left w:w="0" w:type="dxa"/>
          <w:bottom w:w="0" w:type="dxa"/>
          <w:right w:w="0" w:type="dxa"/>
        </w:tblCellMar>
      </w:tblPr>
      <w:tblGrid>
        <w:gridCol w:w="869"/>
        <w:gridCol w:w="1660"/>
        <w:gridCol w:w="1239"/>
        <w:gridCol w:w="3722"/>
        <w:gridCol w:w="1959"/>
      </w:tblGrid>
      <w:tr w14:paraId="2802DB7A">
        <w:tblPrEx>
          <w:shd w:val="clear" w:color="auto" w:fill="FBFBFB"/>
          <w:tblCellMar>
            <w:top w:w="0" w:type="dxa"/>
            <w:left w:w="0" w:type="dxa"/>
            <w:bottom w:w="0" w:type="dxa"/>
            <w:right w:w="0" w:type="dxa"/>
          </w:tblCellMar>
        </w:tblPrEx>
        <w:trPr>
          <w:tblHeader/>
        </w:trPr>
        <w:tc>
          <w:tcPr>
            <w:tcW w:w="8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D68C473">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66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8B12BEE">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28FAF6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579F8BB">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9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9EC1469">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3A2C2D9">
        <w:tblPrEx>
          <w:tblCellMar>
            <w:top w:w="0" w:type="dxa"/>
            <w:left w:w="0" w:type="dxa"/>
            <w:bottom w:w="0" w:type="dxa"/>
            <w:right w:w="0" w:type="dxa"/>
          </w:tblCellMar>
        </w:tblPrEx>
        <w:tc>
          <w:tcPr>
            <w:tcW w:w="8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C2A02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66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2930D48">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D8091D">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FD35CD">
            <w:pPr>
              <w:spacing w:line="360" w:lineRule="auto"/>
              <w:jc w:val="center"/>
              <w:rPr>
                <w:rFonts w:ascii="宋体" w:hAnsi="宋体" w:cs="宋体"/>
                <w:color w:val="auto"/>
                <w:kern w:val="0"/>
                <w:sz w:val="24"/>
                <w:highlight w:val="none"/>
              </w:rPr>
            </w:pPr>
          </w:p>
        </w:tc>
        <w:tc>
          <w:tcPr>
            <w:tcW w:w="19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721BE6F">
            <w:pPr>
              <w:spacing w:line="360" w:lineRule="auto"/>
              <w:jc w:val="center"/>
              <w:rPr>
                <w:rFonts w:ascii="宋体" w:hAnsi="宋体" w:cs="宋体"/>
                <w:color w:val="auto"/>
                <w:kern w:val="0"/>
                <w:sz w:val="24"/>
                <w:highlight w:val="none"/>
              </w:rPr>
            </w:pPr>
          </w:p>
        </w:tc>
      </w:tr>
      <w:tr w14:paraId="12047D01">
        <w:tblPrEx>
          <w:tblCellMar>
            <w:top w:w="0" w:type="dxa"/>
            <w:left w:w="0" w:type="dxa"/>
            <w:bottom w:w="0" w:type="dxa"/>
            <w:right w:w="0" w:type="dxa"/>
          </w:tblCellMar>
        </w:tblPrEx>
        <w:tc>
          <w:tcPr>
            <w:tcW w:w="8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587F9BD">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66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30AE66">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3FB5B6">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5B9F11">
            <w:pPr>
              <w:spacing w:line="360" w:lineRule="auto"/>
              <w:jc w:val="center"/>
              <w:rPr>
                <w:rFonts w:ascii="宋体" w:hAnsi="宋体" w:cs="宋体"/>
                <w:color w:val="auto"/>
                <w:kern w:val="0"/>
                <w:sz w:val="24"/>
                <w:highlight w:val="none"/>
              </w:rPr>
            </w:pPr>
            <w:bookmarkStart w:id="0" w:name="_GoBack"/>
            <w:bookmarkEnd w:id="0"/>
          </w:p>
        </w:tc>
        <w:tc>
          <w:tcPr>
            <w:tcW w:w="19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752396">
            <w:pPr>
              <w:spacing w:line="360" w:lineRule="auto"/>
              <w:jc w:val="center"/>
              <w:rPr>
                <w:rFonts w:ascii="宋体" w:hAnsi="宋体" w:cs="宋体"/>
                <w:color w:val="auto"/>
                <w:kern w:val="0"/>
                <w:sz w:val="24"/>
                <w:highlight w:val="none"/>
              </w:rPr>
            </w:pPr>
          </w:p>
        </w:tc>
      </w:tr>
      <w:tr w14:paraId="5F2629CA">
        <w:tblPrEx>
          <w:tblCellMar>
            <w:top w:w="0" w:type="dxa"/>
            <w:left w:w="0" w:type="dxa"/>
            <w:bottom w:w="0" w:type="dxa"/>
            <w:right w:w="0" w:type="dxa"/>
          </w:tblCellMar>
        </w:tblPrEx>
        <w:tc>
          <w:tcPr>
            <w:tcW w:w="8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EB441C">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66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A6BCEE">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CA8ECD">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B75AA2">
            <w:pPr>
              <w:spacing w:line="360" w:lineRule="auto"/>
              <w:jc w:val="center"/>
              <w:rPr>
                <w:rFonts w:ascii="宋体" w:hAnsi="宋体" w:cs="宋体"/>
                <w:color w:val="auto"/>
                <w:kern w:val="0"/>
                <w:sz w:val="24"/>
                <w:highlight w:val="none"/>
              </w:rPr>
            </w:pPr>
          </w:p>
        </w:tc>
        <w:tc>
          <w:tcPr>
            <w:tcW w:w="19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A19C17">
            <w:pPr>
              <w:spacing w:line="360" w:lineRule="auto"/>
              <w:jc w:val="center"/>
              <w:rPr>
                <w:rFonts w:ascii="宋体" w:hAnsi="宋体" w:cs="宋体"/>
                <w:color w:val="auto"/>
                <w:kern w:val="0"/>
                <w:sz w:val="24"/>
                <w:highlight w:val="none"/>
              </w:rPr>
            </w:pPr>
          </w:p>
        </w:tc>
      </w:tr>
      <w:tr w14:paraId="344A3820">
        <w:tblPrEx>
          <w:tblCellMar>
            <w:top w:w="0" w:type="dxa"/>
            <w:left w:w="0" w:type="dxa"/>
            <w:bottom w:w="0" w:type="dxa"/>
            <w:right w:w="0" w:type="dxa"/>
          </w:tblCellMar>
        </w:tblPrEx>
        <w:tc>
          <w:tcPr>
            <w:tcW w:w="8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393D0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166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943739">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EFC5FA">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E602E01">
            <w:pPr>
              <w:spacing w:line="360" w:lineRule="auto"/>
              <w:jc w:val="center"/>
              <w:rPr>
                <w:rFonts w:ascii="宋体" w:hAnsi="宋体" w:cs="宋体"/>
                <w:color w:val="auto"/>
                <w:kern w:val="0"/>
                <w:sz w:val="24"/>
                <w:highlight w:val="none"/>
              </w:rPr>
            </w:pPr>
          </w:p>
        </w:tc>
        <w:tc>
          <w:tcPr>
            <w:tcW w:w="19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923435">
            <w:pPr>
              <w:spacing w:line="360" w:lineRule="auto"/>
              <w:jc w:val="center"/>
              <w:rPr>
                <w:rFonts w:ascii="宋体" w:hAnsi="宋体" w:cs="宋体"/>
                <w:color w:val="auto"/>
                <w:kern w:val="0"/>
                <w:sz w:val="24"/>
                <w:highlight w:val="none"/>
              </w:rPr>
            </w:pPr>
          </w:p>
        </w:tc>
      </w:tr>
    </w:tbl>
    <w:p w14:paraId="0070966D">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2E9B0D68">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1EDD1D7">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1CBE6BB5">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0B7546E1">
      <w:pPr>
        <w:snapToGrid w:val="0"/>
        <w:spacing w:line="360" w:lineRule="auto"/>
        <w:jc w:val="left"/>
        <w:rPr>
          <w:rFonts w:ascii="宋体" w:hAnsi="宋体" w:cs="宋体"/>
          <w:color w:val="auto"/>
          <w:sz w:val="24"/>
          <w:highlight w:val="none"/>
        </w:rPr>
      </w:pPr>
    </w:p>
    <w:p w14:paraId="5E990C3D">
      <w:pPr>
        <w:snapToGrid w:val="0"/>
        <w:spacing w:line="360" w:lineRule="auto"/>
        <w:jc w:val="left"/>
        <w:rPr>
          <w:rFonts w:ascii="宋体" w:hAnsi="宋体" w:cs="宋体"/>
          <w:color w:val="auto"/>
          <w:sz w:val="24"/>
          <w:highlight w:val="none"/>
        </w:rPr>
      </w:pPr>
    </w:p>
    <w:p w14:paraId="1B97C190">
      <w:pPr>
        <w:snapToGrid w:val="0"/>
        <w:spacing w:line="360" w:lineRule="auto"/>
        <w:jc w:val="left"/>
        <w:rPr>
          <w:rFonts w:ascii="宋体" w:hAnsi="宋体" w:cs="宋体"/>
          <w:color w:val="auto"/>
          <w:sz w:val="24"/>
          <w:highlight w:val="none"/>
        </w:rPr>
      </w:pPr>
    </w:p>
    <w:p w14:paraId="6EF7398A">
      <w:pPr>
        <w:snapToGrid w:val="0"/>
        <w:spacing w:before="50" w:after="240" w:afterLines="100" w:line="360" w:lineRule="auto"/>
        <w:ind w:left="7428" w:leftChars="2223" w:hanging="2760" w:hangingChars="1150"/>
        <w:jc w:val="right"/>
        <w:rPr>
          <w:rFonts w:ascii="宋体" w:hAnsi="宋体" w:cs="宋体"/>
          <w:color w:val="auto"/>
          <w:szCs w:val="21"/>
          <w:highlight w:val="none"/>
        </w:rPr>
      </w:pPr>
      <w:r>
        <w:rPr>
          <w:rFonts w:hint="eastAsia" w:ascii="宋体" w:hAnsi="宋体" w:cs="宋体"/>
          <w:color w:val="auto"/>
          <w:kern w:val="0"/>
          <w:sz w:val="24"/>
          <w:highlight w:val="none"/>
          <w:lang w:val="zh-CN"/>
        </w:rPr>
        <w:t>供应商名称(公章)：</w:t>
      </w:r>
    </w:p>
    <w:p w14:paraId="6E7CD4E8">
      <w:pPr>
        <w:snapToGrid w:val="0"/>
        <w:jc w:val="right"/>
        <w:rPr>
          <w:rFonts w:ascii="宋体" w:hAnsi="宋体" w:cs="宋体"/>
          <w:b/>
          <w:color w:val="auto"/>
          <w:sz w:val="28"/>
          <w:szCs w:val="28"/>
          <w:highlight w:val="none"/>
        </w:rPr>
      </w:pPr>
      <w:r>
        <w:rPr>
          <w:rFonts w:hint="eastAsia" w:ascii="宋体" w:hAnsi="宋体" w:cs="宋体"/>
          <w:color w:val="auto"/>
          <w:szCs w:val="21"/>
          <w:highlight w:val="none"/>
        </w:rPr>
        <w:t>年月日</w:t>
      </w:r>
      <w:r>
        <w:rPr>
          <w:rFonts w:hint="eastAsia" w:ascii="宋体" w:hAnsi="宋体" w:cs="宋体"/>
          <w:b/>
          <w:color w:val="auto"/>
          <w:sz w:val="28"/>
          <w:szCs w:val="28"/>
          <w:highlight w:val="none"/>
        </w:rPr>
        <w:br w:type="page"/>
      </w:r>
    </w:p>
    <w:p w14:paraId="04C694B2">
      <w:pPr>
        <w:snapToGrid w:val="0"/>
        <w:spacing w:line="360" w:lineRule="auto"/>
        <w:jc w:val="center"/>
        <w:rPr>
          <w:rFonts w:ascii="宋体" w:hAnsi="宋体" w:cs="宋体"/>
          <w:color w:val="auto"/>
          <w:sz w:val="32"/>
          <w:szCs w:val="32"/>
          <w:highlight w:val="none"/>
        </w:rPr>
      </w:pPr>
      <w:r>
        <w:rPr>
          <w:rFonts w:hint="eastAsia" w:ascii="宋体" w:hAnsi="宋体" w:cs="宋体"/>
          <w:b/>
          <w:color w:val="auto"/>
          <w:sz w:val="32"/>
          <w:szCs w:val="32"/>
          <w:highlight w:val="none"/>
        </w:rPr>
        <w:t>公司直接管理关系信息表</w:t>
      </w:r>
    </w:p>
    <w:tbl>
      <w:tblPr>
        <w:tblStyle w:val="21"/>
        <w:tblW w:w="0" w:type="auto"/>
        <w:tblInd w:w="0" w:type="dxa"/>
        <w:shd w:val="clear" w:color="auto" w:fill="FBFBFB"/>
        <w:tblLayout w:type="fixed"/>
        <w:tblCellMar>
          <w:top w:w="0" w:type="dxa"/>
          <w:left w:w="0" w:type="dxa"/>
          <w:bottom w:w="0" w:type="dxa"/>
          <w:right w:w="0" w:type="dxa"/>
        </w:tblCellMar>
      </w:tblPr>
      <w:tblGrid>
        <w:gridCol w:w="1005"/>
        <w:gridCol w:w="2659"/>
        <w:gridCol w:w="3924"/>
        <w:gridCol w:w="3195"/>
      </w:tblGrid>
      <w:tr w14:paraId="2542062C">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33EAE6F">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D370CF8">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A9778D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319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E8E9B6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1473E7C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D0BABA2">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161088">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8A33BEA">
            <w:pPr>
              <w:spacing w:line="360" w:lineRule="auto"/>
              <w:jc w:val="center"/>
              <w:rPr>
                <w:rFonts w:ascii="宋体" w:hAnsi="宋体" w:cs="宋体"/>
                <w:color w:val="auto"/>
                <w:kern w:val="0"/>
                <w:sz w:val="24"/>
                <w:highlight w:val="none"/>
              </w:rPr>
            </w:pPr>
          </w:p>
        </w:tc>
        <w:tc>
          <w:tcPr>
            <w:tcW w:w="31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68F97D">
            <w:pPr>
              <w:spacing w:line="360" w:lineRule="auto"/>
              <w:jc w:val="center"/>
              <w:rPr>
                <w:rFonts w:ascii="宋体" w:hAnsi="宋体" w:cs="宋体"/>
                <w:color w:val="auto"/>
                <w:kern w:val="0"/>
                <w:sz w:val="24"/>
                <w:highlight w:val="none"/>
              </w:rPr>
            </w:pPr>
          </w:p>
        </w:tc>
      </w:tr>
      <w:tr w14:paraId="2EEB61C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DD366D">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A97499">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0EB938">
            <w:pPr>
              <w:spacing w:line="360" w:lineRule="auto"/>
              <w:jc w:val="center"/>
              <w:rPr>
                <w:rFonts w:ascii="宋体" w:hAnsi="宋体" w:cs="宋体"/>
                <w:color w:val="auto"/>
                <w:kern w:val="0"/>
                <w:sz w:val="24"/>
                <w:highlight w:val="none"/>
              </w:rPr>
            </w:pPr>
          </w:p>
        </w:tc>
        <w:tc>
          <w:tcPr>
            <w:tcW w:w="31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11AF63">
            <w:pPr>
              <w:spacing w:line="360" w:lineRule="auto"/>
              <w:jc w:val="center"/>
              <w:rPr>
                <w:rFonts w:ascii="宋体" w:hAnsi="宋体" w:cs="宋体"/>
                <w:color w:val="auto"/>
                <w:kern w:val="0"/>
                <w:sz w:val="24"/>
                <w:highlight w:val="none"/>
              </w:rPr>
            </w:pPr>
          </w:p>
        </w:tc>
      </w:tr>
      <w:tr w14:paraId="31632F8E">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1BD97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811EBD">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E92AD31">
            <w:pPr>
              <w:spacing w:line="360" w:lineRule="auto"/>
              <w:jc w:val="center"/>
              <w:rPr>
                <w:rFonts w:ascii="宋体" w:hAnsi="宋体" w:cs="宋体"/>
                <w:color w:val="auto"/>
                <w:kern w:val="0"/>
                <w:sz w:val="24"/>
                <w:highlight w:val="none"/>
              </w:rPr>
            </w:pPr>
          </w:p>
        </w:tc>
        <w:tc>
          <w:tcPr>
            <w:tcW w:w="31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01FA17">
            <w:pPr>
              <w:spacing w:line="360" w:lineRule="auto"/>
              <w:jc w:val="center"/>
              <w:rPr>
                <w:rFonts w:ascii="宋体" w:hAnsi="宋体" w:cs="宋体"/>
                <w:color w:val="auto"/>
                <w:kern w:val="0"/>
                <w:sz w:val="24"/>
                <w:highlight w:val="none"/>
              </w:rPr>
            </w:pPr>
          </w:p>
        </w:tc>
      </w:tr>
      <w:tr w14:paraId="5F2DDBE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74D01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CE5A50">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9F3E00">
            <w:pPr>
              <w:spacing w:line="360" w:lineRule="auto"/>
              <w:jc w:val="center"/>
              <w:rPr>
                <w:rFonts w:ascii="宋体" w:hAnsi="宋体" w:cs="宋体"/>
                <w:color w:val="auto"/>
                <w:kern w:val="0"/>
                <w:sz w:val="24"/>
                <w:highlight w:val="none"/>
              </w:rPr>
            </w:pPr>
          </w:p>
        </w:tc>
        <w:tc>
          <w:tcPr>
            <w:tcW w:w="31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0D7476">
            <w:pPr>
              <w:spacing w:line="360" w:lineRule="auto"/>
              <w:jc w:val="center"/>
              <w:rPr>
                <w:rFonts w:ascii="宋体" w:hAnsi="宋体" w:cs="宋体"/>
                <w:color w:val="auto"/>
                <w:kern w:val="0"/>
                <w:sz w:val="24"/>
                <w:highlight w:val="none"/>
              </w:rPr>
            </w:pPr>
          </w:p>
        </w:tc>
      </w:tr>
    </w:tbl>
    <w:p w14:paraId="59510C70">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3567E59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2D60986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6A4BE2B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3.供应商不存在直接管理关系的，则填“无”。</w:t>
      </w:r>
    </w:p>
    <w:p w14:paraId="016293BB">
      <w:pPr>
        <w:snapToGrid w:val="0"/>
        <w:spacing w:line="360" w:lineRule="auto"/>
        <w:jc w:val="left"/>
        <w:rPr>
          <w:rFonts w:ascii="宋体" w:hAnsi="宋体" w:cs="宋体"/>
          <w:color w:val="auto"/>
          <w:sz w:val="24"/>
          <w:highlight w:val="none"/>
        </w:rPr>
      </w:pPr>
    </w:p>
    <w:p w14:paraId="42FA700A">
      <w:pPr>
        <w:snapToGrid w:val="0"/>
        <w:spacing w:line="360" w:lineRule="auto"/>
        <w:jc w:val="left"/>
        <w:rPr>
          <w:rFonts w:ascii="宋体" w:hAnsi="宋体" w:cs="宋体"/>
          <w:color w:val="auto"/>
          <w:sz w:val="24"/>
          <w:highlight w:val="none"/>
        </w:rPr>
      </w:pPr>
    </w:p>
    <w:p w14:paraId="19669FE8">
      <w:pPr>
        <w:snapToGrid w:val="0"/>
        <w:spacing w:line="360" w:lineRule="auto"/>
        <w:jc w:val="left"/>
        <w:rPr>
          <w:rFonts w:ascii="宋体" w:hAnsi="宋体" w:cs="宋体"/>
          <w:color w:val="auto"/>
          <w:sz w:val="24"/>
          <w:highlight w:val="none"/>
        </w:rPr>
      </w:pPr>
    </w:p>
    <w:p w14:paraId="1EFA2C62">
      <w:pPr>
        <w:snapToGrid w:val="0"/>
        <w:spacing w:line="360" w:lineRule="auto"/>
        <w:jc w:val="left"/>
        <w:rPr>
          <w:rFonts w:ascii="宋体" w:hAnsi="宋体" w:cs="宋体"/>
          <w:color w:val="auto"/>
          <w:sz w:val="24"/>
          <w:highlight w:val="none"/>
        </w:rPr>
      </w:pPr>
    </w:p>
    <w:p w14:paraId="14EF17FC">
      <w:pPr>
        <w:snapToGrid w:val="0"/>
        <w:spacing w:line="360" w:lineRule="auto"/>
        <w:jc w:val="left"/>
        <w:rPr>
          <w:rFonts w:ascii="宋体" w:hAnsi="宋体" w:cs="宋体"/>
          <w:color w:val="auto"/>
          <w:sz w:val="24"/>
          <w:highlight w:val="none"/>
        </w:rPr>
      </w:pPr>
    </w:p>
    <w:p w14:paraId="30FB034F">
      <w:pPr>
        <w:snapToGrid w:val="0"/>
        <w:spacing w:line="360" w:lineRule="auto"/>
        <w:jc w:val="left"/>
        <w:rPr>
          <w:rFonts w:ascii="宋体" w:hAnsi="宋体" w:cs="宋体"/>
          <w:color w:val="auto"/>
          <w:sz w:val="24"/>
          <w:highlight w:val="none"/>
        </w:rPr>
      </w:pPr>
    </w:p>
    <w:p w14:paraId="33BBC76D">
      <w:pPr>
        <w:snapToGrid w:val="0"/>
        <w:spacing w:line="360" w:lineRule="auto"/>
        <w:jc w:val="left"/>
        <w:rPr>
          <w:rFonts w:ascii="宋体" w:hAnsi="宋体" w:cs="宋体"/>
          <w:color w:val="auto"/>
          <w:sz w:val="24"/>
          <w:highlight w:val="none"/>
        </w:rPr>
      </w:pPr>
    </w:p>
    <w:p w14:paraId="5CAACB08">
      <w:pPr>
        <w:snapToGrid w:val="0"/>
        <w:spacing w:line="360" w:lineRule="auto"/>
        <w:jc w:val="left"/>
        <w:rPr>
          <w:rFonts w:ascii="宋体" w:hAnsi="宋体" w:cs="宋体"/>
          <w:color w:val="auto"/>
          <w:sz w:val="24"/>
          <w:highlight w:val="none"/>
        </w:rPr>
      </w:pPr>
    </w:p>
    <w:p w14:paraId="6ACB2105">
      <w:pPr>
        <w:snapToGrid w:val="0"/>
        <w:spacing w:before="50" w:after="240" w:afterLines="100" w:line="360" w:lineRule="auto"/>
        <w:jc w:val="right"/>
        <w:rPr>
          <w:rFonts w:ascii="宋体" w:hAnsi="宋体" w:cs="宋体"/>
          <w:color w:val="auto"/>
          <w:szCs w:val="21"/>
          <w:highlight w:val="none"/>
        </w:rPr>
      </w:pPr>
      <w:r>
        <w:rPr>
          <w:rFonts w:hint="eastAsia" w:ascii="宋体" w:hAnsi="宋体" w:cs="宋体"/>
          <w:color w:val="auto"/>
          <w:kern w:val="0"/>
          <w:sz w:val="24"/>
          <w:highlight w:val="none"/>
          <w:lang w:val="zh-CN"/>
        </w:rPr>
        <w:t>供应商名称(公章)：</w:t>
      </w:r>
    </w:p>
    <w:p w14:paraId="39491A62">
      <w:pPr>
        <w:snapToGrid w:val="0"/>
        <w:spacing w:before="50" w:after="120" w:afterLines="50"/>
        <w:jc w:val="right"/>
        <w:rPr>
          <w:rFonts w:ascii="宋体" w:hAnsi="宋体" w:cs="宋体"/>
          <w:color w:val="auto"/>
          <w:szCs w:val="21"/>
          <w:highlight w:val="none"/>
        </w:rPr>
        <w:sectPr>
          <w:pgSz w:w="11910" w:h="16850"/>
          <w:pgMar w:top="1378" w:right="454" w:bottom="0" w:left="280" w:header="0" w:footer="0" w:gutter="0"/>
          <w:cols w:space="720" w:num="1"/>
        </w:sectPr>
      </w:pPr>
      <w:r>
        <w:rPr>
          <w:rFonts w:hint="eastAsia" w:ascii="宋体" w:hAnsi="宋体" w:cs="宋体"/>
          <w:color w:val="auto"/>
          <w:szCs w:val="21"/>
          <w:highlight w:val="none"/>
        </w:rPr>
        <w:t>年 月 日</w:t>
      </w:r>
    </w:p>
    <w:p w14:paraId="3043713B">
      <w:pPr>
        <w:snapToGrid w:val="0"/>
        <w:spacing w:before="50" w:line="360" w:lineRule="exact"/>
        <w:jc w:val="left"/>
        <w:rPr>
          <w:rFonts w:ascii="宋体" w:hAnsi="宋体"/>
          <w:b/>
          <w:color w:val="auto"/>
          <w:szCs w:val="21"/>
          <w:highlight w:val="none"/>
        </w:rPr>
      </w:pPr>
      <w:r>
        <w:rPr>
          <w:rFonts w:hint="eastAsia" w:ascii="宋体" w:hAnsi="宋体"/>
          <w:b/>
          <w:color w:val="auto"/>
          <w:szCs w:val="21"/>
          <w:highlight w:val="none"/>
        </w:rPr>
        <w:t>服务要求响应表格式：</w:t>
      </w:r>
    </w:p>
    <w:p w14:paraId="735A3F5A">
      <w:pPr>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 xml:space="preserve">服务要求响应表 </w:t>
      </w:r>
    </w:p>
    <w:tbl>
      <w:tblPr>
        <w:tblStyle w:val="21"/>
        <w:tblW w:w="94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955"/>
        <w:gridCol w:w="2625"/>
        <w:gridCol w:w="2340"/>
      </w:tblGrid>
      <w:tr w14:paraId="23224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tcPr>
          <w:p w14:paraId="415D238D">
            <w:pPr>
              <w:snapToGrid w:val="0"/>
              <w:spacing w:before="120" w:beforeLines="50" w:line="360" w:lineRule="exact"/>
              <w:jc w:val="center"/>
              <w:rPr>
                <w:rFonts w:ascii="宋体" w:hAnsi="宋体"/>
                <w:color w:val="auto"/>
                <w:szCs w:val="21"/>
                <w:highlight w:val="none"/>
              </w:rPr>
            </w:pPr>
            <w:r>
              <w:rPr>
                <w:rFonts w:hint="eastAsia" w:ascii="宋体" w:hAnsi="宋体"/>
                <w:color w:val="auto"/>
                <w:szCs w:val="21"/>
                <w:highlight w:val="none"/>
              </w:rPr>
              <w:t>项号</w:t>
            </w:r>
          </w:p>
        </w:tc>
        <w:tc>
          <w:tcPr>
            <w:tcW w:w="2955" w:type="dxa"/>
            <w:tcBorders>
              <w:top w:val="single" w:color="auto" w:sz="4" w:space="0"/>
              <w:left w:val="single" w:color="auto" w:sz="4" w:space="0"/>
              <w:bottom w:val="single" w:color="auto" w:sz="4" w:space="0"/>
              <w:right w:val="single" w:color="auto" w:sz="4" w:space="0"/>
            </w:tcBorders>
          </w:tcPr>
          <w:p w14:paraId="24F7C39A">
            <w:pPr>
              <w:snapToGrid w:val="0"/>
              <w:spacing w:before="120" w:beforeLines="50" w:line="360" w:lineRule="exact"/>
              <w:jc w:val="center"/>
              <w:rPr>
                <w:rFonts w:ascii="宋体" w:hAnsi="宋体"/>
                <w:color w:val="auto"/>
                <w:szCs w:val="21"/>
                <w:highlight w:val="none"/>
              </w:rPr>
            </w:pPr>
            <w:r>
              <w:rPr>
                <w:rFonts w:hint="eastAsia" w:ascii="宋体" w:hAnsi="宋体"/>
                <w:color w:val="auto"/>
                <w:szCs w:val="21"/>
                <w:highlight w:val="none"/>
              </w:rPr>
              <w:t>采购文件要求</w:t>
            </w:r>
          </w:p>
        </w:tc>
        <w:tc>
          <w:tcPr>
            <w:tcW w:w="2625" w:type="dxa"/>
            <w:tcBorders>
              <w:top w:val="single" w:color="auto" w:sz="4" w:space="0"/>
              <w:left w:val="single" w:color="auto" w:sz="4" w:space="0"/>
              <w:bottom w:val="single" w:color="auto" w:sz="4" w:space="0"/>
              <w:right w:val="single" w:color="auto" w:sz="4" w:space="0"/>
            </w:tcBorders>
          </w:tcPr>
          <w:p w14:paraId="5A143BE1">
            <w:pPr>
              <w:snapToGrid w:val="0"/>
              <w:spacing w:before="120" w:beforeLines="50" w:line="360" w:lineRule="exact"/>
              <w:jc w:val="center"/>
              <w:rPr>
                <w:rFonts w:ascii="宋体" w:hAnsi="宋体"/>
                <w:color w:val="auto"/>
                <w:szCs w:val="21"/>
                <w:highlight w:val="none"/>
              </w:rPr>
            </w:pPr>
            <w:r>
              <w:rPr>
                <w:rFonts w:hint="eastAsia" w:ascii="宋体" w:hAnsi="宋体"/>
                <w:color w:val="auto"/>
                <w:szCs w:val="21"/>
                <w:highlight w:val="none"/>
              </w:rPr>
              <w:t>是否提供并响应</w:t>
            </w:r>
          </w:p>
        </w:tc>
        <w:tc>
          <w:tcPr>
            <w:tcW w:w="2340" w:type="dxa"/>
            <w:tcBorders>
              <w:top w:val="single" w:color="auto" w:sz="4" w:space="0"/>
              <w:left w:val="single" w:color="auto" w:sz="4" w:space="0"/>
              <w:bottom w:val="single" w:color="auto" w:sz="4" w:space="0"/>
              <w:right w:val="single" w:color="auto" w:sz="4" w:space="0"/>
            </w:tcBorders>
          </w:tcPr>
          <w:p w14:paraId="4F6EBD7E">
            <w:pPr>
              <w:snapToGrid w:val="0"/>
              <w:spacing w:before="120" w:beforeLines="50" w:line="360" w:lineRule="exact"/>
              <w:jc w:val="center"/>
              <w:rPr>
                <w:rFonts w:ascii="宋体" w:hAnsi="宋体"/>
                <w:color w:val="auto"/>
                <w:szCs w:val="21"/>
                <w:highlight w:val="none"/>
              </w:rPr>
            </w:pPr>
            <w:r>
              <w:rPr>
                <w:rFonts w:hint="eastAsia" w:ascii="宋体" w:hAnsi="宋体"/>
                <w:color w:val="auto"/>
                <w:szCs w:val="21"/>
                <w:highlight w:val="none"/>
              </w:rPr>
              <w:t>供应商的承诺或说明</w:t>
            </w:r>
          </w:p>
        </w:tc>
      </w:tr>
      <w:tr w14:paraId="15CF9F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vAlign w:val="center"/>
          </w:tcPr>
          <w:p w14:paraId="33347929">
            <w:pPr>
              <w:snapToGrid w:val="0"/>
              <w:jc w:val="center"/>
              <w:rPr>
                <w:rFonts w:ascii="宋体" w:hAnsi="宋体"/>
                <w:color w:val="auto"/>
                <w:szCs w:val="21"/>
                <w:highlight w:val="none"/>
              </w:rPr>
            </w:pPr>
            <w:r>
              <w:rPr>
                <w:rFonts w:hint="eastAsia" w:ascii="宋体" w:hAnsi="宋体"/>
                <w:color w:val="auto"/>
                <w:szCs w:val="21"/>
                <w:highlight w:val="none"/>
              </w:rPr>
              <w:t>1</w:t>
            </w:r>
          </w:p>
        </w:tc>
        <w:tc>
          <w:tcPr>
            <w:tcW w:w="2955" w:type="dxa"/>
            <w:tcBorders>
              <w:top w:val="single" w:color="auto" w:sz="4" w:space="0"/>
              <w:left w:val="single" w:color="auto" w:sz="4" w:space="0"/>
              <w:bottom w:val="single" w:color="auto" w:sz="4" w:space="0"/>
              <w:right w:val="single" w:color="auto" w:sz="4" w:space="0"/>
            </w:tcBorders>
            <w:vAlign w:val="center"/>
          </w:tcPr>
          <w:p w14:paraId="0B9A04B1">
            <w:pPr>
              <w:snapToGrid w:val="0"/>
              <w:jc w:val="center"/>
              <w:rPr>
                <w:rFonts w:ascii="宋体" w:hAnsi="宋体"/>
                <w:color w:val="auto"/>
                <w:szCs w:val="21"/>
                <w:highlight w:val="none"/>
              </w:rPr>
            </w:pPr>
          </w:p>
        </w:tc>
        <w:tc>
          <w:tcPr>
            <w:tcW w:w="2625" w:type="dxa"/>
            <w:tcBorders>
              <w:top w:val="single" w:color="auto" w:sz="4" w:space="0"/>
              <w:left w:val="single" w:color="auto" w:sz="4" w:space="0"/>
              <w:bottom w:val="single" w:color="auto" w:sz="4" w:space="0"/>
              <w:right w:val="single" w:color="auto" w:sz="4" w:space="0"/>
            </w:tcBorders>
            <w:vAlign w:val="center"/>
          </w:tcPr>
          <w:p w14:paraId="48B4DCB0">
            <w:pPr>
              <w:snapToGrid w:val="0"/>
              <w:ind w:firstLine="315" w:firstLineChars="150"/>
              <w:rPr>
                <w:rFonts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14:paraId="07FAE3ED">
            <w:pPr>
              <w:snapToGrid w:val="0"/>
              <w:rPr>
                <w:rFonts w:ascii="宋体" w:hAnsi="宋体"/>
                <w:color w:val="auto"/>
                <w:szCs w:val="21"/>
                <w:highlight w:val="none"/>
              </w:rPr>
            </w:pPr>
          </w:p>
        </w:tc>
      </w:tr>
      <w:tr w14:paraId="5C7687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vAlign w:val="center"/>
          </w:tcPr>
          <w:p w14:paraId="28B48802">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955" w:type="dxa"/>
            <w:tcBorders>
              <w:top w:val="single" w:color="auto" w:sz="4" w:space="0"/>
              <w:left w:val="single" w:color="auto" w:sz="4" w:space="0"/>
              <w:bottom w:val="single" w:color="auto" w:sz="4" w:space="0"/>
              <w:right w:val="single" w:color="auto" w:sz="4" w:space="0"/>
            </w:tcBorders>
            <w:vAlign w:val="center"/>
          </w:tcPr>
          <w:p w14:paraId="667A1874">
            <w:pPr>
              <w:snapToGrid w:val="0"/>
              <w:jc w:val="center"/>
              <w:rPr>
                <w:rFonts w:ascii="宋体" w:hAnsi="宋体"/>
                <w:color w:val="auto"/>
                <w:szCs w:val="21"/>
                <w:highlight w:val="none"/>
              </w:rPr>
            </w:pPr>
          </w:p>
        </w:tc>
        <w:tc>
          <w:tcPr>
            <w:tcW w:w="2625" w:type="dxa"/>
            <w:tcBorders>
              <w:top w:val="single" w:color="auto" w:sz="4" w:space="0"/>
              <w:left w:val="single" w:color="auto" w:sz="4" w:space="0"/>
              <w:bottom w:val="single" w:color="auto" w:sz="4" w:space="0"/>
              <w:right w:val="single" w:color="auto" w:sz="4" w:space="0"/>
            </w:tcBorders>
            <w:vAlign w:val="center"/>
          </w:tcPr>
          <w:p w14:paraId="6CD87E37">
            <w:pPr>
              <w:snapToGrid w:val="0"/>
              <w:rPr>
                <w:rFonts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14:paraId="34175DFD">
            <w:pPr>
              <w:snapToGrid w:val="0"/>
              <w:rPr>
                <w:rFonts w:ascii="宋体" w:hAnsi="宋体"/>
                <w:color w:val="auto"/>
                <w:szCs w:val="21"/>
                <w:highlight w:val="none"/>
              </w:rPr>
            </w:pPr>
          </w:p>
        </w:tc>
      </w:tr>
      <w:tr w14:paraId="5C2E0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vAlign w:val="center"/>
          </w:tcPr>
          <w:p w14:paraId="67B15186">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955" w:type="dxa"/>
            <w:tcBorders>
              <w:top w:val="single" w:color="auto" w:sz="4" w:space="0"/>
              <w:left w:val="single" w:color="auto" w:sz="4" w:space="0"/>
              <w:bottom w:val="single" w:color="auto" w:sz="4" w:space="0"/>
              <w:right w:val="single" w:color="auto" w:sz="4" w:space="0"/>
            </w:tcBorders>
            <w:vAlign w:val="center"/>
          </w:tcPr>
          <w:p w14:paraId="440541D3">
            <w:pPr>
              <w:snapToGrid w:val="0"/>
              <w:jc w:val="center"/>
              <w:rPr>
                <w:rFonts w:ascii="宋体" w:hAnsi="宋体"/>
                <w:color w:val="auto"/>
                <w:szCs w:val="21"/>
                <w:highlight w:val="none"/>
              </w:rPr>
            </w:pPr>
          </w:p>
        </w:tc>
        <w:tc>
          <w:tcPr>
            <w:tcW w:w="2625" w:type="dxa"/>
            <w:tcBorders>
              <w:top w:val="single" w:color="auto" w:sz="4" w:space="0"/>
              <w:left w:val="single" w:color="auto" w:sz="4" w:space="0"/>
              <w:bottom w:val="single" w:color="auto" w:sz="4" w:space="0"/>
              <w:right w:val="single" w:color="auto" w:sz="4" w:space="0"/>
            </w:tcBorders>
            <w:vAlign w:val="center"/>
          </w:tcPr>
          <w:p w14:paraId="6B74AD2B">
            <w:pPr>
              <w:snapToGrid w:val="0"/>
              <w:ind w:left="43"/>
              <w:rPr>
                <w:rFonts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14:paraId="771D9EBD">
            <w:pPr>
              <w:snapToGrid w:val="0"/>
              <w:ind w:left="43"/>
              <w:rPr>
                <w:rFonts w:ascii="宋体" w:hAnsi="宋体"/>
                <w:color w:val="auto"/>
                <w:szCs w:val="21"/>
                <w:highlight w:val="none"/>
              </w:rPr>
            </w:pPr>
          </w:p>
        </w:tc>
      </w:tr>
      <w:tr w14:paraId="743A3E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vAlign w:val="center"/>
          </w:tcPr>
          <w:p w14:paraId="71FA44E3">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955" w:type="dxa"/>
            <w:tcBorders>
              <w:top w:val="single" w:color="auto" w:sz="4" w:space="0"/>
              <w:left w:val="single" w:color="auto" w:sz="4" w:space="0"/>
              <w:bottom w:val="single" w:color="auto" w:sz="4" w:space="0"/>
              <w:right w:val="single" w:color="auto" w:sz="4" w:space="0"/>
            </w:tcBorders>
            <w:vAlign w:val="center"/>
          </w:tcPr>
          <w:p w14:paraId="588CBCC2">
            <w:pPr>
              <w:snapToGrid w:val="0"/>
              <w:ind w:left="105" w:hanging="105" w:hangingChars="50"/>
              <w:jc w:val="center"/>
              <w:rPr>
                <w:rFonts w:ascii="宋体" w:hAnsi="宋体"/>
                <w:color w:val="auto"/>
                <w:szCs w:val="21"/>
                <w:highlight w:val="none"/>
              </w:rPr>
            </w:pPr>
          </w:p>
        </w:tc>
        <w:tc>
          <w:tcPr>
            <w:tcW w:w="2625" w:type="dxa"/>
            <w:tcBorders>
              <w:top w:val="single" w:color="auto" w:sz="4" w:space="0"/>
              <w:left w:val="single" w:color="auto" w:sz="4" w:space="0"/>
              <w:bottom w:val="single" w:color="auto" w:sz="4" w:space="0"/>
              <w:right w:val="single" w:color="auto" w:sz="4" w:space="0"/>
            </w:tcBorders>
            <w:vAlign w:val="center"/>
          </w:tcPr>
          <w:p w14:paraId="569517A7">
            <w:pPr>
              <w:snapToGrid w:val="0"/>
              <w:rPr>
                <w:rFonts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14:paraId="6C83E399">
            <w:pPr>
              <w:snapToGrid w:val="0"/>
              <w:rPr>
                <w:rFonts w:ascii="宋体" w:hAnsi="宋体"/>
                <w:color w:val="auto"/>
                <w:szCs w:val="21"/>
                <w:highlight w:val="none"/>
              </w:rPr>
            </w:pPr>
          </w:p>
        </w:tc>
      </w:tr>
      <w:tr w14:paraId="5631EE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vAlign w:val="center"/>
          </w:tcPr>
          <w:p w14:paraId="09C77EDA">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955" w:type="dxa"/>
            <w:tcBorders>
              <w:top w:val="single" w:color="auto" w:sz="4" w:space="0"/>
              <w:left w:val="single" w:color="auto" w:sz="4" w:space="0"/>
              <w:bottom w:val="single" w:color="auto" w:sz="4" w:space="0"/>
              <w:right w:val="single" w:color="auto" w:sz="4" w:space="0"/>
            </w:tcBorders>
            <w:vAlign w:val="center"/>
          </w:tcPr>
          <w:p w14:paraId="2ECA1883">
            <w:pPr>
              <w:snapToGrid w:val="0"/>
              <w:ind w:left="105" w:hanging="105" w:hangingChars="50"/>
              <w:jc w:val="center"/>
              <w:rPr>
                <w:rFonts w:ascii="宋体" w:hAnsi="宋体"/>
                <w:color w:val="auto"/>
                <w:szCs w:val="21"/>
                <w:highlight w:val="none"/>
              </w:rPr>
            </w:pPr>
          </w:p>
        </w:tc>
        <w:tc>
          <w:tcPr>
            <w:tcW w:w="2625" w:type="dxa"/>
            <w:tcBorders>
              <w:top w:val="single" w:color="auto" w:sz="4" w:space="0"/>
              <w:left w:val="single" w:color="auto" w:sz="4" w:space="0"/>
              <w:bottom w:val="single" w:color="auto" w:sz="4" w:space="0"/>
              <w:right w:val="single" w:color="auto" w:sz="4" w:space="0"/>
            </w:tcBorders>
            <w:vAlign w:val="center"/>
          </w:tcPr>
          <w:p w14:paraId="551D1063">
            <w:pPr>
              <w:snapToGrid w:val="0"/>
              <w:rPr>
                <w:rFonts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14:paraId="2F1FD4D6">
            <w:pPr>
              <w:snapToGrid w:val="0"/>
              <w:rPr>
                <w:rFonts w:ascii="宋体" w:hAnsi="宋体"/>
                <w:color w:val="auto"/>
                <w:szCs w:val="21"/>
                <w:highlight w:val="none"/>
              </w:rPr>
            </w:pPr>
          </w:p>
        </w:tc>
      </w:tr>
      <w:tr w14:paraId="3441B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548" w:type="dxa"/>
            <w:tcBorders>
              <w:top w:val="single" w:color="auto" w:sz="4" w:space="0"/>
              <w:left w:val="single" w:color="auto" w:sz="4" w:space="0"/>
              <w:bottom w:val="single" w:color="auto" w:sz="4" w:space="0"/>
              <w:right w:val="single" w:color="auto" w:sz="4" w:space="0"/>
            </w:tcBorders>
            <w:vAlign w:val="center"/>
          </w:tcPr>
          <w:p w14:paraId="1E16A43C">
            <w:pPr>
              <w:snapToGrid w:val="0"/>
              <w:jc w:val="center"/>
              <w:rPr>
                <w:rFonts w:ascii="宋体" w:hAnsi="宋体"/>
                <w:color w:val="auto"/>
                <w:szCs w:val="21"/>
                <w:highlight w:val="none"/>
              </w:rPr>
            </w:pPr>
            <w:r>
              <w:rPr>
                <w:rFonts w:hint="eastAsia" w:ascii="宋体" w:hAnsi="宋体"/>
                <w:color w:val="auto"/>
                <w:szCs w:val="21"/>
                <w:highlight w:val="none"/>
              </w:rPr>
              <w:t>…</w:t>
            </w:r>
          </w:p>
        </w:tc>
        <w:tc>
          <w:tcPr>
            <w:tcW w:w="2955" w:type="dxa"/>
            <w:tcBorders>
              <w:top w:val="single" w:color="auto" w:sz="4" w:space="0"/>
              <w:left w:val="single" w:color="auto" w:sz="4" w:space="0"/>
              <w:bottom w:val="single" w:color="auto" w:sz="4" w:space="0"/>
              <w:right w:val="single" w:color="auto" w:sz="4" w:space="0"/>
            </w:tcBorders>
            <w:vAlign w:val="center"/>
          </w:tcPr>
          <w:p w14:paraId="113FA35C">
            <w:pPr>
              <w:snapToGrid w:val="0"/>
              <w:jc w:val="center"/>
              <w:rPr>
                <w:rFonts w:ascii="宋体" w:hAnsi="宋体"/>
                <w:color w:val="auto"/>
                <w:szCs w:val="21"/>
                <w:highlight w:val="none"/>
              </w:rPr>
            </w:pPr>
            <w:r>
              <w:rPr>
                <w:rFonts w:hint="eastAsia" w:ascii="宋体" w:hAnsi="宋体"/>
                <w:color w:val="auto"/>
                <w:szCs w:val="21"/>
                <w:highlight w:val="none"/>
              </w:rPr>
              <w:t>…</w:t>
            </w:r>
          </w:p>
        </w:tc>
        <w:tc>
          <w:tcPr>
            <w:tcW w:w="2625" w:type="dxa"/>
            <w:tcBorders>
              <w:top w:val="single" w:color="auto" w:sz="4" w:space="0"/>
              <w:left w:val="single" w:color="auto" w:sz="4" w:space="0"/>
              <w:bottom w:val="single" w:color="auto" w:sz="4" w:space="0"/>
              <w:right w:val="single" w:color="auto" w:sz="4" w:space="0"/>
            </w:tcBorders>
            <w:vAlign w:val="center"/>
          </w:tcPr>
          <w:p w14:paraId="5DB5B517">
            <w:pPr>
              <w:snapToGrid w:val="0"/>
              <w:rPr>
                <w:rFonts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14:paraId="326BA7A4">
            <w:pPr>
              <w:snapToGrid w:val="0"/>
              <w:rPr>
                <w:rFonts w:ascii="宋体" w:hAnsi="宋体"/>
                <w:color w:val="auto"/>
                <w:szCs w:val="21"/>
                <w:highlight w:val="none"/>
              </w:rPr>
            </w:pPr>
          </w:p>
        </w:tc>
      </w:tr>
    </w:tbl>
    <w:p w14:paraId="7CC38AF4">
      <w:pPr>
        <w:snapToGrid w:val="0"/>
        <w:spacing w:before="50" w:after="50" w:line="360" w:lineRule="exact"/>
        <w:rPr>
          <w:rFonts w:ascii="宋体" w:hAnsi="宋体"/>
          <w:color w:val="auto"/>
          <w:spacing w:val="20"/>
          <w:szCs w:val="21"/>
          <w:highlight w:val="none"/>
        </w:rPr>
      </w:pPr>
    </w:p>
    <w:p w14:paraId="213C3F5F">
      <w:pPr>
        <w:snapToGrid w:val="0"/>
        <w:spacing w:before="50" w:after="50" w:line="360" w:lineRule="exact"/>
        <w:ind w:firstLine="210" w:firstLineChars="100"/>
        <w:rPr>
          <w:rFonts w:ascii="宋体" w:hAnsi="宋体"/>
          <w:color w:val="auto"/>
          <w:spacing w:val="20"/>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14:paraId="22BA8CE9">
      <w:pPr>
        <w:snapToGrid w:val="0"/>
        <w:spacing w:line="360" w:lineRule="exact"/>
        <w:ind w:firstLine="245" w:firstLineChars="98"/>
        <w:jc w:val="left"/>
        <w:rPr>
          <w:rFonts w:ascii="宋体" w:hAnsi="宋体"/>
          <w:b/>
          <w:color w:val="auto"/>
          <w:szCs w:val="21"/>
          <w:highlight w:val="none"/>
        </w:rPr>
      </w:pPr>
      <w:r>
        <w:rPr>
          <w:rFonts w:hint="eastAsia" w:ascii="宋体" w:hAnsi="宋体"/>
          <w:color w:val="auto"/>
          <w:spacing w:val="20"/>
          <w:szCs w:val="21"/>
          <w:highlight w:val="none"/>
        </w:rPr>
        <w:t>供应商盖章：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14:paraId="4F450F1A">
      <w:pPr>
        <w:snapToGrid w:val="0"/>
        <w:spacing w:line="360" w:lineRule="exact"/>
        <w:ind w:firstLine="207" w:firstLineChars="98"/>
        <w:jc w:val="left"/>
        <w:rPr>
          <w:rFonts w:ascii="宋体" w:hAnsi="宋体"/>
          <w:b/>
          <w:color w:val="auto"/>
          <w:szCs w:val="21"/>
          <w:highlight w:val="none"/>
        </w:rPr>
      </w:pPr>
    </w:p>
    <w:p w14:paraId="2C9C1D18">
      <w:pPr>
        <w:snapToGrid w:val="0"/>
        <w:spacing w:before="50" w:after="120" w:afterLines="50"/>
        <w:jc w:val="right"/>
        <w:rPr>
          <w:rFonts w:ascii="宋体" w:hAnsi="宋体" w:cs="宋体"/>
          <w:color w:val="auto"/>
          <w:szCs w:val="21"/>
          <w:highlight w:val="none"/>
        </w:rPr>
      </w:pPr>
    </w:p>
    <w:p w14:paraId="12AFEBBB">
      <w:pPr>
        <w:snapToGrid w:val="0"/>
        <w:spacing w:before="50" w:after="120" w:afterLines="50"/>
        <w:jc w:val="right"/>
        <w:rPr>
          <w:rFonts w:ascii="宋体" w:hAnsi="宋体" w:cs="宋体"/>
          <w:color w:val="auto"/>
          <w:szCs w:val="21"/>
          <w:highlight w:val="none"/>
        </w:rPr>
      </w:pPr>
    </w:p>
    <w:p w14:paraId="28351A0F">
      <w:pPr>
        <w:snapToGrid w:val="0"/>
        <w:spacing w:before="50" w:after="120" w:afterLines="50"/>
        <w:jc w:val="right"/>
        <w:rPr>
          <w:rFonts w:ascii="宋体" w:hAnsi="宋体" w:cs="宋体"/>
          <w:color w:val="auto"/>
          <w:szCs w:val="21"/>
          <w:highlight w:val="none"/>
        </w:rPr>
      </w:pPr>
    </w:p>
    <w:p w14:paraId="3A075763">
      <w:pPr>
        <w:snapToGrid w:val="0"/>
        <w:spacing w:before="120" w:beforeLines="50" w:after="50" w:line="360" w:lineRule="exact"/>
        <w:jc w:val="center"/>
        <w:rPr>
          <w:rFonts w:ascii="宋体" w:hAnsi="宋体"/>
          <w:b/>
          <w:color w:val="auto"/>
          <w:szCs w:val="21"/>
          <w:highlight w:val="none"/>
        </w:rPr>
      </w:pPr>
      <w:r>
        <w:rPr>
          <w:rFonts w:hint="eastAsia" w:ascii="宋体" w:hAnsi="宋体"/>
          <w:b/>
          <w:color w:val="auto"/>
          <w:szCs w:val="21"/>
          <w:highlight w:val="none"/>
        </w:rPr>
        <w:t>项目实施人员（主要从业人员及其技术资格）一览表</w:t>
      </w:r>
    </w:p>
    <w:tbl>
      <w:tblPr>
        <w:tblStyle w:val="21"/>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47"/>
        <w:gridCol w:w="1342"/>
        <w:gridCol w:w="3225"/>
        <w:gridCol w:w="2263"/>
        <w:gridCol w:w="3113"/>
      </w:tblGrid>
      <w:tr w14:paraId="5688DB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35" w:type="pct"/>
            <w:tcBorders>
              <w:top w:val="single" w:color="auto" w:sz="4" w:space="0"/>
              <w:left w:val="single" w:color="auto" w:sz="4" w:space="0"/>
              <w:bottom w:val="single" w:color="auto" w:sz="4" w:space="0"/>
              <w:right w:val="single" w:color="auto" w:sz="4" w:space="0"/>
            </w:tcBorders>
            <w:vAlign w:val="center"/>
          </w:tcPr>
          <w:p w14:paraId="721DFCC8">
            <w:pPr>
              <w:snapToGrid w:val="0"/>
              <w:spacing w:before="120" w:beforeLines="50" w:after="50" w:line="360" w:lineRule="exact"/>
              <w:jc w:val="center"/>
              <w:rPr>
                <w:rFonts w:ascii="宋体" w:hAnsi="宋体"/>
                <w:color w:val="auto"/>
                <w:szCs w:val="21"/>
                <w:highlight w:val="none"/>
              </w:rPr>
            </w:pPr>
            <w:r>
              <w:rPr>
                <w:rFonts w:hint="eastAsia" w:ascii="宋体" w:hAnsi="宋体"/>
                <w:color w:val="auto"/>
                <w:szCs w:val="21"/>
                <w:highlight w:val="none"/>
              </w:rPr>
              <w:t>姓名</w:t>
            </w:r>
          </w:p>
        </w:tc>
        <w:tc>
          <w:tcPr>
            <w:tcW w:w="589" w:type="pct"/>
            <w:tcBorders>
              <w:top w:val="single" w:color="auto" w:sz="4" w:space="0"/>
              <w:left w:val="single" w:color="auto" w:sz="4" w:space="0"/>
              <w:bottom w:val="single" w:color="auto" w:sz="4" w:space="0"/>
              <w:right w:val="single" w:color="auto" w:sz="4" w:space="0"/>
            </w:tcBorders>
            <w:vAlign w:val="center"/>
          </w:tcPr>
          <w:p w14:paraId="15C56D6C">
            <w:pPr>
              <w:snapToGrid w:val="0"/>
              <w:spacing w:before="120" w:beforeLines="50" w:after="50" w:line="360" w:lineRule="exact"/>
              <w:jc w:val="center"/>
              <w:rPr>
                <w:rFonts w:ascii="宋体" w:hAnsi="宋体"/>
                <w:color w:val="auto"/>
                <w:szCs w:val="21"/>
                <w:highlight w:val="none"/>
              </w:rPr>
            </w:pPr>
            <w:r>
              <w:rPr>
                <w:rFonts w:hint="eastAsia" w:ascii="宋体" w:hAnsi="宋体"/>
                <w:color w:val="auto"/>
                <w:szCs w:val="21"/>
                <w:highlight w:val="none"/>
              </w:rPr>
              <w:t>职务</w:t>
            </w:r>
          </w:p>
        </w:tc>
        <w:tc>
          <w:tcPr>
            <w:tcW w:w="1415" w:type="pct"/>
            <w:tcBorders>
              <w:top w:val="single" w:color="auto" w:sz="4" w:space="0"/>
              <w:left w:val="single" w:color="auto" w:sz="4" w:space="0"/>
              <w:bottom w:val="single" w:color="auto" w:sz="4" w:space="0"/>
              <w:right w:val="single" w:color="auto" w:sz="4" w:space="0"/>
            </w:tcBorders>
            <w:vAlign w:val="center"/>
          </w:tcPr>
          <w:p w14:paraId="5FA57E6D">
            <w:pPr>
              <w:snapToGrid w:val="0"/>
              <w:spacing w:before="120" w:beforeLines="50" w:after="50" w:line="360" w:lineRule="exact"/>
              <w:jc w:val="center"/>
              <w:rPr>
                <w:rFonts w:ascii="宋体" w:hAnsi="宋体"/>
                <w:color w:val="auto"/>
                <w:szCs w:val="21"/>
                <w:highlight w:val="none"/>
              </w:rPr>
            </w:pPr>
            <w:r>
              <w:rPr>
                <w:rFonts w:hint="eastAsia" w:ascii="宋体" w:hAnsi="宋体"/>
                <w:color w:val="auto"/>
                <w:szCs w:val="21"/>
                <w:highlight w:val="none"/>
              </w:rPr>
              <w:t>专业技术资格</w:t>
            </w:r>
          </w:p>
        </w:tc>
        <w:tc>
          <w:tcPr>
            <w:tcW w:w="993" w:type="pct"/>
            <w:tcBorders>
              <w:top w:val="single" w:color="auto" w:sz="4" w:space="0"/>
              <w:left w:val="single" w:color="auto" w:sz="4" w:space="0"/>
              <w:bottom w:val="single" w:color="auto" w:sz="4" w:space="0"/>
              <w:right w:val="single" w:color="auto" w:sz="4" w:space="0"/>
            </w:tcBorders>
            <w:vAlign w:val="center"/>
          </w:tcPr>
          <w:p w14:paraId="72687FBA">
            <w:pPr>
              <w:snapToGrid w:val="0"/>
              <w:spacing w:before="120" w:beforeLines="50" w:after="50" w:line="360" w:lineRule="exact"/>
              <w:jc w:val="center"/>
              <w:rPr>
                <w:rFonts w:ascii="宋体" w:hAnsi="宋体"/>
                <w:color w:val="auto"/>
                <w:szCs w:val="21"/>
                <w:highlight w:val="none"/>
              </w:rPr>
            </w:pPr>
            <w:r>
              <w:rPr>
                <w:rFonts w:hint="eastAsia" w:ascii="宋体" w:hAnsi="宋体"/>
                <w:color w:val="auto"/>
                <w:szCs w:val="21"/>
                <w:highlight w:val="none"/>
              </w:rPr>
              <w:t>证书编号</w:t>
            </w:r>
          </w:p>
        </w:tc>
        <w:tc>
          <w:tcPr>
            <w:tcW w:w="1366" w:type="pct"/>
            <w:tcBorders>
              <w:top w:val="single" w:color="auto" w:sz="4" w:space="0"/>
              <w:left w:val="single" w:color="auto" w:sz="4" w:space="0"/>
              <w:bottom w:val="single" w:color="auto" w:sz="4" w:space="0"/>
              <w:right w:val="single" w:color="auto" w:sz="4" w:space="0"/>
            </w:tcBorders>
            <w:vAlign w:val="center"/>
          </w:tcPr>
          <w:p w14:paraId="004969D6">
            <w:pPr>
              <w:snapToGrid w:val="0"/>
              <w:spacing w:before="120" w:beforeLines="50" w:after="50" w:line="360" w:lineRule="exact"/>
              <w:jc w:val="center"/>
              <w:rPr>
                <w:rFonts w:ascii="宋体" w:hAnsi="宋体"/>
                <w:bCs/>
                <w:color w:val="auto"/>
                <w:szCs w:val="21"/>
                <w:highlight w:val="none"/>
              </w:rPr>
            </w:pPr>
            <w:r>
              <w:rPr>
                <w:rFonts w:hint="eastAsia" w:ascii="宋体" w:hAnsi="宋体"/>
                <w:bCs/>
                <w:color w:val="auto"/>
                <w:szCs w:val="21"/>
                <w:highlight w:val="none"/>
              </w:rPr>
              <w:t>参加本单位</w:t>
            </w:r>
          </w:p>
          <w:p w14:paraId="7FF70CC3">
            <w:pPr>
              <w:snapToGrid w:val="0"/>
              <w:spacing w:before="120" w:beforeLines="50" w:after="50" w:line="360" w:lineRule="exact"/>
              <w:jc w:val="center"/>
              <w:rPr>
                <w:rFonts w:ascii="宋体" w:hAnsi="宋体"/>
                <w:bCs/>
                <w:color w:val="auto"/>
                <w:szCs w:val="21"/>
                <w:highlight w:val="none"/>
              </w:rPr>
            </w:pPr>
            <w:r>
              <w:rPr>
                <w:rFonts w:hint="eastAsia" w:ascii="宋体" w:hAnsi="宋体"/>
                <w:bCs/>
                <w:color w:val="auto"/>
                <w:szCs w:val="21"/>
                <w:highlight w:val="none"/>
              </w:rPr>
              <w:t>工作时间</w:t>
            </w:r>
          </w:p>
        </w:tc>
      </w:tr>
      <w:tr w14:paraId="6BE609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635" w:type="pct"/>
            <w:tcBorders>
              <w:top w:val="single" w:color="auto" w:sz="4" w:space="0"/>
              <w:left w:val="single" w:color="auto" w:sz="4" w:space="0"/>
              <w:bottom w:val="single" w:color="auto" w:sz="4" w:space="0"/>
              <w:right w:val="single" w:color="auto" w:sz="4" w:space="0"/>
            </w:tcBorders>
          </w:tcPr>
          <w:p w14:paraId="597BBEA0">
            <w:pPr>
              <w:snapToGrid w:val="0"/>
              <w:spacing w:before="120" w:beforeLines="50" w:after="50" w:line="360" w:lineRule="exact"/>
              <w:rPr>
                <w:rFonts w:ascii="宋体" w:hAnsi="宋体"/>
                <w:color w:val="auto"/>
                <w:szCs w:val="21"/>
                <w:highlight w:val="none"/>
              </w:rPr>
            </w:pPr>
          </w:p>
        </w:tc>
        <w:tc>
          <w:tcPr>
            <w:tcW w:w="589" w:type="pct"/>
            <w:tcBorders>
              <w:top w:val="single" w:color="auto" w:sz="4" w:space="0"/>
              <w:left w:val="single" w:color="auto" w:sz="4" w:space="0"/>
              <w:bottom w:val="single" w:color="auto" w:sz="4" w:space="0"/>
              <w:right w:val="single" w:color="auto" w:sz="4" w:space="0"/>
            </w:tcBorders>
          </w:tcPr>
          <w:p w14:paraId="118F6B93">
            <w:pPr>
              <w:snapToGrid w:val="0"/>
              <w:spacing w:before="120" w:beforeLines="50" w:after="50" w:line="360" w:lineRule="exact"/>
              <w:rPr>
                <w:rFonts w:ascii="宋体" w:hAnsi="宋体"/>
                <w:color w:val="auto"/>
                <w:szCs w:val="21"/>
                <w:highlight w:val="none"/>
              </w:rPr>
            </w:pPr>
          </w:p>
        </w:tc>
        <w:tc>
          <w:tcPr>
            <w:tcW w:w="1415" w:type="pct"/>
            <w:tcBorders>
              <w:top w:val="single" w:color="auto" w:sz="4" w:space="0"/>
              <w:left w:val="single" w:color="auto" w:sz="4" w:space="0"/>
              <w:bottom w:val="single" w:color="auto" w:sz="4" w:space="0"/>
              <w:right w:val="single" w:color="auto" w:sz="4" w:space="0"/>
            </w:tcBorders>
          </w:tcPr>
          <w:p w14:paraId="71082592">
            <w:pPr>
              <w:snapToGrid w:val="0"/>
              <w:spacing w:before="120" w:beforeLines="50" w:after="50" w:line="360" w:lineRule="exact"/>
              <w:rPr>
                <w:rFonts w:ascii="宋体" w:hAnsi="宋体"/>
                <w:color w:val="auto"/>
                <w:szCs w:val="21"/>
                <w:highlight w:val="none"/>
              </w:rPr>
            </w:pPr>
          </w:p>
        </w:tc>
        <w:tc>
          <w:tcPr>
            <w:tcW w:w="993" w:type="pct"/>
            <w:tcBorders>
              <w:top w:val="single" w:color="auto" w:sz="4" w:space="0"/>
              <w:left w:val="single" w:color="auto" w:sz="4" w:space="0"/>
              <w:bottom w:val="single" w:color="auto" w:sz="4" w:space="0"/>
              <w:right w:val="single" w:color="auto" w:sz="4" w:space="0"/>
            </w:tcBorders>
          </w:tcPr>
          <w:p w14:paraId="50C45B8E">
            <w:pPr>
              <w:snapToGrid w:val="0"/>
              <w:spacing w:before="120" w:beforeLines="50" w:after="50" w:line="360" w:lineRule="exact"/>
              <w:rPr>
                <w:rFonts w:ascii="宋体" w:hAnsi="宋体"/>
                <w:color w:val="auto"/>
                <w:szCs w:val="21"/>
                <w:highlight w:val="none"/>
              </w:rPr>
            </w:pPr>
          </w:p>
        </w:tc>
        <w:tc>
          <w:tcPr>
            <w:tcW w:w="1366" w:type="pct"/>
            <w:tcBorders>
              <w:top w:val="single" w:color="auto" w:sz="4" w:space="0"/>
              <w:left w:val="single" w:color="auto" w:sz="4" w:space="0"/>
              <w:bottom w:val="single" w:color="auto" w:sz="4" w:space="0"/>
              <w:right w:val="single" w:color="auto" w:sz="4" w:space="0"/>
            </w:tcBorders>
          </w:tcPr>
          <w:p w14:paraId="71CC9091">
            <w:pPr>
              <w:snapToGrid w:val="0"/>
              <w:spacing w:before="120" w:beforeLines="50" w:after="50" w:line="360" w:lineRule="exact"/>
              <w:rPr>
                <w:rFonts w:ascii="宋体" w:hAnsi="宋体"/>
                <w:color w:val="auto"/>
                <w:szCs w:val="21"/>
                <w:highlight w:val="none"/>
              </w:rPr>
            </w:pPr>
          </w:p>
        </w:tc>
      </w:tr>
      <w:tr w14:paraId="155A9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35" w:type="pct"/>
            <w:tcBorders>
              <w:top w:val="single" w:color="auto" w:sz="4" w:space="0"/>
              <w:left w:val="single" w:color="auto" w:sz="4" w:space="0"/>
              <w:bottom w:val="single" w:color="auto" w:sz="4" w:space="0"/>
              <w:right w:val="single" w:color="auto" w:sz="4" w:space="0"/>
            </w:tcBorders>
          </w:tcPr>
          <w:p w14:paraId="2B7C4CD9">
            <w:pPr>
              <w:snapToGrid w:val="0"/>
              <w:spacing w:before="120" w:beforeLines="50" w:after="50" w:line="360" w:lineRule="exact"/>
              <w:rPr>
                <w:rFonts w:ascii="宋体" w:hAnsi="宋体"/>
                <w:color w:val="auto"/>
                <w:szCs w:val="21"/>
                <w:highlight w:val="none"/>
              </w:rPr>
            </w:pPr>
          </w:p>
        </w:tc>
        <w:tc>
          <w:tcPr>
            <w:tcW w:w="589" w:type="pct"/>
            <w:tcBorders>
              <w:top w:val="single" w:color="auto" w:sz="4" w:space="0"/>
              <w:left w:val="single" w:color="auto" w:sz="4" w:space="0"/>
              <w:bottom w:val="single" w:color="auto" w:sz="4" w:space="0"/>
              <w:right w:val="single" w:color="auto" w:sz="4" w:space="0"/>
            </w:tcBorders>
          </w:tcPr>
          <w:p w14:paraId="7DFE1DE7">
            <w:pPr>
              <w:snapToGrid w:val="0"/>
              <w:spacing w:before="120" w:beforeLines="50" w:after="50" w:line="360" w:lineRule="exact"/>
              <w:rPr>
                <w:rFonts w:ascii="宋体" w:hAnsi="宋体"/>
                <w:color w:val="auto"/>
                <w:szCs w:val="21"/>
                <w:highlight w:val="none"/>
              </w:rPr>
            </w:pPr>
          </w:p>
        </w:tc>
        <w:tc>
          <w:tcPr>
            <w:tcW w:w="1415" w:type="pct"/>
            <w:tcBorders>
              <w:top w:val="single" w:color="auto" w:sz="4" w:space="0"/>
              <w:left w:val="single" w:color="auto" w:sz="4" w:space="0"/>
              <w:bottom w:val="single" w:color="auto" w:sz="4" w:space="0"/>
              <w:right w:val="single" w:color="auto" w:sz="4" w:space="0"/>
            </w:tcBorders>
          </w:tcPr>
          <w:p w14:paraId="45F08774">
            <w:pPr>
              <w:snapToGrid w:val="0"/>
              <w:spacing w:before="120" w:beforeLines="50" w:after="50" w:line="360" w:lineRule="exact"/>
              <w:rPr>
                <w:rFonts w:ascii="宋体" w:hAnsi="宋体"/>
                <w:color w:val="auto"/>
                <w:szCs w:val="21"/>
                <w:highlight w:val="none"/>
              </w:rPr>
            </w:pPr>
          </w:p>
        </w:tc>
        <w:tc>
          <w:tcPr>
            <w:tcW w:w="993" w:type="pct"/>
            <w:tcBorders>
              <w:top w:val="single" w:color="auto" w:sz="4" w:space="0"/>
              <w:left w:val="single" w:color="auto" w:sz="4" w:space="0"/>
              <w:bottom w:val="single" w:color="auto" w:sz="4" w:space="0"/>
              <w:right w:val="single" w:color="auto" w:sz="4" w:space="0"/>
            </w:tcBorders>
          </w:tcPr>
          <w:p w14:paraId="184D66A3">
            <w:pPr>
              <w:snapToGrid w:val="0"/>
              <w:spacing w:before="120" w:beforeLines="50" w:after="50" w:line="360" w:lineRule="exact"/>
              <w:rPr>
                <w:rFonts w:ascii="宋体" w:hAnsi="宋体"/>
                <w:color w:val="auto"/>
                <w:szCs w:val="21"/>
                <w:highlight w:val="none"/>
              </w:rPr>
            </w:pPr>
          </w:p>
        </w:tc>
        <w:tc>
          <w:tcPr>
            <w:tcW w:w="1366" w:type="pct"/>
            <w:tcBorders>
              <w:top w:val="single" w:color="auto" w:sz="4" w:space="0"/>
              <w:left w:val="single" w:color="auto" w:sz="4" w:space="0"/>
              <w:bottom w:val="single" w:color="auto" w:sz="4" w:space="0"/>
              <w:right w:val="single" w:color="auto" w:sz="4" w:space="0"/>
            </w:tcBorders>
          </w:tcPr>
          <w:p w14:paraId="0240AA20">
            <w:pPr>
              <w:snapToGrid w:val="0"/>
              <w:spacing w:before="120" w:beforeLines="50" w:after="50" w:line="360" w:lineRule="exact"/>
              <w:rPr>
                <w:rFonts w:ascii="宋体" w:hAnsi="宋体"/>
                <w:color w:val="auto"/>
                <w:szCs w:val="21"/>
                <w:highlight w:val="none"/>
              </w:rPr>
            </w:pPr>
          </w:p>
        </w:tc>
      </w:tr>
      <w:tr w14:paraId="0EADDF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35" w:type="pct"/>
            <w:tcBorders>
              <w:top w:val="single" w:color="auto" w:sz="4" w:space="0"/>
              <w:left w:val="single" w:color="auto" w:sz="4" w:space="0"/>
              <w:bottom w:val="single" w:color="auto" w:sz="4" w:space="0"/>
              <w:right w:val="single" w:color="auto" w:sz="4" w:space="0"/>
            </w:tcBorders>
          </w:tcPr>
          <w:p w14:paraId="177ACDE9">
            <w:pPr>
              <w:snapToGrid w:val="0"/>
              <w:spacing w:before="120" w:beforeLines="50" w:after="50" w:line="360" w:lineRule="exact"/>
              <w:rPr>
                <w:rFonts w:ascii="宋体" w:hAnsi="宋体"/>
                <w:color w:val="auto"/>
                <w:szCs w:val="21"/>
                <w:highlight w:val="none"/>
              </w:rPr>
            </w:pPr>
          </w:p>
        </w:tc>
        <w:tc>
          <w:tcPr>
            <w:tcW w:w="589" w:type="pct"/>
            <w:tcBorders>
              <w:top w:val="single" w:color="auto" w:sz="4" w:space="0"/>
              <w:left w:val="single" w:color="auto" w:sz="4" w:space="0"/>
              <w:bottom w:val="single" w:color="auto" w:sz="4" w:space="0"/>
              <w:right w:val="single" w:color="auto" w:sz="4" w:space="0"/>
            </w:tcBorders>
          </w:tcPr>
          <w:p w14:paraId="48C32FC7">
            <w:pPr>
              <w:snapToGrid w:val="0"/>
              <w:spacing w:before="120" w:beforeLines="50" w:after="50" w:line="360" w:lineRule="exact"/>
              <w:rPr>
                <w:rFonts w:ascii="宋体" w:hAnsi="宋体"/>
                <w:color w:val="auto"/>
                <w:szCs w:val="21"/>
                <w:highlight w:val="none"/>
              </w:rPr>
            </w:pPr>
          </w:p>
        </w:tc>
        <w:tc>
          <w:tcPr>
            <w:tcW w:w="1415" w:type="pct"/>
            <w:tcBorders>
              <w:top w:val="single" w:color="auto" w:sz="4" w:space="0"/>
              <w:left w:val="single" w:color="auto" w:sz="4" w:space="0"/>
              <w:bottom w:val="single" w:color="auto" w:sz="4" w:space="0"/>
              <w:right w:val="single" w:color="auto" w:sz="4" w:space="0"/>
            </w:tcBorders>
          </w:tcPr>
          <w:p w14:paraId="6B475085">
            <w:pPr>
              <w:pStyle w:val="13"/>
              <w:snapToGrid w:val="0"/>
              <w:spacing w:before="120" w:beforeLines="50" w:after="50" w:line="360" w:lineRule="exact"/>
              <w:ind w:left="5250"/>
              <w:rPr>
                <w:rFonts w:hAnsi="宋体"/>
                <w:color w:val="auto"/>
                <w:highlight w:val="none"/>
              </w:rPr>
            </w:pPr>
          </w:p>
        </w:tc>
        <w:tc>
          <w:tcPr>
            <w:tcW w:w="993" w:type="pct"/>
            <w:tcBorders>
              <w:top w:val="single" w:color="auto" w:sz="4" w:space="0"/>
              <w:left w:val="single" w:color="auto" w:sz="4" w:space="0"/>
              <w:bottom w:val="single" w:color="auto" w:sz="4" w:space="0"/>
              <w:right w:val="single" w:color="auto" w:sz="4" w:space="0"/>
            </w:tcBorders>
          </w:tcPr>
          <w:p w14:paraId="7162858C">
            <w:pPr>
              <w:snapToGrid w:val="0"/>
              <w:spacing w:before="120" w:beforeLines="50" w:after="50" w:line="360" w:lineRule="exact"/>
              <w:rPr>
                <w:rFonts w:ascii="宋体" w:hAnsi="宋体"/>
                <w:color w:val="auto"/>
                <w:szCs w:val="21"/>
                <w:highlight w:val="none"/>
              </w:rPr>
            </w:pPr>
          </w:p>
        </w:tc>
        <w:tc>
          <w:tcPr>
            <w:tcW w:w="1366" w:type="pct"/>
            <w:tcBorders>
              <w:top w:val="single" w:color="auto" w:sz="4" w:space="0"/>
              <w:left w:val="single" w:color="auto" w:sz="4" w:space="0"/>
              <w:bottom w:val="single" w:color="auto" w:sz="4" w:space="0"/>
              <w:right w:val="single" w:color="auto" w:sz="4" w:space="0"/>
            </w:tcBorders>
          </w:tcPr>
          <w:p w14:paraId="2AAFD6CA">
            <w:pPr>
              <w:snapToGrid w:val="0"/>
              <w:spacing w:before="120" w:beforeLines="50" w:after="50" w:line="360" w:lineRule="exact"/>
              <w:rPr>
                <w:rFonts w:ascii="宋体" w:hAnsi="宋体"/>
                <w:color w:val="auto"/>
                <w:szCs w:val="21"/>
                <w:highlight w:val="none"/>
              </w:rPr>
            </w:pPr>
          </w:p>
        </w:tc>
      </w:tr>
    </w:tbl>
    <w:p w14:paraId="57C5844C">
      <w:pPr>
        <w:snapToGrid w:val="0"/>
        <w:spacing w:before="50" w:after="50" w:line="360" w:lineRule="exact"/>
        <w:rPr>
          <w:rFonts w:ascii="宋体" w:hAnsi="宋体"/>
          <w:color w:val="auto"/>
          <w:spacing w:val="20"/>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14:paraId="29C26446">
      <w:pPr>
        <w:snapToGrid w:val="0"/>
        <w:spacing w:before="50" w:after="50" w:line="360" w:lineRule="exact"/>
        <w:rPr>
          <w:rFonts w:ascii="宋体" w:hAnsi="宋体"/>
          <w:color w:val="auto"/>
          <w:szCs w:val="21"/>
          <w:highlight w:val="none"/>
        </w:rPr>
      </w:pPr>
      <w:r>
        <w:rPr>
          <w:rFonts w:hint="eastAsia" w:ascii="宋体" w:hAnsi="宋体"/>
          <w:color w:val="auto"/>
          <w:spacing w:val="20"/>
          <w:szCs w:val="21"/>
          <w:highlight w:val="none"/>
        </w:rPr>
        <w:t>供应商盖章：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14:paraId="1E2E0941">
      <w:pPr>
        <w:snapToGrid w:val="0"/>
        <w:spacing w:before="50" w:after="120" w:afterLines="50" w:line="360" w:lineRule="exact"/>
        <w:jc w:val="left"/>
        <w:rPr>
          <w:rFonts w:ascii="宋体" w:hAnsi="宋体"/>
          <w:b/>
          <w:color w:val="auto"/>
          <w:szCs w:val="21"/>
          <w:highlight w:val="none"/>
        </w:rPr>
      </w:pPr>
    </w:p>
    <w:p w14:paraId="01952F2C">
      <w:pPr>
        <w:snapToGrid w:val="0"/>
        <w:spacing w:before="50" w:after="120" w:afterLines="50"/>
        <w:jc w:val="right"/>
        <w:rPr>
          <w:rFonts w:ascii="宋体" w:hAnsi="宋体" w:cs="宋体"/>
          <w:color w:val="auto"/>
          <w:szCs w:val="21"/>
          <w:highlight w:val="none"/>
        </w:rPr>
        <w:sectPr>
          <w:pgSz w:w="11910" w:h="16850"/>
          <w:pgMar w:top="1378" w:right="454" w:bottom="0" w:left="280" w:header="0" w:footer="0" w:gutter="0"/>
          <w:cols w:space="720" w:num="1"/>
        </w:sectPr>
      </w:pPr>
    </w:p>
    <w:p w14:paraId="5F943040">
      <w:pPr>
        <w:snapToGrid w:val="0"/>
        <w:spacing w:before="50" w:after="50" w:line="360" w:lineRule="exact"/>
        <w:rPr>
          <w:rFonts w:ascii="宋体" w:hAnsi="宋体"/>
          <w:b/>
          <w:color w:val="auto"/>
          <w:szCs w:val="21"/>
          <w:highlight w:val="none"/>
        </w:rPr>
      </w:pPr>
    </w:p>
    <w:p w14:paraId="629ECD45">
      <w:pPr>
        <w:snapToGrid w:val="0"/>
        <w:spacing w:before="50" w:after="50" w:line="360" w:lineRule="exact"/>
        <w:jc w:val="center"/>
        <w:rPr>
          <w:rFonts w:ascii="宋体" w:hAnsi="宋体"/>
          <w:b/>
          <w:color w:val="auto"/>
          <w:szCs w:val="21"/>
          <w:highlight w:val="none"/>
        </w:rPr>
      </w:pPr>
      <w:r>
        <w:rPr>
          <w:rFonts w:hint="eastAsia" w:ascii="宋体" w:hAnsi="宋体"/>
          <w:b/>
          <w:color w:val="auto"/>
          <w:szCs w:val="21"/>
          <w:highlight w:val="none"/>
        </w:rPr>
        <w:t>租赁费用报价单</w:t>
      </w:r>
      <w:r>
        <w:rPr>
          <w:color w:val="auto"/>
          <w:highlight w:val="none"/>
        </w:rPr>
        <w:t xml:space="preserve">                                      </w:t>
      </w:r>
    </w:p>
    <w:p w14:paraId="5D1B01BC">
      <w:pPr>
        <w:snapToGrid w:val="0"/>
        <w:spacing w:before="50" w:after="120" w:afterLines="50" w:line="360" w:lineRule="exact"/>
        <w:ind w:firstLine="102" w:firstLineChars="49"/>
        <w:jc w:val="right"/>
        <w:rPr>
          <w:rFonts w:ascii="宋体" w:hAnsi="宋体"/>
          <w:b/>
          <w:color w:val="auto"/>
          <w:szCs w:val="21"/>
          <w:highlight w:val="none"/>
        </w:rPr>
      </w:pPr>
      <w:r>
        <w:rPr>
          <w:rFonts w:hint="eastAsia"/>
          <w:color w:val="auto"/>
          <w:highlight w:val="none"/>
        </w:rPr>
        <w:t xml:space="preserve">                                                金额单位：人民币（元）</w:t>
      </w:r>
    </w:p>
    <w:tbl>
      <w:tblPr>
        <w:tblStyle w:val="21"/>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20"/>
        <w:gridCol w:w="1678"/>
        <w:gridCol w:w="925"/>
        <w:gridCol w:w="813"/>
        <w:gridCol w:w="2020"/>
        <w:gridCol w:w="1503"/>
        <w:gridCol w:w="818"/>
        <w:gridCol w:w="1357"/>
        <w:gridCol w:w="1351"/>
      </w:tblGrid>
      <w:tr w14:paraId="49F2EB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404" w:type="pct"/>
            <w:tcBorders>
              <w:top w:val="single" w:color="auto" w:sz="4" w:space="0"/>
              <w:left w:val="single" w:color="auto" w:sz="4" w:space="0"/>
              <w:bottom w:val="single" w:color="auto" w:sz="4" w:space="0"/>
              <w:right w:val="single" w:color="auto" w:sz="4" w:space="0"/>
            </w:tcBorders>
            <w:vAlign w:val="center"/>
          </w:tcPr>
          <w:p w14:paraId="22A37A30">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737" w:type="pct"/>
            <w:tcBorders>
              <w:top w:val="single" w:color="auto" w:sz="4" w:space="0"/>
              <w:left w:val="single" w:color="auto" w:sz="4" w:space="0"/>
              <w:bottom w:val="single" w:color="auto" w:sz="4" w:space="0"/>
              <w:right w:val="single" w:color="auto" w:sz="4" w:space="0"/>
            </w:tcBorders>
            <w:vAlign w:val="center"/>
          </w:tcPr>
          <w:p w14:paraId="1659F9AE">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设备名称</w:t>
            </w:r>
          </w:p>
        </w:tc>
        <w:tc>
          <w:tcPr>
            <w:tcW w:w="406" w:type="pct"/>
            <w:tcBorders>
              <w:top w:val="single" w:color="auto" w:sz="4" w:space="0"/>
              <w:left w:val="single" w:color="auto" w:sz="4" w:space="0"/>
              <w:bottom w:val="single" w:color="auto" w:sz="4" w:space="0"/>
              <w:right w:val="single" w:color="auto" w:sz="4" w:space="0"/>
            </w:tcBorders>
            <w:vAlign w:val="center"/>
          </w:tcPr>
          <w:p w14:paraId="279CBF0E">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数量</w:t>
            </w:r>
          </w:p>
        </w:tc>
        <w:tc>
          <w:tcPr>
            <w:tcW w:w="357" w:type="pct"/>
            <w:tcBorders>
              <w:top w:val="single" w:color="auto" w:sz="4" w:space="0"/>
              <w:left w:val="single" w:color="auto" w:sz="4" w:space="0"/>
              <w:bottom w:val="single" w:color="auto" w:sz="4" w:space="0"/>
              <w:right w:val="single" w:color="auto" w:sz="4" w:space="0"/>
            </w:tcBorders>
            <w:vAlign w:val="center"/>
          </w:tcPr>
          <w:p w14:paraId="3DE569B4">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产地</w:t>
            </w:r>
          </w:p>
        </w:tc>
        <w:tc>
          <w:tcPr>
            <w:tcW w:w="887" w:type="pct"/>
            <w:tcBorders>
              <w:top w:val="single" w:color="auto" w:sz="4" w:space="0"/>
              <w:left w:val="single" w:color="auto" w:sz="4" w:space="0"/>
              <w:bottom w:val="single" w:color="auto" w:sz="4" w:space="0"/>
              <w:right w:val="single" w:color="auto" w:sz="4" w:space="0"/>
            </w:tcBorders>
            <w:vAlign w:val="center"/>
          </w:tcPr>
          <w:p w14:paraId="36CB3B20">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品牌及厂家</w:t>
            </w:r>
          </w:p>
        </w:tc>
        <w:tc>
          <w:tcPr>
            <w:tcW w:w="660" w:type="pct"/>
            <w:tcBorders>
              <w:top w:val="single" w:color="auto" w:sz="4" w:space="0"/>
              <w:left w:val="single" w:color="auto" w:sz="4" w:space="0"/>
              <w:bottom w:val="single" w:color="auto" w:sz="4" w:space="0"/>
              <w:right w:val="single" w:color="auto" w:sz="4" w:space="0"/>
            </w:tcBorders>
            <w:vAlign w:val="center"/>
          </w:tcPr>
          <w:p w14:paraId="3F710FB9">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规格型号</w:t>
            </w:r>
          </w:p>
        </w:tc>
        <w:tc>
          <w:tcPr>
            <w:tcW w:w="359" w:type="pct"/>
            <w:tcBorders>
              <w:top w:val="single" w:color="auto" w:sz="4" w:space="0"/>
              <w:left w:val="single" w:color="auto" w:sz="4" w:space="0"/>
              <w:bottom w:val="single" w:color="auto" w:sz="4" w:space="0"/>
              <w:right w:val="single" w:color="auto" w:sz="4" w:space="0"/>
            </w:tcBorders>
            <w:vAlign w:val="center"/>
          </w:tcPr>
          <w:p w14:paraId="5574FB75">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租赁单价（元/日）</w:t>
            </w:r>
          </w:p>
        </w:tc>
        <w:tc>
          <w:tcPr>
            <w:tcW w:w="593" w:type="pct"/>
            <w:tcBorders>
              <w:top w:val="single" w:color="auto" w:sz="4" w:space="0"/>
              <w:left w:val="single" w:color="auto" w:sz="4" w:space="0"/>
              <w:bottom w:val="single" w:color="auto" w:sz="4" w:space="0"/>
              <w:right w:val="single" w:color="auto" w:sz="4" w:space="0"/>
            </w:tcBorders>
            <w:vAlign w:val="center"/>
          </w:tcPr>
          <w:p w14:paraId="4F7A7461">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天数（日）</w:t>
            </w:r>
          </w:p>
        </w:tc>
        <w:tc>
          <w:tcPr>
            <w:tcW w:w="593" w:type="pct"/>
            <w:tcBorders>
              <w:top w:val="single" w:color="auto" w:sz="4" w:space="0"/>
              <w:left w:val="single" w:color="auto" w:sz="4" w:space="0"/>
              <w:bottom w:val="single" w:color="auto" w:sz="4" w:space="0"/>
              <w:right w:val="single" w:color="auto" w:sz="4" w:space="0"/>
            </w:tcBorders>
            <w:vAlign w:val="center"/>
          </w:tcPr>
          <w:p w14:paraId="0E207574">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合计（元）</w:t>
            </w:r>
          </w:p>
        </w:tc>
      </w:tr>
      <w:tr w14:paraId="6F4B4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404" w:type="pct"/>
            <w:tcBorders>
              <w:top w:val="single" w:color="auto" w:sz="4" w:space="0"/>
              <w:left w:val="single" w:color="auto" w:sz="4" w:space="0"/>
              <w:bottom w:val="single" w:color="auto" w:sz="4" w:space="0"/>
              <w:right w:val="single" w:color="auto" w:sz="4" w:space="0"/>
            </w:tcBorders>
            <w:vAlign w:val="center"/>
          </w:tcPr>
          <w:p w14:paraId="68374C67">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737" w:type="pct"/>
            <w:tcBorders>
              <w:top w:val="single" w:color="auto" w:sz="4" w:space="0"/>
              <w:left w:val="single" w:color="auto" w:sz="4" w:space="0"/>
              <w:bottom w:val="single" w:color="auto" w:sz="4" w:space="0"/>
              <w:right w:val="single" w:color="auto" w:sz="4" w:space="0"/>
            </w:tcBorders>
            <w:vAlign w:val="center"/>
          </w:tcPr>
          <w:p w14:paraId="505B02C4">
            <w:pPr>
              <w:snapToGrid w:val="0"/>
              <w:spacing w:before="50" w:after="50" w:line="360" w:lineRule="exact"/>
              <w:jc w:val="center"/>
              <w:rPr>
                <w:rFonts w:ascii="宋体" w:hAnsi="宋体"/>
                <w:bCs/>
                <w:color w:val="auto"/>
                <w:szCs w:val="21"/>
                <w:highlight w:val="none"/>
              </w:rPr>
            </w:pPr>
            <w:r>
              <w:rPr>
                <w:rFonts w:hint="eastAsia" w:ascii="宋体" w:hAnsi="宋体"/>
                <w:color w:val="auto"/>
                <w:szCs w:val="21"/>
                <w:highlight w:val="none"/>
              </w:rPr>
              <w:t>设备名称1</w:t>
            </w:r>
          </w:p>
        </w:tc>
        <w:tc>
          <w:tcPr>
            <w:tcW w:w="406" w:type="pct"/>
            <w:tcBorders>
              <w:top w:val="single" w:color="auto" w:sz="4" w:space="0"/>
              <w:left w:val="single" w:color="auto" w:sz="4" w:space="0"/>
              <w:bottom w:val="single" w:color="auto" w:sz="4" w:space="0"/>
              <w:right w:val="single" w:color="auto" w:sz="4" w:space="0"/>
            </w:tcBorders>
            <w:vAlign w:val="center"/>
          </w:tcPr>
          <w:p w14:paraId="6C3534F9">
            <w:pPr>
              <w:snapToGrid w:val="0"/>
              <w:spacing w:before="50" w:after="50" w:line="360" w:lineRule="exact"/>
              <w:jc w:val="center"/>
              <w:rPr>
                <w:rFonts w:ascii="宋体" w:hAnsi="宋体"/>
                <w:bCs/>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14:paraId="5EC608FC">
            <w:pPr>
              <w:snapToGrid w:val="0"/>
              <w:spacing w:before="50" w:after="50" w:line="360" w:lineRule="exact"/>
              <w:jc w:val="center"/>
              <w:rPr>
                <w:rFonts w:ascii="宋体" w:hAnsi="宋体"/>
                <w:color w:val="auto"/>
                <w:szCs w:val="21"/>
                <w:highlight w:val="none"/>
              </w:rPr>
            </w:pPr>
          </w:p>
        </w:tc>
        <w:tc>
          <w:tcPr>
            <w:tcW w:w="887" w:type="pct"/>
            <w:tcBorders>
              <w:top w:val="single" w:color="auto" w:sz="4" w:space="0"/>
              <w:left w:val="single" w:color="auto" w:sz="4" w:space="0"/>
              <w:bottom w:val="single" w:color="auto" w:sz="4" w:space="0"/>
              <w:right w:val="single" w:color="auto" w:sz="4" w:space="0"/>
            </w:tcBorders>
            <w:vAlign w:val="center"/>
          </w:tcPr>
          <w:p w14:paraId="4C582C04">
            <w:pPr>
              <w:snapToGrid w:val="0"/>
              <w:spacing w:before="50" w:after="50" w:line="360" w:lineRule="exact"/>
              <w:jc w:val="center"/>
              <w:rPr>
                <w:rFonts w:ascii="宋体" w:hAnsi="宋体"/>
                <w:color w:val="auto"/>
                <w:szCs w:val="21"/>
                <w:highlight w:val="none"/>
              </w:rPr>
            </w:pPr>
          </w:p>
        </w:tc>
        <w:tc>
          <w:tcPr>
            <w:tcW w:w="660" w:type="pct"/>
            <w:tcBorders>
              <w:top w:val="single" w:color="auto" w:sz="4" w:space="0"/>
              <w:left w:val="single" w:color="auto" w:sz="4" w:space="0"/>
              <w:bottom w:val="single" w:color="auto" w:sz="4" w:space="0"/>
              <w:right w:val="single" w:color="auto" w:sz="4" w:space="0"/>
            </w:tcBorders>
            <w:vAlign w:val="center"/>
          </w:tcPr>
          <w:p w14:paraId="7098D3C6">
            <w:pPr>
              <w:snapToGrid w:val="0"/>
              <w:spacing w:before="50" w:after="50" w:line="360" w:lineRule="exact"/>
              <w:jc w:val="center"/>
              <w:rPr>
                <w:rFonts w:ascii="宋体" w:hAnsi="宋体"/>
                <w:color w:val="auto"/>
                <w:szCs w:val="21"/>
                <w:highlight w:val="none"/>
              </w:rPr>
            </w:pPr>
          </w:p>
        </w:tc>
        <w:tc>
          <w:tcPr>
            <w:tcW w:w="359" w:type="pct"/>
            <w:tcBorders>
              <w:top w:val="single" w:color="auto" w:sz="4" w:space="0"/>
              <w:left w:val="single" w:color="auto" w:sz="4" w:space="0"/>
              <w:bottom w:val="single" w:color="auto" w:sz="4" w:space="0"/>
              <w:right w:val="single" w:color="auto" w:sz="4" w:space="0"/>
            </w:tcBorders>
            <w:vAlign w:val="center"/>
          </w:tcPr>
          <w:p w14:paraId="31AF1FE0">
            <w:pPr>
              <w:snapToGrid w:val="0"/>
              <w:spacing w:before="50" w:after="50" w:line="360" w:lineRule="exact"/>
              <w:jc w:val="center"/>
              <w:rPr>
                <w:rFonts w:ascii="宋体" w:hAnsi="宋体"/>
                <w:color w:val="auto"/>
                <w:szCs w:val="21"/>
                <w:highlight w:val="none"/>
              </w:rPr>
            </w:pPr>
          </w:p>
        </w:tc>
        <w:tc>
          <w:tcPr>
            <w:tcW w:w="593" w:type="pct"/>
            <w:tcBorders>
              <w:top w:val="single" w:color="auto" w:sz="4" w:space="0"/>
              <w:left w:val="single" w:color="auto" w:sz="4" w:space="0"/>
              <w:bottom w:val="single" w:color="auto" w:sz="4" w:space="0"/>
              <w:right w:val="single" w:color="auto" w:sz="4" w:space="0"/>
            </w:tcBorders>
            <w:vAlign w:val="center"/>
          </w:tcPr>
          <w:p w14:paraId="6598374F">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365</w:t>
            </w:r>
          </w:p>
        </w:tc>
        <w:tc>
          <w:tcPr>
            <w:tcW w:w="593" w:type="pct"/>
            <w:tcBorders>
              <w:top w:val="single" w:color="auto" w:sz="4" w:space="0"/>
              <w:left w:val="single" w:color="auto" w:sz="4" w:space="0"/>
              <w:bottom w:val="single" w:color="auto" w:sz="4" w:space="0"/>
              <w:right w:val="single" w:color="auto" w:sz="4" w:space="0"/>
            </w:tcBorders>
            <w:vAlign w:val="center"/>
          </w:tcPr>
          <w:p w14:paraId="5BFB35DD">
            <w:pPr>
              <w:snapToGrid w:val="0"/>
              <w:spacing w:before="50" w:after="50" w:line="360" w:lineRule="exact"/>
              <w:jc w:val="center"/>
              <w:rPr>
                <w:rFonts w:ascii="宋体" w:hAnsi="宋体"/>
                <w:color w:val="auto"/>
                <w:szCs w:val="21"/>
                <w:highlight w:val="none"/>
              </w:rPr>
            </w:pPr>
          </w:p>
        </w:tc>
      </w:tr>
      <w:tr w14:paraId="22FF1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404" w:type="pct"/>
            <w:tcBorders>
              <w:top w:val="single" w:color="auto" w:sz="4" w:space="0"/>
              <w:left w:val="single" w:color="auto" w:sz="4" w:space="0"/>
              <w:bottom w:val="single" w:color="auto" w:sz="4" w:space="0"/>
              <w:right w:val="single" w:color="auto" w:sz="4" w:space="0"/>
            </w:tcBorders>
            <w:vAlign w:val="center"/>
          </w:tcPr>
          <w:p w14:paraId="4D8A6A89">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2</w:t>
            </w:r>
          </w:p>
        </w:tc>
        <w:tc>
          <w:tcPr>
            <w:tcW w:w="737" w:type="pct"/>
            <w:tcBorders>
              <w:top w:val="single" w:color="auto" w:sz="4" w:space="0"/>
              <w:left w:val="single" w:color="auto" w:sz="4" w:space="0"/>
              <w:bottom w:val="single" w:color="auto" w:sz="4" w:space="0"/>
              <w:right w:val="single" w:color="auto" w:sz="4" w:space="0"/>
            </w:tcBorders>
            <w:vAlign w:val="center"/>
          </w:tcPr>
          <w:p w14:paraId="4B665E33">
            <w:pPr>
              <w:snapToGrid w:val="0"/>
              <w:spacing w:before="50" w:after="50" w:line="360" w:lineRule="exact"/>
              <w:jc w:val="center"/>
              <w:rPr>
                <w:rFonts w:ascii="宋体" w:hAnsi="宋体"/>
                <w:bCs/>
                <w:color w:val="auto"/>
                <w:szCs w:val="21"/>
                <w:highlight w:val="none"/>
              </w:rPr>
            </w:pPr>
            <w:r>
              <w:rPr>
                <w:rFonts w:hint="eastAsia" w:ascii="宋体" w:hAnsi="宋体"/>
                <w:color w:val="auto"/>
                <w:szCs w:val="21"/>
                <w:highlight w:val="none"/>
              </w:rPr>
              <w:t>设备名称2</w:t>
            </w:r>
          </w:p>
        </w:tc>
        <w:tc>
          <w:tcPr>
            <w:tcW w:w="406" w:type="pct"/>
            <w:tcBorders>
              <w:top w:val="single" w:color="auto" w:sz="4" w:space="0"/>
              <w:left w:val="single" w:color="auto" w:sz="4" w:space="0"/>
              <w:bottom w:val="single" w:color="auto" w:sz="4" w:space="0"/>
              <w:right w:val="single" w:color="auto" w:sz="4" w:space="0"/>
            </w:tcBorders>
            <w:vAlign w:val="center"/>
          </w:tcPr>
          <w:p w14:paraId="6651E99F">
            <w:pPr>
              <w:snapToGrid w:val="0"/>
              <w:spacing w:before="50" w:after="50" w:line="360" w:lineRule="exact"/>
              <w:jc w:val="center"/>
              <w:rPr>
                <w:rFonts w:ascii="宋体" w:hAnsi="宋体"/>
                <w:bCs/>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14:paraId="2069E5AA">
            <w:pPr>
              <w:snapToGrid w:val="0"/>
              <w:spacing w:before="50" w:after="50" w:line="360" w:lineRule="exact"/>
              <w:jc w:val="center"/>
              <w:rPr>
                <w:rFonts w:ascii="宋体" w:hAnsi="宋体"/>
                <w:color w:val="auto"/>
                <w:szCs w:val="21"/>
                <w:highlight w:val="none"/>
              </w:rPr>
            </w:pPr>
          </w:p>
        </w:tc>
        <w:tc>
          <w:tcPr>
            <w:tcW w:w="887" w:type="pct"/>
            <w:tcBorders>
              <w:top w:val="single" w:color="auto" w:sz="4" w:space="0"/>
              <w:left w:val="single" w:color="auto" w:sz="4" w:space="0"/>
              <w:bottom w:val="single" w:color="auto" w:sz="4" w:space="0"/>
              <w:right w:val="single" w:color="auto" w:sz="4" w:space="0"/>
            </w:tcBorders>
            <w:vAlign w:val="center"/>
          </w:tcPr>
          <w:p w14:paraId="6CAD8057">
            <w:pPr>
              <w:snapToGrid w:val="0"/>
              <w:spacing w:before="50" w:after="50" w:line="360" w:lineRule="exact"/>
              <w:jc w:val="center"/>
              <w:rPr>
                <w:rFonts w:ascii="宋体" w:hAnsi="宋体"/>
                <w:color w:val="auto"/>
                <w:szCs w:val="21"/>
                <w:highlight w:val="none"/>
              </w:rPr>
            </w:pPr>
          </w:p>
        </w:tc>
        <w:tc>
          <w:tcPr>
            <w:tcW w:w="660" w:type="pct"/>
            <w:tcBorders>
              <w:top w:val="single" w:color="auto" w:sz="4" w:space="0"/>
              <w:left w:val="single" w:color="auto" w:sz="4" w:space="0"/>
              <w:bottom w:val="single" w:color="auto" w:sz="4" w:space="0"/>
              <w:right w:val="single" w:color="auto" w:sz="4" w:space="0"/>
            </w:tcBorders>
            <w:vAlign w:val="center"/>
          </w:tcPr>
          <w:p w14:paraId="59CCF57A">
            <w:pPr>
              <w:snapToGrid w:val="0"/>
              <w:spacing w:before="50" w:after="50" w:line="360" w:lineRule="exact"/>
              <w:jc w:val="center"/>
              <w:rPr>
                <w:rFonts w:ascii="宋体" w:hAnsi="宋体"/>
                <w:color w:val="auto"/>
                <w:szCs w:val="21"/>
                <w:highlight w:val="none"/>
              </w:rPr>
            </w:pPr>
          </w:p>
        </w:tc>
        <w:tc>
          <w:tcPr>
            <w:tcW w:w="359" w:type="pct"/>
            <w:tcBorders>
              <w:top w:val="single" w:color="auto" w:sz="4" w:space="0"/>
              <w:left w:val="single" w:color="auto" w:sz="4" w:space="0"/>
              <w:bottom w:val="single" w:color="auto" w:sz="4" w:space="0"/>
              <w:right w:val="single" w:color="auto" w:sz="4" w:space="0"/>
            </w:tcBorders>
            <w:vAlign w:val="center"/>
          </w:tcPr>
          <w:p w14:paraId="7B16FA30">
            <w:pPr>
              <w:snapToGrid w:val="0"/>
              <w:spacing w:before="50" w:after="50" w:line="360" w:lineRule="exact"/>
              <w:jc w:val="center"/>
              <w:rPr>
                <w:rFonts w:ascii="宋体" w:hAnsi="宋体"/>
                <w:color w:val="auto"/>
                <w:szCs w:val="21"/>
                <w:highlight w:val="none"/>
              </w:rPr>
            </w:pPr>
          </w:p>
        </w:tc>
        <w:tc>
          <w:tcPr>
            <w:tcW w:w="593" w:type="pct"/>
            <w:tcBorders>
              <w:top w:val="single" w:color="auto" w:sz="4" w:space="0"/>
              <w:left w:val="single" w:color="auto" w:sz="4" w:space="0"/>
              <w:bottom w:val="single" w:color="auto" w:sz="4" w:space="0"/>
              <w:right w:val="single" w:color="auto" w:sz="4" w:space="0"/>
            </w:tcBorders>
            <w:vAlign w:val="center"/>
          </w:tcPr>
          <w:p w14:paraId="206F55EF">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365</w:t>
            </w:r>
          </w:p>
        </w:tc>
        <w:tc>
          <w:tcPr>
            <w:tcW w:w="593" w:type="pct"/>
            <w:tcBorders>
              <w:top w:val="single" w:color="auto" w:sz="4" w:space="0"/>
              <w:left w:val="single" w:color="auto" w:sz="4" w:space="0"/>
              <w:bottom w:val="single" w:color="auto" w:sz="4" w:space="0"/>
              <w:right w:val="single" w:color="auto" w:sz="4" w:space="0"/>
            </w:tcBorders>
            <w:vAlign w:val="center"/>
          </w:tcPr>
          <w:p w14:paraId="2704EE65">
            <w:pPr>
              <w:snapToGrid w:val="0"/>
              <w:spacing w:before="50" w:after="50" w:line="360" w:lineRule="exact"/>
              <w:jc w:val="center"/>
              <w:rPr>
                <w:rFonts w:ascii="宋体" w:hAnsi="宋体"/>
                <w:color w:val="auto"/>
                <w:szCs w:val="21"/>
                <w:highlight w:val="none"/>
              </w:rPr>
            </w:pPr>
          </w:p>
        </w:tc>
      </w:tr>
      <w:tr w14:paraId="37EB4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404" w:type="pct"/>
            <w:tcBorders>
              <w:top w:val="single" w:color="auto" w:sz="4" w:space="0"/>
              <w:left w:val="single" w:color="auto" w:sz="4" w:space="0"/>
              <w:bottom w:val="single" w:color="auto" w:sz="4" w:space="0"/>
              <w:right w:val="single" w:color="auto" w:sz="4" w:space="0"/>
            </w:tcBorders>
            <w:vAlign w:val="center"/>
          </w:tcPr>
          <w:p w14:paraId="56AB8011">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w:t>
            </w:r>
          </w:p>
        </w:tc>
        <w:tc>
          <w:tcPr>
            <w:tcW w:w="737" w:type="pct"/>
            <w:tcBorders>
              <w:top w:val="single" w:color="auto" w:sz="4" w:space="0"/>
              <w:left w:val="single" w:color="auto" w:sz="4" w:space="0"/>
              <w:bottom w:val="single" w:color="auto" w:sz="4" w:space="0"/>
              <w:right w:val="single" w:color="auto" w:sz="4" w:space="0"/>
            </w:tcBorders>
            <w:vAlign w:val="center"/>
          </w:tcPr>
          <w:p w14:paraId="5A29830E">
            <w:pPr>
              <w:snapToGrid w:val="0"/>
              <w:spacing w:before="50" w:after="50" w:line="360" w:lineRule="exact"/>
              <w:jc w:val="center"/>
              <w:rPr>
                <w:rFonts w:ascii="宋体" w:hAnsi="宋体"/>
                <w:bCs/>
                <w:color w:val="auto"/>
                <w:szCs w:val="21"/>
                <w:highlight w:val="none"/>
              </w:rPr>
            </w:pPr>
          </w:p>
        </w:tc>
        <w:tc>
          <w:tcPr>
            <w:tcW w:w="406" w:type="pct"/>
            <w:tcBorders>
              <w:top w:val="single" w:color="auto" w:sz="4" w:space="0"/>
              <w:left w:val="single" w:color="auto" w:sz="4" w:space="0"/>
              <w:bottom w:val="single" w:color="auto" w:sz="4" w:space="0"/>
              <w:right w:val="single" w:color="auto" w:sz="4" w:space="0"/>
            </w:tcBorders>
            <w:vAlign w:val="center"/>
          </w:tcPr>
          <w:p w14:paraId="14B4F7A2">
            <w:pPr>
              <w:snapToGrid w:val="0"/>
              <w:spacing w:before="50" w:after="50" w:line="360" w:lineRule="exact"/>
              <w:jc w:val="center"/>
              <w:rPr>
                <w:rFonts w:ascii="宋体" w:hAnsi="宋体"/>
                <w:bCs/>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14:paraId="3C372981">
            <w:pPr>
              <w:snapToGrid w:val="0"/>
              <w:spacing w:before="50" w:after="50" w:line="360" w:lineRule="exact"/>
              <w:jc w:val="center"/>
              <w:rPr>
                <w:rFonts w:ascii="宋体" w:hAnsi="宋体"/>
                <w:color w:val="auto"/>
                <w:szCs w:val="21"/>
                <w:highlight w:val="none"/>
              </w:rPr>
            </w:pPr>
          </w:p>
        </w:tc>
        <w:tc>
          <w:tcPr>
            <w:tcW w:w="887" w:type="pct"/>
            <w:tcBorders>
              <w:top w:val="single" w:color="auto" w:sz="4" w:space="0"/>
              <w:left w:val="single" w:color="auto" w:sz="4" w:space="0"/>
              <w:bottom w:val="single" w:color="auto" w:sz="4" w:space="0"/>
              <w:right w:val="single" w:color="auto" w:sz="4" w:space="0"/>
            </w:tcBorders>
            <w:vAlign w:val="center"/>
          </w:tcPr>
          <w:p w14:paraId="2F9D9111">
            <w:pPr>
              <w:snapToGrid w:val="0"/>
              <w:spacing w:before="50" w:after="50" w:line="360" w:lineRule="exact"/>
              <w:jc w:val="center"/>
              <w:rPr>
                <w:rFonts w:ascii="宋体" w:hAnsi="宋体"/>
                <w:color w:val="auto"/>
                <w:szCs w:val="21"/>
                <w:highlight w:val="none"/>
              </w:rPr>
            </w:pPr>
          </w:p>
        </w:tc>
        <w:tc>
          <w:tcPr>
            <w:tcW w:w="660" w:type="pct"/>
            <w:tcBorders>
              <w:top w:val="single" w:color="auto" w:sz="4" w:space="0"/>
              <w:left w:val="single" w:color="auto" w:sz="4" w:space="0"/>
              <w:bottom w:val="single" w:color="auto" w:sz="4" w:space="0"/>
              <w:right w:val="single" w:color="auto" w:sz="4" w:space="0"/>
            </w:tcBorders>
            <w:vAlign w:val="center"/>
          </w:tcPr>
          <w:p w14:paraId="7BBBEBA8">
            <w:pPr>
              <w:snapToGrid w:val="0"/>
              <w:spacing w:before="50" w:after="50" w:line="360" w:lineRule="exact"/>
              <w:jc w:val="center"/>
              <w:rPr>
                <w:rFonts w:ascii="宋体" w:hAnsi="宋体"/>
                <w:color w:val="auto"/>
                <w:szCs w:val="21"/>
                <w:highlight w:val="none"/>
              </w:rPr>
            </w:pPr>
          </w:p>
        </w:tc>
        <w:tc>
          <w:tcPr>
            <w:tcW w:w="359" w:type="pct"/>
            <w:tcBorders>
              <w:top w:val="single" w:color="auto" w:sz="4" w:space="0"/>
              <w:left w:val="single" w:color="auto" w:sz="4" w:space="0"/>
              <w:bottom w:val="single" w:color="auto" w:sz="4" w:space="0"/>
              <w:right w:val="single" w:color="auto" w:sz="4" w:space="0"/>
            </w:tcBorders>
            <w:vAlign w:val="center"/>
          </w:tcPr>
          <w:p w14:paraId="4B67870A">
            <w:pPr>
              <w:snapToGrid w:val="0"/>
              <w:spacing w:before="50" w:after="50" w:line="360" w:lineRule="exact"/>
              <w:jc w:val="center"/>
              <w:rPr>
                <w:rFonts w:ascii="宋体" w:hAnsi="宋体"/>
                <w:color w:val="auto"/>
                <w:szCs w:val="21"/>
                <w:highlight w:val="none"/>
              </w:rPr>
            </w:pPr>
          </w:p>
        </w:tc>
        <w:tc>
          <w:tcPr>
            <w:tcW w:w="593" w:type="pct"/>
            <w:tcBorders>
              <w:top w:val="single" w:color="auto" w:sz="4" w:space="0"/>
              <w:left w:val="single" w:color="auto" w:sz="4" w:space="0"/>
              <w:bottom w:val="single" w:color="auto" w:sz="4" w:space="0"/>
              <w:right w:val="single" w:color="auto" w:sz="4" w:space="0"/>
            </w:tcBorders>
            <w:vAlign w:val="center"/>
          </w:tcPr>
          <w:p w14:paraId="5E8B5190">
            <w:pPr>
              <w:snapToGrid w:val="0"/>
              <w:spacing w:before="50" w:after="50" w:line="360" w:lineRule="exact"/>
              <w:jc w:val="center"/>
              <w:rPr>
                <w:rFonts w:ascii="宋体" w:hAnsi="宋体"/>
                <w:color w:val="auto"/>
                <w:szCs w:val="21"/>
                <w:highlight w:val="none"/>
              </w:rPr>
            </w:pPr>
          </w:p>
        </w:tc>
        <w:tc>
          <w:tcPr>
            <w:tcW w:w="593" w:type="pct"/>
            <w:tcBorders>
              <w:top w:val="single" w:color="auto" w:sz="4" w:space="0"/>
              <w:left w:val="single" w:color="auto" w:sz="4" w:space="0"/>
              <w:bottom w:val="single" w:color="auto" w:sz="4" w:space="0"/>
              <w:right w:val="single" w:color="auto" w:sz="4" w:space="0"/>
            </w:tcBorders>
            <w:vAlign w:val="center"/>
          </w:tcPr>
          <w:p w14:paraId="6AD0891E">
            <w:pPr>
              <w:snapToGrid w:val="0"/>
              <w:spacing w:before="50" w:after="50" w:line="360" w:lineRule="exact"/>
              <w:jc w:val="center"/>
              <w:rPr>
                <w:rFonts w:ascii="宋体" w:hAnsi="宋体"/>
                <w:color w:val="auto"/>
                <w:szCs w:val="21"/>
                <w:highlight w:val="none"/>
              </w:rPr>
            </w:pPr>
          </w:p>
        </w:tc>
      </w:tr>
      <w:tr w14:paraId="4921F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404" w:type="pct"/>
            <w:tcBorders>
              <w:top w:val="single" w:color="auto" w:sz="4" w:space="0"/>
              <w:left w:val="single" w:color="auto" w:sz="4" w:space="0"/>
              <w:bottom w:val="single" w:color="auto" w:sz="4" w:space="0"/>
              <w:right w:val="single" w:color="auto" w:sz="4" w:space="0"/>
            </w:tcBorders>
            <w:vAlign w:val="center"/>
          </w:tcPr>
          <w:p w14:paraId="7C53B448">
            <w:pPr>
              <w:snapToGrid w:val="0"/>
              <w:spacing w:before="50" w:after="50" w:line="360" w:lineRule="exact"/>
              <w:jc w:val="center"/>
              <w:rPr>
                <w:rFonts w:ascii="宋体" w:hAnsi="宋体"/>
                <w:color w:val="auto"/>
                <w:szCs w:val="21"/>
                <w:highlight w:val="none"/>
              </w:rPr>
            </w:pPr>
          </w:p>
        </w:tc>
        <w:tc>
          <w:tcPr>
            <w:tcW w:w="737" w:type="pct"/>
            <w:tcBorders>
              <w:top w:val="single" w:color="auto" w:sz="4" w:space="0"/>
              <w:left w:val="single" w:color="auto" w:sz="4" w:space="0"/>
              <w:bottom w:val="single" w:color="auto" w:sz="4" w:space="0"/>
              <w:right w:val="single" w:color="auto" w:sz="4" w:space="0"/>
            </w:tcBorders>
            <w:vAlign w:val="center"/>
          </w:tcPr>
          <w:p w14:paraId="25F87EFA">
            <w:pPr>
              <w:snapToGrid w:val="0"/>
              <w:spacing w:before="50" w:after="50" w:line="360" w:lineRule="exact"/>
              <w:jc w:val="center"/>
              <w:rPr>
                <w:rFonts w:ascii="宋体" w:hAnsi="宋体"/>
                <w:bCs/>
                <w:color w:val="auto"/>
                <w:szCs w:val="21"/>
                <w:highlight w:val="none"/>
              </w:rPr>
            </w:pPr>
            <w:r>
              <w:rPr>
                <w:rFonts w:hint="eastAsia" w:ascii="宋体" w:hAnsi="宋体"/>
                <w:bCs/>
                <w:color w:val="auto"/>
                <w:szCs w:val="21"/>
                <w:highlight w:val="none"/>
              </w:rPr>
              <w:t>可增行</w:t>
            </w:r>
          </w:p>
        </w:tc>
        <w:tc>
          <w:tcPr>
            <w:tcW w:w="406" w:type="pct"/>
            <w:tcBorders>
              <w:top w:val="single" w:color="auto" w:sz="4" w:space="0"/>
              <w:left w:val="single" w:color="auto" w:sz="4" w:space="0"/>
              <w:bottom w:val="single" w:color="auto" w:sz="4" w:space="0"/>
              <w:right w:val="single" w:color="auto" w:sz="4" w:space="0"/>
            </w:tcBorders>
            <w:vAlign w:val="center"/>
          </w:tcPr>
          <w:p w14:paraId="4D7DAFF7">
            <w:pPr>
              <w:snapToGrid w:val="0"/>
              <w:spacing w:before="50" w:after="50" w:line="360" w:lineRule="exact"/>
              <w:jc w:val="center"/>
              <w:rPr>
                <w:rFonts w:ascii="宋体" w:hAnsi="宋体"/>
                <w:bCs/>
                <w:color w:val="auto"/>
                <w:szCs w:val="21"/>
                <w:highlight w:val="none"/>
              </w:rPr>
            </w:pPr>
          </w:p>
        </w:tc>
        <w:tc>
          <w:tcPr>
            <w:tcW w:w="357" w:type="pct"/>
            <w:tcBorders>
              <w:top w:val="single" w:color="auto" w:sz="4" w:space="0"/>
              <w:left w:val="single" w:color="auto" w:sz="4" w:space="0"/>
              <w:bottom w:val="single" w:color="auto" w:sz="4" w:space="0"/>
              <w:right w:val="single" w:color="auto" w:sz="4" w:space="0"/>
            </w:tcBorders>
            <w:vAlign w:val="center"/>
          </w:tcPr>
          <w:p w14:paraId="17CBF3B9">
            <w:pPr>
              <w:snapToGrid w:val="0"/>
              <w:spacing w:before="50" w:after="50" w:line="360" w:lineRule="exact"/>
              <w:jc w:val="center"/>
              <w:rPr>
                <w:rFonts w:ascii="宋体" w:hAnsi="宋体"/>
                <w:color w:val="auto"/>
                <w:szCs w:val="21"/>
                <w:highlight w:val="none"/>
              </w:rPr>
            </w:pPr>
          </w:p>
        </w:tc>
        <w:tc>
          <w:tcPr>
            <w:tcW w:w="887" w:type="pct"/>
            <w:tcBorders>
              <w:top w:val="single" w:color="auto" w:sz="4" w:space="0"/>
              <w:left w:val="single" w:color="auto" w:sz="4" w:space="0"/>
              <w:bottom w:val="single" w:color="auto" w:sz="4" w:space="0"/>
              <w:right w:val="single" w:color="auto" w:sz="4" w:space="0"/>
            </w:tcBorders>
            <w:vAlign w:val="center"/>
          </w:tcPr>
          <w:p w14:paraId="6C56B3EB">
            <w:pPr>
              <w:snapToGrid w:val="0"/>
              <w:spacing w:before="50" w:after="50" w:line="360" w:lineRule="exact"/>
              <w:jc w:val="center"/>
              <w:rPr>
                <w:rFonts w:ascii="宋体" w:hAnsi="宋体"/>
                <w:color w:val="auto"/>
                <w:szCs w:val="21"/>
                <w:highlight w:val="none"/>
              </w:rPr>
            </w:pPr>
          </w:p>
        </w:tc>
        <w:tc>
          <w:tcPr>
            <w:tcW w:w="660" w:type="pct"/>
            <w:tcBorders>
              <w:top w:val="single" w:color="auto" w:sz="4" w:space="0"/>
              <w:left w:val="single" w:color="auto" w:sz="4" w:space="0"/>
              <w:bottom w:val="single" w:color="auto" w:sz="4" w:space="0"/>
              <w:right w:val="single" w:color="auto" w:sz="4" w:space="0"/>
            </w:tcBorders>
            <w:vAlign w:val="center"/>
          </w:tcPr>
          <w:p w14:paraId="3CCB01C4">
            <w:pPr>
              <w:snapToGrid w:val="0"/>
              <w:spacing w:before="50" w:after="50" w:line="360" w:lineRule="exact"/>
              <w:jc w:val="center"/>
              <w:rPr>
                <w:rFonts w:ascii="宋体" w:hAnsi="宋体"/>
                <w:color w:val="auto"/>
                <w:szCs w:val="21"/>
                <w:highlight w:val="none"/>
              </w:rPr>
            </w:pPr>
          </w:p>
        </w:tc>
        <w:tc>
          <w:tcPr>
            <w:tcW w:w="359" w:type="pct"/>
            <w:tcBorders>
              <w:top w:val="single" w:color="auto" w:sz="4" w:space="0"/>
              <w:left w:val="single" w:color="auto" w:sz="4" w:space="0"/>
              <w:bottom w:val="single" w:color="auto" w:sz="4" w:space="0"/>
              <w:right w:val="single" w:color="auto" w:sz="4" w:space="0"/>
            </w:tcBorders>
            <w:vAlign w:val="center"/>
          </w:tcPr>
          <w:p w14:paraId="2F42B63E">
            <w:pPr>
              <w:snapToGrid w:val="0"/>
              <w:spacing w:before="50" w:after="50" w:line="360" w:lineRule="exact"/>
              <w:jc w:val="center"/>
              <w:rPr>
                <w:rFonts w:ascii="宋体" w:hAnsi="宋体"/>
                <w:color w:val="auto"/>
                <w:szCs w:val="21"/>
                <w:highlight w:val="none"/>
              </w:rPr>
            </w:pPr>
          </w:p>
        </w:tc>
        <w:tc>
          <w:tcPr>
            <w:tcW w:w="593" w:type="pct"/>
            <w:tcBorders>
              <w:top w:val="single" w:color="auto" w:sz="4" w:space="0"/>
              <w:left w:val="single" w:color="auto" w:sz="4" w:space="0"/>
              <w:bottom w:val="single" w:color="auto" w:sz="4" w:space="0"/>
              <w:right w:val="single" w:color="auto" w:sz="4" w:space="0"/>
            </w:tcBorders>
            <w:vAlign w:val="center"/>
          </w:tcPr>
          <w:p w14:paraId="1FA8ABD1">
            <w:pPr>
              <w:snapToGrid w:val="0"/>
              <w:spacing w:before="50" w:after="50" w:line="360" w:lineRule="exact"/>
              <w:jc w:val="center"/>
              <w:rPr>
                <w:rFonts w:ascii="宋体" w:hAnsi="宋体"/>
                <w:color w:val="auto"/>
                <w:szCs w:val="21"/>
                <w:highlight w:val="none"/>
              </w:rPr>
            </w:pPr>
          </w:p>
        </w:tc>
        <w:tc>
          <w:tcPr>
            <w:tcW w:w="593" w:type="pct"/>
            <w:tcBorders>
              <w:top w:val="single" w:color="auto" w:sz="4" w:space="0"/>
              <w:left w:val="single" w:color="auto" w:sz="4" w:space="0"/>
              <w:bottom w:val="single" w:color="auto" w:sz="4" w:space="0"/>
              <w:right w:val="single" w:color="auto" w:sz="4" w:space="0"/>
            </w:tcBorders>
            <w:vAlign w:val="center"/>
          </w:tcPr>
          <w:p w14:paraId="191397AD">
            <w:pPr>
              <w:snapToGrid w:val="0"/>
              <w:spacing w:before="50" w:after="50" w:line="360" w:lineRule="exact"/>
              <w:jc w:val="center"/>
              <w:rPr>
                <w:rFonts w:ascii="宋体" w:hAnsi="宋体"/>
                <w:color w:val="auto"/>
                <w:szCs w:val="21"/>
                <w:highlight w:val="none"/>
              </w:rPr>
            </w:pPr>
          </w:p>
        </w:tc>
      </w:tr>
      <w:tr w14:paraId="4787E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4406" w:type="pct"/>
            <w:gridSpan w:val="8"/>
            <w:tcBorders>
              <w:top w:val="single" w:color="auto" w:sz="4" w:space="0"/>
              <w:left w:val="single" w:color="auto" w:sz="4" w:space="0"/>
              <w:bottom w:val="single" w:color="auto" w:sz="4" w:space="0"/>
              <w:right w:val="single" w:color="auto" w:sz="4" w:space="0"/>
            </w:tcBorders>
            <w:vAlign w:val="center"/>
          </w:tcPr>
          <w:p w14:paraId="76D38BE2">
            <w:pPr>
              <w:snapToGrid w:val="0"/>
              <w:spacing w:before="50" w:after="50" w:line="360" w:lineRule="exact"/>
              <w:jc w:val="center"/>
              <w:rPr>
                <w:rFonts w:ascii="宋体" w:hAnsi="宋体"/>
                <w:color w:val="auto"/>
                <w:szCs w:val="21"/>
                <w:highlight w:val="none"/>
                <w:u w:val="single"/>
              </w:rPr>
            </w:pPr>
            <w:r>
              <w:rPr>
                <w:rFonts w:hint="eastAsia" w:hAnsi="宋体"/>
                <w:color w:val="auto"/>
                <w:highlight w:val="none"/>
              </w:rPr>
              <w:t>本项目</w:t>
            </w:r>
            <w:r>
              <w:rPr>
                <w:rFonts w:hint="eastAsia" w:ascii="宋体" w:hAnsi="宋体"/>
                <w:color w:val="auto"/>
                <w:szCs w:val="21"/>
                <w:highlight w:val="none"/>
              </w:rPr>
              <w:t>合计金额大写：                                              ￥</w:t>
            </w:r>
          </w:p>
        </w:tc>
        <w:tc>
          <w:tcPr>
            <w:tcW w:w="593" w:type="pct"/>
            <w:tcBorders>
              <w:top w:val="single" w:color="auto" w:sz="4" w:space="0"/>
              <w:left w:val="single" w:color="auto" w:sz="4" w:space="0"/>
              <w:bottom w:val="single" w:color="auto" w:sz="4" w:space="0"/>
              <w:right w:val="single" w:color="auto" w:sz="4" w:space="0"/>
            </w:tcBorders>
            <w:vAlign w:val="center"/>
          </w:tcPr>
          <w:p w14:paraId="21D354B9">
            <w:pPr>
              <w:snapToGrid w:val="0"/>
              <w:spacing w:before="50" w:after="50" w:line="360" w:lineRule="exact"/>
              <w:jc w:val="center"/>
              <w:rPr>
                <w:rFonts w:hAnsi="宋体"/>
                <w:color w:val="auto"/>
                <w:highlight w:val="none"/>
              </w:rPr>
            </w:pPr>
          </w:p>
        </w:tc>
      </w:tr>
    </w:tbl>
    <w:p w14:paraId="7EAEEB94">
      <w:pPr>
        <w:snapToGrid w:val="0"/>
        <w:spacing w:before="50" w:after="50" w:line="360" w:lineRule="exact"/>
        <w:jc w:val="left"/>
        <w:rPr>
          <w:rFonts w:ascii="宋体" w:hAnsi="宋体"/>
          <w:color w:val="auto"/>
          <w:szCs w:val="21"/>
          <w:highlight w:val="none"/>
        </w:rPr>
      </w:pPr>
      <w:r>
        <w:rPr>
          <w:rFonts w:hint="eastAsia" w:ascii="宋体" w:hAnsi="宋体"/>
          <w:color w:val="auto"/>
          <w:szCs w:val="21"/>
          <w:highlight w:val="none"/>
        </w:rPr>
        <w:t>注: 1、报价一经涂改，应在涂改处加盖单位公章或者由法定代表人或授权委托人签字或盖章，否则其报价作无效标处理。</w:t>
      </w:r>
    </w:p>
    <w:p w14:paraId="3A523077">
      <w:pPr>
        <w:snapToGrid w:val="0"/>
        <w:spacing w:before="50" w:after="50" w:line="360" w:lineRule="exact"/>
        <w:ind w:left="-2" w:leftChars="-1" w:right="-817" w:rightChars="-389" w:firstLine="420" w:firstLineChars="200"/>
        <w:rPr>
          <w:rFonts w:ascii="宋体" w:hAnsi="宋体"/>
          <w:color w:val="auto"/>
          <w:szCs w:val="21"/>
          <w:highlight w:val="none"/>
        </w:rPr>
      </w:pPr>
      <w:r>
        <w:rPr>
          <w:rFonts w:hint="eastAsia" w:ascii="宋体" w:hAnsi="宋体"/>
          <w:color w:val="auto"/>
          <w:szCs w:val="21"/>
          <w:highlight w:val="none"/>
        </w:rPr>
        <w:t xml:space="preserve">2、报价要求：报价金额应包含项目所有产品供货、运输、保管、安装、调试、垃圾清理、验收、设备安装维护，滤芯更换、水质检测、税费、租赁服务、培训服务等费用。报价不能超过预算价，超过预算价则响应无效。                 </w:t>
      </w:r>
    </w:p>
    <w:p w14:paraId="33ADA6C8">
      <w:pPr>
        <w:snapToGrid w:val="0"/>
        <w:spacing w:before="50" w:after="50" w:line="360" w:lineRule="exact"/>
        <w:ind w:right="-817" w:rightChars="-389" w:firstLine="420" w:firstLineChars="200"/>
        <w:rPr>
          <w:rFonts w:ascii="宋体" w:hAnsi="宋体"/>
          <w:color w:val="auto"/>
          <w:szCs w:val="21"/>
          <w:highlight w:val="none"/>
        </w:rPr>
      </w:pPr>
    </w:p>
    <w:p w14:paraId="5A5F1705">
      <w:pPr>
        <w:snapToGrid w:val="0"/>
        <w:spacing w:before="50" w:after="50" w:line="360" w:lineRule="exact"/>
        <w:ind w:right="-817" w:rightChars="-389" w:firstLine="420" w:firstLineChars="200"/>
        <w:rPr>
          <w:rFonts w:ascii="宋体" w:hAnsi="宋体"/>
          <w:color w:val="auto"/>
          <w:szCs w:val="21"/>
          <w:highlight w:val="none"/>
        </w:rPr>
      </w:pPr>
      <w:r>
        <w:rPr>
          <w:rFonts w:hint="eastAsia" w:ascii="宋体" w:hAnsi="宋体"/>
          <w:color w:val="auto"/>
          <w:szCs w:val="21"/>
          <w:highlight w:val="none"/>
        </w:rPr>
        <w:t xml:space="preserve">供应商名称（盖章）：                               </w:t>
      </w:r>
    </w:p>
    <w:p w14:paraId="28DA2B81">
      <w:pPr>
        <w:snapToGrid w:val="0"/>
        <w:spacing w:before="50" w:after="50" w:line="360" w:lineRule="exact"/>
        <w:ind w:right="-817" w:rightChars="-389" w:firstLine="420" w:firstLineChars="200"/>
        <w:rPr>
          <w:rFonts w:ascii="宋体" w:hAnsi="宋体"/>
          <w:color w:val="auto"/>
          <w:szCs w:val="21"/>
          <w:highlight w:val="none"/>
        </w:rPr>
      </w:pPr>
      <w:r>
        <w:rPr>
          <w:rFonts w:hint="eastAsia" w:ascii="宋体" w:hAnsi="宋体"/>
          <w:color w:val="auto"/>
          <w:szCs w:val="21"/>
          <w:highlight w:val="none"/>
        </w:rPr>
        <w:t>日期：    年   月   日</w:t>
      </w:r>
    </w:p>
    <w:p w14:paraId="14C8652D">
      <w:pPr>
        <w:snapToGrid w:val="0"/>
        <w:spacing w:before="50" w:after="120" w:afterLines="50"/>
        <w:jc w:val="left"/>
        <w:rPr>
          <w:rFonts w:ascii="宋体" w:hAnsi="宋体" w:cs="宋体"/>
          <w:color w:val="auto"/>
          <w:szCs w:val="21"/>
          <w:highlight w:val="none"/>
        </w:rPr>
        <w:sectPr>
          <w:pgSz w:w="11910" w:h="16850"/>
          <w:pgMar w:top="1378" w:right="454" w:bottom="0" w:left="280" w:header="0" w:footer="0" w:gutter="0"/>
          <w:cols w:space="720" w:num="1"/>
        </w:sectPr>
      </w:pPr>
    </w:p>
    <w:p w14:paraId="070A30BC">
      <w:pPr>
        <w:snapToGrid w:val="0"/>
        <w:spacing w:before="50" w:after="156" w:afterLines="50"/>
        <w:jc w:val="center"/>
        <w:rPr>
          <w:rFonts w:ascii="宋体" w:hAnsi="宋体" w:cs="宋体"/>
          <w:b/>
          <w:color w:val="auto"/>
          <w:sz w:val="36"/>
          <w:szCs w:val="36"/>
          <w:highlight w:val="none"/>
        </w:rPr>
      </w:pPr>
      <w:r>
        <w:rPr>
          <w:rFonts w:hint="eastAsia" w:ascii="宋体" w:hAnsi="宋体" w:cs="宋体"/>
          <w:b/>
          <w:color w:val="auto"/>
          <w:sz w:val="36"/>
          <w:szCs w:val="36"/>
          <w:highlight w:val="none"/>
        </w:rPr>
        <w:t>评分标准</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2001"/>
        <w:gridCol w:w="5861"/>
      </w:tblGrid>
      <w:tr w14:paraId="4430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47" w:type="pct"/>
            <w:tcBorders>
              <w:top w:val="single" w:color="auto" w:sz="4" w:space="0"/>
              <w:left w:val="single" w:color="auto" w:sz="4" w:space="0"/>
              <w:bottom w:val="single" w:color="auto" w:sz="4" w:space="0"/>
              <w:right w:val="single" w:color="auto" w:sz="4" w:space="0"/>
            </w:tcBorders>
          </w:tcPr>
          <w:p w14:paraId="04BCC233">
            <w:pPr>
              <w:tabs>
                <w:tab w:val="left" w:pos="259"/>
                <w:tab w:val="right" w:pos="1151"/>
              </w:tabs>
              <w:spacing w:before="162" w:line="400" w:lineRule="exact"/>
              <w:ind w:right="43"/>
              <w:jc w:val="left"/>
              <w:rPr>
                <w:rFonts w:ascii="宋体" w:hAnsi="宋体" w:cs="宋体"/>
                <w:b/>
                <w:color w:val="auto"/>
                <w:kern w:val="0"/>
                <w:szCs w:val="21"/>
                <w:highlight w:val="none"/>
              </w:rPr>
            </w:pPr>
            <w:r>
              <w:rPr>
                <w:rFonts w:hint="eastAsia" w:ascii="宋体" w:hAnsi="宋体" w:cs="宋体"/>
                <w:b/>
                <w:bCs/>
                <w:color w:val="auto"/>
                <w:szCs w:val="21"/>
                <w:highlight w:val="none"/>
              </w:rPr>
              <w:tab/>
            </w:r>
            <w:r>
              <w:rPr>
                <w:rFonts w:hint="eastAsia" w:ascii="宋体" w:hAnsi="宋体" w:cs="宋体"/>
                <w:b/>
                <w:bCs/>
                <w:color w:val="auto"/>
                <w:szCs w:val="21"/>
                <w:highlight w:val="none"/>
              </w:rPr>
              <w:t>项目</w:t>
            </w:r>
          </w:p>
        </w:tc>
        <w:tc>
          <w:tcPr>
            <w:tcW w:w="1108" w:type="pct"/>
            <w:tcBorders>
              <w:top w:val="single" w:color="auto" w:sz="4" w:space="0"/>
              <w:left w:val="single" w:color="auto" w:sz="4" w:space="0"/>
              <w:bottom w:val="single" w:color="auto" w:sz="4" w:space="0"/>
              <w:right w:val="single" w:color="auto" w:sz="4" w:space="0"/>
            </w:tcBorders>
          </w:tcPr>
          <w:p w14:paraId="40FA4B1A">
            <w:pPr>
              <w:spacing w:before="162" w:line="400" w:lineRule="exact"/>
              <w:ind w:left="124"/>
              <w:rPr>
                <w:rFonts w:ascii="宋体" w:hAnsi="宋体" w:cs="宋体"/>
                <w:b/>
                <w:color w:val="auto"/>
                <w:kern w:val="0"/>
                <w:szCs w:val="21"/>
                <w:highlight w:val="none"/>
              </w:rPr>
            </w:pPr>
            <w:r>
              <w:rPr>
                <w:rFonts w:hint="eastAsia" w:ascii="宋体" w:hAnsi="宋体" w:cs="宋体"/>
                <w:b/>
                <w:bCs/>
                <w:color w:val="auto"/>
                <w:szCs w:val="21"/>
                <w:highlight w:val="none"/>
              </w:rPr>
              <w:t>评分因素</w:t>
            </w:r>
          </w:p>
        </w:tc>
        <w:tc>
          <w:tcPr>
            <w:tcW w:w="3244" w:type="pct"/>
            <w:tcBorders>
              <w:top w:val="single" w:color="auto" w:sz="4" w:space="0"/>
              <w:left w:val="single" w:color="auto" w:sz="4" w:space="0"/>
              <w:bottom w:val="single" w:color="auto" w:sz="4" w:space="0"/>
              <w:right w:val="single" w:color="auto" w:sz="4" w:space="0"/>
            </w:tcBorders>
          </w:tcPr>
          <w:p w14:paraId="15B03064">
            <w:pPr>
              <w:spacing w:before="159" w:line="400" w:lineRule="exact"/>
              <w:rPr>
                <w:rFonts w:ascii="宋体" w:hAnsi="宋体" w:cs="宋体"/>
                <w:b/>
                <w:color w:val="auto"/>
                <w:kern w:val="0"/>
                <w:szCs w:val="21"/>
                <w:highlight w:val="none"/>
              </w:rPr>
            </w:pPr>
            <w:r>
              <w:rPr>
                <w:rFonts w:hint="eastAsia" w:ascii="宋体" w:hAnsi="宋体" w:cs="宋体"/>
                <w:b/>
                <w:bCs/>
                <w:color w:val="auto"/>
                <w:szCs w:val="21"/>
                <w:highlight w:val="none"/>
              </w:rPr>
              <w:t>评价内容及分项分值</w:t>
            </w:r>
          </w:p>
        </w:tc>
      </w:tr>
      <w:tr w14:paraId="3F187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trPr>
        <w:tc>
          <w:tcPr>
            <w:tcW w:w="647" w:type="pct"/>
            <w:tcBorders>
              <w:top w:val="single" w:color="auto" w:sz="4" w:space="0"/>
              <w:left w:val="single" w:color="auto" w:sz="4" w:space="0"/>
              <w:bottom w:val="single" w:color="auto" w:sz="4" w:space="0"/>
              <w:right w:val="single" w:color="auto" w:sz="4" w:space="0"/>
            </w:tcBorders>
          </w:tcPr>
          <w:p w14:paraId="1CFCB0BA">
            <w:pPr>
              <w:spacing w:before="84" w:line="400" w:lineRule="exact"/>
              <w:rPr>
                <w:rFonts w:ascii="宋体" w:hAnsi="宋体" w:cs="宋体"/>
                <w:color w:val="auto"/>
                <w:szCs w:val="21"/>
                <w:highlight w:val="none"/>
              </w:rPr>
            </w:pPr>
            <w:r>
              <w:rPr>
                <w:rFonts w:hint="eastAsia" w:ascii="宋体" w:hAnsi="宋体" w:cs="宋体"/>
                <w:color w:val="auto"/>
                <w:szCs w:val="21"/>
                <w:highlight w:val="none"/>
              </w:rPr>
              <w:t>价格分</w:t>
            </w:r>
          </w:p>
          <w:p w14:paraId="174C88BD">
            <w:pPr>
              <w:pStyle w:val="44"/>
              <w:spacing w:line="400" w:lineRule="exact"/>
              <w:rPr>
                <w:rFonts w:ascii="宋体" w:hAnsi="宋体" w:eastAsia="宋体" w:cs="宋体"/>
                <w:color w:val="auto"/>
                <w:highlight w:val="none"/>
              </w:rPr>
            </w:pPr>
          </w:p>
          <w:p w14:paraId="40522D11">
            <w:pPr>
              <w:spacing w:before="85" w:line="400" w:lineRule="exact"/>
              <w:ind w:right="32"/>
              <w:rPr>
                <w:rFonts w:ascii="宋体" w:hAnsi="宋体" w:cs="宋体"/>
                <w:color w:val="auto"/>
                <w:szCs w:val="21"/>
                <w:highlight w:val="none"/>
              </w:rPr>
            </w:pPr>
            <w:r>
              <w:rPr>
                <w:rFonts w:hint="eastAsia" w:ascii="宋体" w:hAnsi="宋体" w:cs="宋体"/>
                <w:color w:val="auto"/>
                <w:szCs w:val="21"/>
                <w:highlight w:val="none"/>
              </w:rPr>
              <w:t>(30分)</w:t>
            </w:r>
          </w:p>
        </w:tc>
        <w:tc>
          <w:tcPr>
            <w:tcW w:w="1108" w:type="pct"/>
            <w:tcBorders>
              <w:top w:val="single" w:color="auto" w:sz="4" w:space="0"/>
              <w:left w:val="single" w:color="auto" w:sz="4" w:space="0"/>
              <w:bottom w:val="single" w:color="auto" w:sz="4" w:space="0"/>
              <w:right w:val="single" w:color="auto" w:sz="4" w:space="0"/>
            </w:tcBorders>
          </w:tcPr>
          <w:p w14:paraId="4BDD0277">
            <w:pPr>
              <w:spacing w:before="84" w:line="400" w:lineRule="exact"/>
              <w:rPr>
                <w:rFonts w:ascii="宋体" w:hAnsi="宋体" w:cs="宋体"/>
                <w:color w:val="auto"/>
                <w:szCs w:val="21"/>
                <w:highlight w:val="none"/>
              </w:rPr>
            </w:pPr>
            <w:r>
              <w:rPr>
                <w:rFonts w:hint="eastAsia" w:ascii="宋体" w:hAnsi="宋体" w:cs="宋体"/>
                <w:color w:val="auto"/>
                <w:szCs w:val="21"/>
                <w:highlight w:val="none"/>
              </w:rPr>
              <w:t>投标报价</w:t>
            </w:r>
          </w:p>
          <w:p w14:paraId="33F33C62">
            <w:pPr>
              <w:spacing w:before="85" w:line="400" w:lineRule="exact"/>
              <w:ind w:left="120"/>
              <w:rPr>
                <w:rFonts w:ascii="宋体" w:hAnsi="宋体" w:cs="宋体"/>
                <w:color w:val="auto"/>
                <w:szCs w:val="21"/>
                <w:highlight w:val="none"/>
              </w:rPr>
            </w:pPr>
            <w:r>
              <w:rPr>
                <w:rFonts w:hint="eastAsia" w:ascii="宋体" w:hAnsi="宋体" w:cs="宋体"/>
                <w:color w:val="auto"/>
                <w:szCs w:val="21"/>
                <w:highlight w:val="none"/>
              </w:rPr>
              <w:t>(30分)</w:t>
            </w:r>
          </w:p>
        </w:tc>
        <w:tc>
          <w:tcPr>
            <w:tcW w:w="3244" w:type="pct"/>
            <w:tcBorders>
              <w:top w:val="single" w:color="auto" w:sz="4" w:space="0"/>
              <w:left w:val="single" w:color="auto" w:sz="4" w:space="0"/>
              <w:bottom w:val="single" w:color="auto" w:sz="4" w:space="0"/>
              <w:right w:val="single" w:color="auto" w:sz="4" w:space="0"/>
            </w:tcBorders>
          </w:tcPr>
          <w:p w14:paraId="368D595F">
            <w:pPr>
              <w:spacing w:before="85" w:line="400" w:lineRule="exact"/>
              <w:rPr>
                <w:rFonts w:ascii="宋体" w:hAnsi="宋体" w:cs="宋体"/>
                <w:color w:val="auto"/>
                <w:szCs w:val="21"/>
                <w:highlight w:val="none"/>
              </w:rPr>
            </w:pPr>
            <w:r>
              <w:rPr>
                <w:rFonts w:hint="eastAsia" w:ascii="宋体" w:hAnsi="宋体" w:cs="宋体"/>
                <w:color w:val="auto"/>
                <w:szCs w:val="21"/>
                <w:highlight w:val="none"/>
              </w:rPr>
              <w:t>价格评分的计算方法如下：</w:t>
            </w:r>
          </w:p>
          <w:p w14:paraId="1FAB63F0">
            <w:pPr>
              <w:spacing w:before="85" w:line="400" w:lineRule="exact"/>
              <w:ind w:left="152"/>
              <w:rPr>
                <w:rFonts w:ascii="宋体" w:hAnsi="宋体" w:cs="宋体"/>
                <w:color w:val="auto"/>
                <w:szCs w:val="21"/>
                <w:highlight w:val="none"/>
              </w:rPr>
            </w:pPr>
            <w:r>
              <w:rPr>
                <w:rFonts w:hint="eastAsia" w:ascii="宋体" w:hAnsi="宋体" w:cs="宋体"/>
                <w:color w:val="auto"/>
                <w:szCs w:val="21"/>
                <w:highlight w:val="none"/>
              </w:rPr>
              <w:t>1、满足需求要求且报价价格最低的报价为评标基准价(D),其价格分为满分(30分);</w:t>
            </w:r>
          </w:p>
          <w:p w14:paraId="719B343F">
            <w:pPr>
              <w:spacing w:before="84" w:line="400" w:lineRule="exact"/>
              <w:ind w:left="152"/>
              <w:rPr>
                <w:rFonts w:ascii="宋体" w:hAnsi="宋体" w:cs="宋体"/>
                <w:color w:val="auto"/>
                <w:szCs w:val="21"/>
                <w:highlight w:val="none"/>
              </w:rPr>
            </w:pPr>
            <w:r>
              <w:rPr>
                <w:rFonts w:hint="eastAsia" w:ascii="宋体" w:hAnsi="宋体" w:cs="宋体"/>
                <w:color w:val="auto"/>
                <w:szCs w:val="21"/>
                <w:highlight w:val="none"/>
              </w:rPr>
              <w:t>2、其他合格供应商的报价得分按如下公式计算：报价得分=(基准价/报价)×30;</w:t>
            </w:r>
          </w:p>
        </w:tc>
      </w:tr>
      <w:tr w14:paraId="40E1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7" w:type="pct"/>
            <w:vMerge w:val="restart"/>
            <w:tcBorders>
              <w:top w:val="single" w:color="auto" w:sz="4" w:space="0"/>
              <w:left w:val="single" w:color="auto" w:sz="4" w:space="0"/>
              <w:right w:val="single" w:color="auto" w:sz="4" w:space="0"/>
            </w:tcBorders>
            <w:vAlign w:val="center"/>
          </w:tcPr>
          <w:p w14:paraId="581B56FB">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技术分</w:t>
            </w:r>
          </w:p>
          <w:p w14:paraId="66BD5335">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（63分）</w:t>
            </w:r>
          </w:p>
        </w:tc>
        <w:tc>
          <w:tcPr>
            <w:tcW w:w="1108" w:type="pct"/>
            <w:tcBorders>
              <w:top w:val="single" w:color="auto" w:sz="4" w:space="0"/>
              <w:left w:val="single" w:color="auto" w:sz="4" w:space="0"/>
              <w:right w:val="single" w:color="auto" w:sz="4" w:space="0"/>
            </w:tcBorders>
            <w:vAlign w:val="center"/>
          </w:tcPr>
          <w:p w14:paraId="547FC32B">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产品参数性能分</w:t>
            </w:r>
          </w:p>
          <w:p w14:paraId="1B3F0E00">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（3分）</w:t>
            </w:r>
          </w:p>
        </w:tc>
        <w:tc>
          <w:tcPr>
            <w:tcW w:w="3244" w:type="pct"/>
            <w:tcBorders>
              <w:top w:val="single" w:color="auto" w:sz="4" w:space="0"/>
              <w:left w:val="single" w:color="auto" w:sz="4" w:space="0"/>
              <w:right w:val="single" w:color="auto" w:sz="4" w:space="0"/>
            </w:tcBorders>
            <w:vAlign w:val="center"/>
          </w:tcPr>
          <w:p w14:paraId="1982DF95">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评定各技术指标的响应性。完全响应采购文件技术和规格要求得满分；标▲号指标为主要技术指标，</w:t>
            </w:r>
            <w:r>
              <w:rPr>
                <w:rFonts w:hint="eastAsia" w:ascii="宋体" w:hAnsi="宋体" w:cs="宋体"/>
                <w:color w:val="auto"/>
                <w:szCs w:val="21"/>
                <w:highlight w:val="none"/>
              </w:rPr>
              <w:t>必须满足；</w:t>
            </w:r>
            <w:r>
              <w:rPr>
                <w:rFonts w:hint="eastAsia" w:ascii="宋体" w:hAnsi="宋体" w:cs="宋体"/>
                <w:color w:val="auto"/>
                <w:kern w:val="0"/>
                <w:szCs w:val="21"/>
                <w:highlight w:val="none"/>
              </w:rPr>
              <w:t>非▲号指标，</w:t>
            </w:r>
            <w:r>
              <w:rPr>
                <w:rFonts w:hint="eastAsia" w:ascii="宋体" w:hAnsi="宋体" w:cs="宋体"/>
                <w:color w:val="auto"/>
                <w:szCs w:val="21"/>
                <w:highlight w:val="none"/>
              </w:rPr>
              <w:t>有一项负偏离扣1分，扣完为止。</w:t>
            </w:r>
          </w:p>
        </w:tc>
      </w:tr>
      <w:tr w14:paraId="2B9F2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7" w:type="pct"/>
            <w:vMerge w:val="continue"/>
            <w:tcBorders>
              <w:left w:val="single" w:color="auto" w:sz="4" w:space="0"/>
              <w:right w:val="single" w:color="auto" w:sz="4" w:space="0"/>
            </w:tcBorders>
            <w:vAlign w:val="center"/>
          </w:tcPr>
          <w:p w14:paraId="648A265D">
            <w:pPr>
              <w:spacing w:line="400" w:lineRule="exact"/>
              <w:jc w:val="left"/>
              <w:rPr>
                <w:rFonts w:ascii="宋体" w:hAnsi="宋体" w:cs="宋体"/>
                <w:color w:val="auto"/>
                <w:szCs w:val="21"/>
                <w:highlight w:val="none"/>
              </w:rPr>
            </w:pPr>
          </w:p>
        </w:tc>
        <w:tc>
          <w:tcPr>
            <w:tcW w:w="1108" w:type="pct"/>
            <w:tcBorders>
              <w:top w:val="single" w:color="auto" w:sz="4" w:space="0"/>
              <w:left w:val="single" w:color="auto" w:sz="4" w:space="0"/>
              <w:right w:val="single" w:color="auto" w:sz="4" w:space="0"/>
            </w:tcBorders>
          </w:tcPr>
          <w:p w14:paraId="7068DEA7">
            <w:pPr>
              <w:spacing w:before="82" w:line="400" w:lineRule="exact"/>
              <w:rPr>
                <w:rFonts w:ascii="宋体" w:hAnsi="宋体" w:cs="宋体"/>
                <w:color w:val="auto"/>
                <w:szCs w:val="21"/>
                <w:highlight w:val="none"/>
              </w:rPr>
            </w:pPr>
            <w:r>
              <w:rPr>
                <w:rFonts w:hint="eastAsia" w:ascii="宋体" w:hAnsi="宋体" w:cs="宋体"/>
                <w:color w:val="auto"/>
                <w:szCs w:val="21"/>
                <w:highlight w:val="none"/>
              </w:rPr>
              <w:t>智能化服务（3分）</w:t>
            </w:r>
          </w:p>
        </w:tc>
        <w:tc>
          <w:tcPr>
            <w:tcW w:w="3244" w:type="pct"/>
            <w:tcBorders>
              <w:top w:val="single" w:color="auto" w:sz="4" w:space="0"/>
              <w:left w:val="single" w:color="auto" w:sz="4" w:space="0"/>
              <w:right w:val="single" w:color="auto" w:sz="4" w:space="0"/>
            </w:tcBorders>
          </w:tcPr>
          <w:p w14:paraId="7EBB7F09">
            <w:pPr>
              <w:spacing w:before="81" w:line="400" w:lineRule="exact"/>
              <w:ind w:right="18"/>
              <w:rPr>
                <w:rFonts w:ascii="宋体" w:hAnsi="宋体" w:cs="宋体"/>
                <w:color w:val="auto"/>
                <w:kern w:val="0"/>
                <w:szCs w:val="21"/>
                <w:highlight w:val="none"/>
              </w:rPr>
            </w:pPr>
            <w:r>
              <w:rPr>
                <w:rFonts w:hint="eastAsia" w:ascii="宋体" w:hAnsi="宋体" w:cs="宋体"/>
                <w:color w:val="auto"/>
                <w:szCs w:val="21"/>
                <w:highlight w:val="none"/>
              </w:rPr>
              <w:t>为项目定制物联净水数据监控大屏，提供屏幕及安装服务，可以互联生成数据监控大屏，一张屏展示整个项目的机器数据，得3分。（必须提供饮水设备控制系统计算机软件著作权登记证书复印件，否则不计分）。</w:t>
            </w:r>
          </w:p>
        </w:tc>
      </w:tr>
      <w:tr w14:paraId="1B456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7" w:type="pct"/>
            <w:vMerge w:val="continue"/>
            <w:tcBorders>
              <w:left w:val="single" w:color="auto" w:sz="4" w:space="0"/>
              <w:right w:val="single" w:color="auto" w:sz="4" w:space="0"/>
            </w:tcBorders>
            <w:vAlign w:val="center"/>
          </w:tcPr>
          <w:p w14:paraId="320AB729">
            <w:pPr>
              <w:spacing w:line="400" w:lineRule="exact"/>
              <w:jc w:val="left"/>
              <w:rPr>
                <w:rFonts w:ascii="宋体" w:hAnsi="宋体" w:cs="宋体"/>
                <w:color w:val="auto"/>
                <w:szCs w:val="21"/>
                <w:highlight w:val="none"/>
              </w:rPr>
            </w:pPr>
          </w:p>
        </w:tc>
        <w:tc>
          <w:tcPr>
            <w:tcW w:w="1108" w:type="pct"/>
            <w:tcBorders>
              <w:top w:val="single" w:color="auto" w:sz="4" w:space="0"/>
              <w:left w:val="single" w:color="auto" w:sz="4" w:space="0"/>
              <w:right w:val="single" w:color="auto" w:sz="4" w:space="0"/>
            </w:tcBorders>
            <w:vAlign w:val="center"/>
          </w:tcPr>
          <w:p w14:paraId="7FF5C10A">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拟派服务人员能力</w:t>
            </w:r>
          </w:p>
          <w:p w14:paraId="196A0366">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（3分）</w:t>
            </w:r>
          </w:p>
        </w:tc>
        <w:tc>
          <w:tcPr>
            <w:tcW w:w="3244" w:type="pct"/>
            <w:tcBorders>
              <w:top w:val="single" w:color="auto" w:sz="4" w:space="0"/>
              <w:left w:val="single" w:color="auto" w:sz="4" w:space="0"/>
              <w:right w:val="single" w:color="auto" w:sz="4" w:space="0"/>
            </w:tcBorders>
            <w:vAlign w:val="center"/>
          </w:tcPr>
          <w:p w14:paraId="2772FEC4">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供应商拟派的服务人员或专业技术人员中，1名人员持有电工作业证，得1分，满分3分。</w:t>
            </w:r>
          </w:p>
          <w:p w14:paraId="5224F786">
            <w:pPr>
              <w:spacing w:line="400" w:lineRule="exact"/>
              <w:jc w:val="left"/>
              <w:rPr>
                <w:rFonts w:ascii="宋体" w:hAnsi="宋体" w:cs="宋体"/>
                <w:color w:val="auto"/>
                <w:kern w:val="0"/>
                <w:szCs w:val="21"/>
                <w:highlight w:val="none"/>
              </w:rPr>
            </w:pPr>
            <w:r>
              <w:rPr>
                <w:rFonts w:hint="eastAsia" w:ascii="宋体" w:hAnsi="宋体" w:cs="宋体"/>
                <w:color w:val="auto"/>
                <w:szCs w:val="21"/>
                <w:highlight w:val="none"/>
              </w:rPr>
              <w:t>须提供拟派人员电工作业证明复印件，不提供不得分。</w:t>
            </w:r>
          </w:p>
        </w:tc>
      </w:tr>
      <w:tr w14:paraId="2816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47" w:type="pct"/>
            <w:vMerge w:val="continue"/>
            <w:tcBorders>
              <w:left w:val="single" w:color="auto" w:sz="4" w:space="0"/>
              <w:right w:val="single" w:color="auto" w:sz="4" w:space="0"/>
            </w:tcBorders>
            <w:vAlign w:val="center"/>
          </w:tcPr>
          <w:p w14:paraId="6234EBA3">
            <w:pPr>
              <w:spacing w:line="400" w:lineRule="exact"/>
              <w:jc w:val="left"/>
              <w:rPr>
                <w:rFonts w:ascii="宋体" w:hAnsi="宋体" w:cs="宋体"/>
                <w:color w:val="auto"/>
                <w:szCs w:val="21"/>
                <w:highlight w:val="none"/>
              </w:rPr>
            </w:pPr>
          </w:p>
        </w:tc>
        <w:tc>
          <w:tcPr>
            <w:tcW w:w="1108" w:type="pct"/>
            <w:tcBorders>
              <w:top w:val="single" w:color="auto" w:sz="4" w:space="0"/>
              <w:left w:val="single" w:color="auto" w:sz="4" w:space="0"/>
              <w:right w:val="single" w:color="auto" w:sz="4" w:space="0"/>
            </w:tcBorders>
            <w:vAlign w:val="center"/>
          </w:tcPr>
          <w:p w14:paraId="2D8FAA38">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租赁服务方案</w:t>
            </w:r>
          </w:p>
          <w:p w14:paraId="6CC56B73">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（30分）</w:t>
            </w:r>
          </w:p>
        </w:tc>
        <w:tc>
          <w:tcPr>
            <w:tcW w:w="3244" w:type="pct"/>
            <w:tcBorders>
              <w:top w:val="single" w:color="auto" w:sz="4" w:space="0"/>
              <w:left w:val="single" w:color="auto" w:sz="4" w:space="0"/>
              <w:right w:val="single" w:color="auto" w:sz="4" w:space="0"/>
            </w:tcBorders>
            <w:vAlign w:val="center"/>
          </w:tcPr>
          <w:p w14:paraId="1928E676">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按供应商的租赁服务方案和承诺中的维保计划书、安装维保能力、项目实施人员资质及经验、质保期、故障响应时间、备品备件供应、服务体系、人员培训、租赁服务点、技术人员情况、回访维护及其他租赁服务承诺等内容分为三档，由评审小组根据供应商提供的租赁服务方案进行评审：</w:t>
            </w:r>
          </w:p>
          <w:p w14:paraId="23DAE5C9">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一档（10分）：提供简单租赁服务方案，满足采购文件租赁服务要求；有维保服务体系，有定期检查、保养安排，有培训计划，故障响应及维修满足基本要求，有设备质保承诺，拟投入维保人员工作经验满足要求、信誉一般，提供检前整修服务，有备品备件供应。</w:t>
            </w:r>
          </w:p>
          <w:p w14:paraId="2D8E7CDC">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二档（20分）：全部满足采购文件租赁服务要求，租赁服务体系较完善，定期检查、保养安排较详细，培训计划合理可行，故障响应及维修时间较短，有设备质保承诺，拟投入维保人员经验较丰富、信誉良好，提供完善的检前整修服务，备品备件供应较充裕。</w:t>
            </w:r>
          </w:p>
          <w:p w14:paraId="1E12A9C2">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三档（30分）：全部满足甚至优于采购文件租赁服务要求，租赁服务体系完善，定期检查、保养安排详细，培训计划详尽，故障响应及维修时间短，有零配件储备供应，拟投入维保人员经验丰富、信誉好，提供完善的检前整修服务，有优惠条件，投标品牌在项目所在地有备品备件库。</w:t>
            </w:r>
          </w:p>
          <w:p w14:paraId="2D48D46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未提供</w:t>
            </w:r>
            <w:r>
              <w:rPr>
                <w:rFonts w:hint="eastAsia" w:ascii="宋体" w:hAnsi="宋体" w:cs="宋体"/>
                <w:color w:val="auto"/>
                <w:szCs w:val="21"/>
                <w:highlight w:val="none"/>
              </w:rPr>
              <w:t>租赁服务方案</w:t>
            </w:r>
            <w:r>
              <w:rPr>
                <w:rFonts w:hint="eastAsia" w:ascii="宋体" w:hAnsi="宋体" w:cs="宋体"/>
                <w:color w:val="auto"/>
                <w:kern w:val="0"/>
                <w:szCs w:val="21"/>
                <w:highlight w:val="none"/>
              </w:rPr>
              <w:t>不得分。</w:t>
            </w:r>
          </w:p>
        </w:tc>
      </w:tr>
      <w:tr w14:paraId="778D8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7" w:hRule="atLeast"/>
        </w:trPr>
        <w:tc>
          <w:tcPr>
            <w:tcW w:w="647" w:type="pct"/>
            <w:vMerge w:val="continue"/>
            <w:tcBorders>
              <w:left w:val="single" w:color="auto" w:sz="4" w:space="0"/>
              <w:right w:val="single" w:color="auto" w:sz="4" w:space="0"/>
            </w:tcBorders>
            <w:vAlign w:val="center"/>
          </w:tcPr>
          <w:p w14:paraId="13667177">
            <w:pPr>
              <w:spacing w:line="400" w:lineRule="exact"/>
              <w:jc w:val="left"/>
              <w:rPr>
                <w:rFonts w:ascii="宋体" w:hAnsi="宋体" w:cs="宋体"/>
                <w:color w:val="auto"/>
                <w:szCs w:val="21"/>
                <w:highlight w:val="none"/>
              </w:rPr>
            </w:pPr>
          </w:p>
        </w:tc>
        <w:tc>
          <w:tcPr>
            <w:tcW w:w="1108" w:type="pct"/>
            <w:tcBorders>
              <w:top w:val="single" w:color="auto" w:sz="4" w:space="0"/>
              <w:left w:val="single" w:color="auto" w:sz="4" w:space="0"/>
              <w:bottom w:val="single" w:color="auto" w:sz="4" w:space="0"/>
              <w:right w:val="single" w:color="auto" w:sz="4" w:space="0"/>
            </w:tcBorders>
            <w:vAlign w:val="center"/>
          </w:tcPr>
          <w:p w14:paraId="45F166C7">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安装方案能力分（15分）</w:t>
            </w:r>
          </w:p>
        </w:tc>
        <w:tc>
          <w:tcPr>
            <w:tcW w:w="3244" w:type="pct"/>
            <w:tcBorders>
              <w:top w:val="single" w:color="auto" w:sz="4" w:space="0"/>
              <w:left w:val="single" w:color="auto" w:sz="4" w:space="0"/>
              <w:bottom w:val="single" w:color="auto" w:sz="4" w:space="0"/>
              <w:right w:val="single" w:color="auto" w:sz="4" w:space="0"/>
            </w:tcBorders>
            <w:vAlign w:val="center"/>
          </w:tcPr>
          <w:p w14:paraId="0018DCCD">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根据供应商提供的安装方案内容包括安装进度计划及保证工期、质量的技术措施，安全、文明施工措施、设备的安装调试等方面分为以下三档。</w:t>
            </w:r>
          </w:p>
          <w:p w14:paraId="01D0469C">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一档（5分）：有针对本项目的安装方案，方案一般、描述简单，有实施日程表和人员安排，安装人员经验一般，且供应商针对本项目拟投入的安装人员数量不少于5人，具体实施步骤和要求描述较简单。</w:t>
            </w:r>
          </w:p>
          <w:p w14:paraId="5CE105E9">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二档（10分）：有针对本工程的安装方案，方案较先进、描述较详细、技术较成熟。有实施日程表和人员安排，安装人员经验较强，且供应商针对本项目拟投入的持证安装人员数量不少于10人，具体实施步骤和要求描述较详细。</w:t>
            </w:r>
          </w:p>
          <w:p w14:paraId="407AB960">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三档（15分）：有针对本工程的安装方案，方案先进、描述详细、技术成熟。有实施日程表和人员安排，安装人员经验强，且 供应商针对本项目拟投入的持证安装人员数量不少于15人，具体实施步骤和要求描述全面，职责分工明确，进度安排合理，可行性强。</w:t>
            </w:r>
          </w:p>
          <w:p w14:paraId="2FC785D6">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未提供安装方案不得分。</w:t>
            </w:r>
          </w:p>
        </w:tc>
      </w:tr>
      <w:tr w14:paraId="2568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7" w:type="pct"/>
            <w:vMerge w:val="continue"/>
            <w:tcBorders>
              <w:left w:val="single" w:color="auto" w:sz="4" w:space="0"/>
              <w:right w:val="single" w:color="auto" w:sz="4" w:space="0"/>
            </w:tcBorders>
            <w:vAlign w:val="center"/>
          </w:tcPr>
          <w:p w14:paraId="6B54FB3A">
            <w:pPr>
              <w:spacing w:line="400" w:lineRule="exact"/>
              <w:jc w:val="left"/>
              <w:rPr>
                <w:rFonts w:ascii="宋体" w:hAnsi="宋体" w:cs="宋体"/>
                <w:color w:val="auto"/>
                <w:szCs w:val="21"/>
                <w:highlight w:val="none"/>
              </w:rPr>
            </w:pPr>
          </w:p>
        </w:tc>
        <w:tc>
          <w:tcPr>
            <w:tcW w:w="1108" w:type="pct"/>
            <w:tcBorders>
              <w:top w:val="single" w:color="auto" w:sz="4" w:space="0"/>
              <w:left w:val="single" w:color="auto" w:sz="4" w:space="0"/>
              <w:bottom w:val="single" w:color="auto" w:sz="4" w:space="0"/>
              <w:right w:val="single" w:color="auto" w:sz="4" w:space="0"/>
            </w:tcBorders>
            <w:vAlign w:val="center"/>
          </w:tcPr>
          <w:p w14:paraId="0B0B8B6C">
            <w:pPr>
              <w:jc w:val="left"/>
              <w:rPr>
                <w:rFonts w:ascii="宋体" w:hAnsi="宋体" w:cs="宋体"/>
                <w:color w:val="auto"/>
                <w:szCs w:val="21"/>
                <w:highlight w:val="none"/>
              </w:rPr>
            </w:pPr>
            <w:r>
              <w:rPr>
                <w:rFonts w:hint="eastAsia" w:ascii="宋体" w:hAnsi="宋体" w:cs="宋体"/>
                <w:color w:val="auto"/>
                <w:szCs w:val="21"/>
                <w:highlight w:val="none"/>
              </w:rPr>
              <w:t>应急响应预案（9分）</w:t>
            </w:r>
          </w:p>
        </w:tc>
        <w:tc>
          <w:tcPr>
            <w:tcW w:w="3244" w:type="pct"/>
            <w:tcBorders>
              <w:top w:val="single" w:color="auto" w:sz="4" w:space="0"/>
              <w:left w:val="single" w:color="auto" w:sz="4" w:space="0"/>
              <w:bottom w:val="single" w:color="auto" w:sz="4" w:space="0"/>
              <w:right w:val="single" w:color="auto" w:sz="4" w:space="0"/>
            </w:tcBorders>
            <w:vAlign w:val="center"/>
          </w:tcPr>
          <w:p w14:paraId="6429228C">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根据供应商提供的针对突发情况处理和事件建立的应急响应预案，对服务应急响应预案分为以下三档。</w:t>
            </w:r>
          </w:p>
          <w:p w14:paraId="5928E6DF">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一档（3分）：预案只能满足采购需求，针对性、可操作性一般；</w:t>
            </w:r>
          </w:p>
          <w:p w14:paraId="3CABEFC3">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二档（6分）：在一档的基础上，饮水机故障第一时间处理，在接到用户电话故障后4小时内到现场处理，紧急情况应1.5小时到现场处理，预案相对全面、较详细、条理较清晰，针对性、可操作性较强；</w:t>
            </w:r>
          </w:p>
          <w:p w14:paraId="1ED5F1B2">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三档（9分）：在二档的基础上，饮水机故障第一时间处理，在接到用户电话故障后2小时内到现场处理，紧急情况应1小时到现场处理，预案全面、详细、条理清晰，针对性、可操作性强；</w:t>
            </w:r>
          </w:p>
          <w:p w14:paraId="4A7890A0">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无提供方案不得分。</w:t>
            </w:r>
          </w:p>
        </w:tc>
      </w:tr>
      <w:tr w14:paraId="2E007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647" w:type="pct"/>
            <w:vMerge w:val="restart"/>
            <w:tcBorders>
              <w:top w:val="single" w:color="auto" w:sz="4" w:space="0"/>
              <w:left w:val="single" w:color="auto" w:sz="4" w:space="0"/>
              <w:right w:val="single" w:color="auto" w:sz="4" w:space="0"/>
            </w:tcBorders>
            <w:vAlign w:val="center"/>
          </w:tcPr>
          <w:p w14:paraId="5EA98836">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商务分（7分）</w:t>
            </w:r>
          </w:p>
        </w:tc>
        <w:tc>
          <w:tcPr>
            <w:tcW w:w="1108" w:type="pct"/>
            <w:tcBorders>
              <w:top w:val="single" w:color="auto" w:sz="4" w:space="0"/>
              <w:left w:val="single" w:color="auto" w:sz="4" w:space="0"/>
              <w:bottom w:val="single" w:color="auto" w:sz="4" w:space="0"/>
              <w:right w:val="single" w:color="auto" w:sz="4" w:space="0"/>
            </w:tcBorders>
            <w:vAlign w:val="center"/>
          </w:tcPr>
          <w:p w14:paraId="660AA226">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业绩分</w:t>
            </w:r>
          </w:p>
          <w:p w14:paraId="617763FA">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（3分）</w:t>
            </w:r>
          </w:p>
        </w:tc>
        <w:tc>
          <w:tcPr>
            <w:tcW w:w="3244" w:type="pct"/>
            <w:tcBorders>
              <w:top w:val="single" w:color="auto" w:sz="4" w:space="0"/>
              <w:left w:val="single" w:color="auto" w:sz="4" w:space="0"/>
              <w:bottom w:val="single" w:color="auto" w:sz="4" w:space="0"/>
              <w:right w:val="single" w:color="auto" w:sz="4" w:space="0"/>
            </w:tcBorders>
            <w:vAlign w:val="center"/>
          </w:tcPr>
          <w:p w14:paraId="45A391B8">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供应商2023年1月1日至响应文件递交截止时间具有同类项目业绩，每项得1分，满分3分。(响应文件提供合同复印件并加盖供应商单位公章，否则不计分，原件备查)</w:t>
            </w:r>
          </w:p>
        </w:tc>
      </w:tr>
      <w:tr w14:paraId="601A5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647" w:type="pct"/>
            <w:vMerge w:val="continue"/>
            <w:tcBorders>
              <w:left w:val="single" w:color="auto" w:sz="4" w:space="0"/>
              <w:bottom w:val="single" w:color="auto" w:sz="4" w:space="0"/>
              <w:right w:val="single" w:color="auto" w:sz="4" w:space="0"/>
            </w:tcBorders>
            <w:vAlign w:val="center"/>
          </w:tcPr>
          <w:p w14:paraId="3EABD883">
            <w:pPr>
              <w:spacing w:line="400" w:lineRule="exact"/>
              <w:jc w:val="left"/>
              <w:rPr>
                <w:rFonts w:ascii="宋体" w:hAnsi="宋体" w:cs="宋体"/>
                <w:color w:val="auto"/>
                <w:szCs w:val="21"/>
                <w:highlight w:val="none"/>
              </w:rPr>
            </w:pPr>
          </w:p>
        </w:tc>
        <w:tc>
          <w:tcPr>
            <w:tcW w:w="1108" w:type="pct"/>
            <w:tcBorders>
              <w:top w:val="single" w:color="auto" w:sz="4" w:space="0"/>
              <w:left w:val="single" w:color="auto" w:sz="4" w:space="0"/>
              <w:bottom w:val="single" w:color="auto" w:sz="4" w:space="0"/>
              <w:right w:val="single" w:color="auto" w:sz="4" w:space="0"/>
            </w:tcBorders>
            <w:vAlign w:val="center"/>
          </w:tcPr>
          <w:p w14:paraId="0143E803">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企业资质（4分）</w:t>
            </w:r>
          </w:p>
        </w:tc>
        <w:tc>
          <w:tcPr>
            <w:tcW w:w="3244" w:type="pct"/>
            <w:tcBorders>
              <w:top w:val="single" w:color="auto" w:sz="4" w:space="0"/>
              <w:left w:val="single" w:color="auto" w:sz="4" w:space="0"/>
              <w:bottom w:val="single" w:color="auto" w:sz="4" w:space="0"/>
              <w:right w:val="single" w:color="auto" w:sz="4" w:space="0"/>
            </w:tcBorders>
            <w:vAlign w:val="center"/>
          </w:tcPr>
          <w:p w14:paraId="537C4527">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供应商或本项目所投产品制造商提供具有食品接触卫生认证证书，得2分；具有产品责任险，得2分；</w:t>
            </w:r>
          </w:p>
          <w:p w14:paraId="6D35510D">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提供以上资料复印件加盖供应商公章，否则不得分。</w:t>
            </w:r>
          </w:p>
        </w:tc>
      </w:tr>
      <w:tr w14:paraId="4FA66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000" w:type="pct"/>
            <w:gridSpan w:val="3"/>
            <w:tcBorders>
              <w:top w:val="single" w:color="auto" w:sz="4" w:space="0"/>
              <w:left w:val="single" w:color="auto" w:sz="4" w:space="0"/>
              <w:bottom w:val="single" w:color="auto" w:sz="4" w:space="0"/>
              <w:right w:val="single" w:color="auto" w:sz="4" w:space="0"/>
            </w:tcBorders>
            <w:vAlign w:val="center"/>
          </w:tcPr>
          <w:p w14:paraId="00AE82C6">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总分=1+2+3（100分）</w:t>
            </w:r>
          </w:p>
        </w:tc>
      </w:tr>
    </w:tbl>
    <w:p w14:paraId="48C29923">
      <w:pPr>
        <w:rPr>
          <w:rFonts w:ascii="Arial"/>
          <w:color w:val="auto"/>
          <w:highlight w:val="none"/>
        </w:rPr>
      </w:pPr>
    </w:p>
    <w:p w14:paraId="61EDE115">
      <w:pPr>
        <w:rPr>
          <w:rFonts w:ascii="Arial" w:hAnsi="Arial" w:eastAsia="Arial" w:cs="Arial"/>
          <w:color w:val="auto"/>
          <w:szCs w:val="21"/>
          <w:highlight w:val="none"/>
        </w:rPr>
      </w:pPr>
      <w:r>
        <w:rPr>
          <w:rFonts w:hint="eastAsia" w:ascii="Arial" w:hAnsi="Arial" w:eastAsia="Arial" w:cs="Arial"/>
          <w:color w:val="auto"/>
          <w:szCs w:val="21"/>
          <w:highlight w:val="none"/>
        </w:rPr>
        <w:t>注：计分方法按四舍五入取至百分位。</w:t>
      </w:r>
    </w:p>
    <w:p w14:paraId="43D0597F">
      <w:pPr>
        <w:rPr>
          <w:rFonts w:ascii="仿宋" w:hAnsi="仿宋" w:eastAsia="仿宋" w:cs="仿宋"/>
          <w:bCs/>
          <w:color w:val="auto"/>
          <w:sz w:val="28"/>
          <w:szCs w:val="28"/>
          <w:highlight w:val="none"/>
        </w:rPr>
      </w:pPr>
      <w:r>
        <w:rPr>
          <w:rFonts w:hint="eastAsia" w:ascii="Arial" w:hAnsi="Arial" w:eastAsia="Arial" w:cs="Arial"/>
          <w:color w:val="auto"/>
          <w:szCs w:val="21"/>
          <w:highlight w:val="none"/>
        </w:rPr>
        <w:t>候选人推荐原则：采购小组将根据总得分由高到低排列次序并推荐中标候选人。得分相同的，以投标报价由低到高顺序排列。得分相同且投标报价相同的并列，报价文件满足</w:t>
      </w:r>
      <w:r>
        <w:rPr>
          <w:rFonts w:hint="eastAsia" w:ascii="Arial" w:hAnsi="Arial" w:cs="Arial"/>
          <w:color w:val="auto"/>
          <w:szCs w:val="21"/>
          <w:highlight w:val="none"/>
        </w:rPr>
        <w:t>采购文件</w:t>
      </w:r>
      <w:r>
        <w:rPr>
          <w:rFonts w:hint="eastAsia" w:ascii="Arial" w:hAnsi="Arial" w:eastAsia="Arial" w:cs="Arial"/>
          <w:color w:val="auto"/>
          <w:szCs w:val="21"/>
          <w:highlight w:val="none"/>
        </w:rPr>
        <w:t>全部实质性要求，且按照评审因素的量化指标评审得分最高的</w:t>
      </w:r>
      <w:r>
        <w:rPr>
          <w:rFonts w:hint="eastAsia" w:ascii="Arial" w:hAnsi="Arial" w:cs="Arial"/>
          <w:color w:val="auto"/>
          <w:szCs w:val="21"/>
          <w:highlight w:val="none"/>
        </w:rPr>
        <w:t>供应商</w:t>
      </w:r>
      <w:r>
        <w:rPr>
          <w:rFonts w:hint="eastAsia" w:ascii="Arial" w:hAnsi="Arial" w:eastAsia="Arial" w:cs="Arial"/>
          <w:color w:val="auto"/>
          <w:szCs w:val="21"/>
          <w:highlight w:val="none"/>
        </w:rPr>
        <w:t>为排名第一的中标候选人(另有约定的除外</w:t>
      </w:r>
      <w:r>
        <w:rPr>
          <w:rFonts w:hint="eastAsia" w:ascii="Arial" w:hAnsi="Arial" w:cs="Arial"/>
          <w:color w:val="auto"/>
          <w:szCs w:val="21"/>
          <w:highlight w:val="none"/>
        </w:rPr>
        <w:t>）</w:t>
      </w:r>
    </w:p>
    <w:p w14:paraId="24CA3099">
      <w:pPr>
        <w:rPr>
          <w:color w:val="auto"/>
          <w:highlight w:val="none"/>
        </w:rPr>
      </w:pPr>
    </w:p>
    <w:sectPr>
      <w:pgSz w:w="11906" w:h="16838"/>
      <w:pgMar w:top="1418" w:right="1555" w:bottom="1418" w:left="153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67057">
    <w:pPr>
      <w:pStyle w:val="15"/>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2DA7174">
                <w:pPr>
                  <w:pStyle w:val="1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64CF5">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8D79A">
    <w:pPr>
      <w:pStyle w:val="15"/>
      <w:jc w:val="center"/>
      <w:rPr>
        <w:rFonts w:ascii="Times New Roman" w:hAnsi="Times New Roman" w:eastAsia="仿宋_GB2312"/>
        <w:sz w:val="24"/>
      </w:rPr>
    </w:pPr>
    <w:r>
      <w:rPr>
        <w:sz w:val="24"/>
      </w:rPr>
      <w:pict>
        <v:shape id="_x0000_s3075" o:spid="_x0000_s307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3FA4EA4A">
                <w:pPr>
                  <w:pStyle w:val="15"/>
                  <w:jc w:val="cente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18</w:t>
                </w:r>
                <w:r>
                  <w:rPr>
                    <w:rFonts w:ascii="Times New Roman" w:hAnsi="Times New Roman" w:eastAsia="仿宋_GB2312"/>
                    <w:sz w:val="24"/>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C793F">
    <w:pPr>
      <w:pStyle w:val="15"/>
    </w:pPr>
    <w:r>
      <w:pict>
        <v:shape id="_x0000_s3074" o:spid="_x0000_s3074" o:spt="202" type="#_x0000_t202" style="position:absolute;left:0pt;margin-left:208.9pt;margin-top:-2.7pt;height:13.7pt;width:13.85pt;mso-position-horizontal-relative:margin;z-index:251661312;mso-width-relative:page;mso-height-relative:page;" filled="f" stroked="f" coordsize="21600,21600">
          <v:path/>
          <v:fill on="f" focussize="0,0"/>
          <v:stroke on="f" joinstyle="miter"/>
          <v:imagedata o:title=""/>
          <o:lock v:ext="edit"/>
          <v:textbox inset="0mm,0mm,0mm,0mm">
            <w:txbxContent>
              <w:p w14:paraId="67B617D3">
                <w:pPr>
                  <w:pStyle w:val="1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8E6EEF"/>
    <w:multiLevelType w:val="singleLevel"/>
    <w:tmpl w:val="FB8E6EEF"/>
    <w:lvl w:ilvl="0" w:tentative="0">
      <w:start w:val="2"/>
      <w:numFmt w:val="decimal"/>
      <w:suff w:val="nothing"/>
      <w:lvlText w:val="%1、"/>
      <w:lvlJc w:val="left"/>
    </w:lvl>
  </w:abstractNum>
  <w:abstractNum w:abstractNumId="1">
    <w:nsid w:val="3F4D9D69"/>
    <w:multiLevelType w:val="singleLevel"/>
    <w:tmpl w:val="3F4D9D69"/>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jg0YjRlNWU1MTNmNTNlNDQ0NGVhYTdmNzNlMjllYTEifQ=="/>
  </w:docVars>
  <w:rsids>
    <w:rsidRoot w:val="7DC52EA5"/>
    <w:rsid w:val="0001182B"/>
    <w:rsid w:val="00014122"/>
    <w:rsid w:val="00043EDC"/>
    <w:rsid w:val="00045C7B"/>
    <w:rsid w:val="00054B27"/>
    <w:rsid w:val="00055470"/>
    <w:rsid w:val="00061769"/>
    <w:rsid w:val="00071A4F"/>
    <w:rsid w:val="00080F0B"/>
    <w:rsid w:val="00081AE6"/>
    <w:rsid w:val="00082772"/>
    <w:rsid w:val="000A1EDF"/>
    <w:rsid w:val="000C5FB1"/>
    <w:rsid w:val="000C6C70"/>
    <w:rsid w:val="00100447"/>
    <w:rsid w:val="001062E2"/>
    <w:rsid w:val="00107A7E"/>
    <w:rsid w:val="00111C68"/>
    <w:rsid w:val="0012320E"/>
    <w:rsid w:val="00125313"/>
    <w:rsid w:val="00126564"/>
    <w:rsid w:val="00126A0A"/>
    <w:rsid w:val="0015387F"/>
    <w:rsid w:val="001633FF"/>
    <w:rsid w:val="001942B2"/>
    <w:rsid w:val="00196341"/>
    <w:rsid w:val="001A5659"/>
    <w:rsid w:val="001B1923"/>
    <w:rsid w:val="001B21C5"/>
    <w:rsid w:val="001C076D"/>
    <w:rsid w:val="001C23B1"/>
    <w:rsid w:val="001F37DE"/>
    <w:rsid w:val="00240444"/>
    <w:rsid w:val="00240607"/>
    <w:rsid w:val="00243C65"/>
    <w:rsid w:val="00261511"/>
    <w:rsid w:val="00283239"/>
    <w:rsid w:val="002A3088"/>
    <w:rsid w:val="002C5EB7"/>
    <w:rsid w:val="002D3B8F"/>
    <w:rsid w:val="002D3EB6"/>
    <w:rsid w:val="002F487E"/>
    <w:rsid w:val="00301A28"/>
    <w:rsid w:val="0030745F"/>
    <w:rsid w:val="00322F04"/>
    <w:rsid w:val="003518C4"/>
    <w:rsid w:val="00362F88"/>
    <w:rsid w:val="00381ECF"/>
    <w:rsid w:val="00386FF7"/>
    <w:rsid w:val="00393FB3"/>
    <w:rsid w:val="003975A1"/>
    <w:rsid w:val="003A137A"/>
    <w:rsid w:val="003A2758"/>
    <w:rsid w:val="003F7C76"/>
    <w:rsid w:val="004076FC"/>
    <w:rsid w:val="00417EF4"/>
    <w:rsid w:val="00422B7B"/>
    <w:rsid w:val="0043007C"/>
    <w:rsid w:val="00432596"/>
    <w:rsid w:val="00432E9A"/>
    <w:rsid w:val="00435EA6"/>
    <w:rsid w:val="00441693"/>
    <w:rsid w:val="0044211D"/>
    <w:rsid w:val="00444D3F"/>
    <w:rsid w:val="00472F26"/>
    <w:rsid w:val="004951A6"/>
    <w:rsid w:val="004A1324"/>
    <w:rsid w:val="004C6BAB"/>
    <w:rsid w:val="004D68B3"/>
    <w:rsid w:val="004E2EB6"/>
    <w:rsid w:val="004F5233"/>
    <w:rsid w:val="0050102E"/>
    <w:rsid w:val="00505804"/>
    <w:rsid w:val="005141E5"/>
    <w:rsid w:val="00522D62"/>
    <w:rsid w:val="00535366"/>
    <w:rsid w:val="005435D4"/>
    <w:rsid w:val="005638E0"/>
    <w:rsid w:val="0057666D"/>
    <w:rsid w:val="0058502D"/>
    <w:rsid w:val="005A6ADD"/>
    <w:rsid w:val="005F1C0C"/>
    <w:rsid w:val="005F3956"/>
    <w:rsid w:val="005F3F1F"/>
    <w:rsid w:val="0061446B"/>
    <w:rsid w:val="006251E3"/>
    <w:rsid w:val="006356B5"/>
    <w:rsid w:val="00652A54"/>
    <w:rsid w:val="00674576"/>
    <w:rsid w:val="0068704D"/>
    <w:rsid w:val="006930AF"/>
    <w:rsid w:val="00693A10"/>
    <w:rsid w:val="006978BC"/>
    <w:rsid w:val="006A23BB"/>
    <w:rsid w:val="006B0D15"/>
    <w:rsid w:val="006D3BD1"/>
    <w:rsid w:val="006D78AB"/>
    <w:rsid w:val="006E6E7D"/>
    <w:rsid w:val="006F5401"/>
    <w:rsid w:val="0070132D"/>
    <w:rsid w:val="00730CB5"/>
    <w:rsid w:val="00760394"/>
    <w:rsid w:val="00763219"/>
    <w:rsid w:val="007664B2"/>
    <w:rsid w:val="007679A0"/>
    <w:rsid w:val="00782275"/>
    <w:rsid w:val="00784913"/>
    <w:rsid w:val="00786A28"/>
    <w:rsid w:val="00795C07"/>
    <w:rsid w:val="007A163C"/>
    <w:rsid w:val="007B0362"/>
    <w:rsid w:val="007C2667"/>
    <w:rsid w:val="007C65D1"/>
    <w:rsid w:val="007E01DF"/>
    <w:rsid w:val="007E0476"/>
    <w:rsid w:val="007E2623"/>
    <w:rsid w:val="007E507F"/>
    <w:rsid w:val="007F48DF"/>
    <w:rsid w:val="008050B3"/>
    <w:rsid w:val="00850557"/>
    <w:rsid w:val="00864780"/>
    <w:rsid w:val="00865D1D"/>
    <w:rsid w:val="008C1C7E"/>
    <w:rsid w:val="008D2750"/>
    <w:rsid w:val="008E5264"/>
    <w:rsid w:val="008E7FCE"/>
    <w:rsid w:val="008F2E95"/>
    <w:rsid w:val="009034DF"/>
    <w:rsid w:val="0091297B"/>
    <w:rsid w:val="00920ABE"/>
    <w:rsid w:val="00921224"/>
    <w:rsid w:val="00926C26"/>
    <w:rsid w:val="009343BE"/>
    <w:rsid w:val="00956B38"/>
    <w:rsid w:val="0097530A"/>
    <w:rsid w:val="00977A56"/>
    <w:rsid w:val="00990679"/>
    <w:rsid w:val="00990B9C"/>
    <w:rsid w:val="0099339E"/>
    <w:rsid w:val="009A2547"/>
    <w:rsid w:val="009B11C0"/>
    <w:rsid w:val="009E2EB2"/>
    <w:rsid w:val="00A009F2"/>
    <w:rsid w:val="00A128E1"/>
    <w:rsid w:val="00A34ED0"/>
    <w:rsid w:val="00AA7EA3"/>
    <w:rsid w:val="00AB3939"/>
    <w:rsid w:val="00AB3997"/>
    <w:rsid w:val="00AB3CF9"/>
    <w:rsid w:val="00AC6369"/>
    <w:rsid w:val="00AC6406"/>
    <w:rsid w:val="00AC6B4E"/>
    <w:rsid w:val="00AF024F"/>
    <w:rsid w:val="00B01642"/>
    <w:rsid w:val="00B03B65"/>
    <w:rsid w:val="00B168E7"/>
    <w:rsid w:val="00B2573F"/>
    <w:rsid w:val="00B26C1D"/>
    <w:rsid w:val="00B33F57"/>
    <w:rsid w:val="00B3440F"/>
    <w:rsid w:val="00B36373"/>
    <w:rsid w:val="00B418EA"/>
    <w:rsid w:val="00B65A4F"/>
    <w:rsid w:val="00B75D70"/>
    <w:rsid w:val="00B82B0F"/>
    <w:rsid w:val="00B92E00"/>
    <w:rsid w:val="00B95BE4"/>
    <w:rsid w:val="00BF367B"/>
    <w:rsid w:val="00C06477"/>
    <w:rsid w:val="00C06A1E"/>
    <w:rsid w:val="00C13095"/>
    <w:rsid w:val="00C20F98"/>
    <w:rsid w:val="00C307AE"/>
    <w:rsid w:val="00C34DEB"/>
    <w:rsid w:val="00C571A7"/>
    <w:rsid w:val="00C62041"/>
    <w:rsid w:val="00C85D77"/>
    <w:rsid w:val="00C87E5D"/>
    <w:rsid w:val="00C93C68"/>
    <w:rsid w:val="00C941BC"/>
    <w:rsid w:val="00CA1015"/>
    <w:rsid w:val="00CA299B"/>
    <w:rsid w:val="00CC1F4A"/>
    <w:rsid w:val="00CC60EA"/>
    <w:rsid w:val="00CD0B82"/>
    <w:rsid w:val="00CF09F3"/>
    <w:rsid w:val="00D30840"/>
    <w:rsid w:val="00D3288F"/>
    <w:rsid w:val="00D42FF9"/>
    <w:rsid w:val="00D566D7"/>
    <w:rsid w:val="00D57EB3"/>
    <w:rsid w:val="00D62EA4"/>
    <w:rsid w:val="00D709EE"/>
    <w:rsid w:val="00DB290D"/>
    <w:rsid w:val="00DD5202"/>
    <w:rsid w:val="00DD64F5"/>
    <w:rsid w:val="00DD6948"/>
    <w:rsid w:val="00E03DBB"/>
    <w:rsid w:val="00E05796"/>
    <w:rsid w:val="00E15E1C"/>
    <w:rsid w:val="00E20177"/>
    <w:rsid w:val="00E35AA4"/>
    <w:rsid w:val="00E37ECF"/>
    <w:rsid w:val="00E97021"/>
    <w:rsid w:val="00E978CC"/>
    <w:rsid w:val="00EA014B"/>
    <w:rsid w:val="00ED4DEB"/>
    <w:rsid w:val="00ED6170"/>
    <w:rsid w:val="00F16AC8"/>
    <w:rsid w:val="00F22A1E"/>
    <w:rsid w:val="00F26369"/>
    <w:rsid w:val="00F31561"/>
    <w:rsid w:val="00F328CD"/>
    <w:rsid w:val="00F435E1"/>
    <w:rsid w:val="00F718A0"/>
    <w:rsid w:val="00F71BF6"/>
    <w:rsid w:val="00F82AAF"/>
    <w:rsid w:val="00F9168F"/>
    <w:rsid w:val="00FA460F"/>
    <w:rsid w:val="00FA5E86"/>
    <w:rsid w:val="00FD06E9"/>
    <w:rsid w:val="00FD3B7D"/>
    <w:rsid w:val="00FD4BB4"/>
    <w:rsid w:val="00FE5CCE"/>
    <w:rsid w:val="00FE626B"/>
    <w:rsid w:val="00FF47F4"/>
    <w:rsid w:val="010F2C79"/>
    <w:rsid w:val="011D723B"/>
    <w:rsid w:val="0156352C"/>
    <w:rsid w:val="0180460C"/>
    <w:rsid w:val="019F0EF6"/>
    <w:rsid w:val="023B042D"/>
    <w:rsid w:val="025E59AA"/>
    <w:rsid w:val="026B6CB2"/>
    <w:rsid w:val="02880C6E"/>
    <w:rsid w:val="029307AF"/>
    <w:rsid w:val="02B04C50"/>
    <w:rsid w:val="02C1356F"/>
    <w:rsid w:val="02C93A26"/>
    <w:rsid w:val="02D2724D"/>
    <w:rsid w:val="033B2485"/>
    <w:rsid w:val="034B4106"/>
    <w:rsid w:val="03593C27"/>
    <w:rsid w:val="0371289F"/>
    <w:rsid w:val="03850F0A"/>
    <w:rsid w:val="039E36D8"/>
    <w:rsid w:val="03FD5831"/>
    <w:rsid w:val="04003ABE"/>
    <w:rsid w:val="041A3829"/>
    <w:rsid w:val="048E7480"/>
    <w:rsid w:val="04BE36D5"/>
    <w:rsid w:val="04C80BE4"/>
    <w:rsid w:val="04DD7D0E"/>
    <w:rsid w:val="04EF0EBA"/>
    <w:rsid w:val="05146811"/>
    <w:rsid w:val="055A7363"/>
    <w:rsid w:val="05692B22"/>
    <w:rsid w:val="05E07758"/>
    <w:rsid w:val="067F6A05"/>
    <w:rsid w:val="06CE0008"/>
    <w:rsid w:val="06DE592F"/>
    <w:rsid w:val="07822663"/>
    <w:rsid w:val="079C1EB4"/>
    <w:rsid w:val="07ED7042"/>
    <w:rsid w:val="085B1D6F"/>
    <w:rsid w:val="08844E22"/>
    <w:rsid w:val="08D710E1"/>
    <w:rsid w:val="08EE4992"/>
    <w:rsid w:val="08EE6740"/>
    <w:rsid w:val="08FD2E27"/>
    <w:rsid w:val="0932260E"/>
    <w:rsid w:val="093550BB"/>
    <w:rsid w:val="09497E1A"/>
    <w:rsid w:val="09686362"/>
    <w:rsid w:val="09771111"/>
    <w:rsid w:val="09CB082F"/>
    <w:rsid w:val="0A01263D"/>
    <w:rsid w:val="0A48692C"/>
    <w:rsid w:val="0A613847"/>
    <w:rsid w:val="0A667025"/>
    <w:rsid w:val="0A6C2705"/>
    <w:rsid w:val="0B2D79F3"/>
    <w:rsid w:val="0B3B65F6"/>
    <w:rsid w:val="0B470389"/>
    <w:rsid w:val="0B7A5D95"/>
    <w:rsid w:val="0BB32AFE"/>
    <w:rsid w:val="0BB772BD"/>
    <w:rsid w:val="0C281F69"/>
    <w:rsid w:val="0C7C6B22"/>
    <w:rsid w:val="0D192328"/>
    <w:rsid w:val="0D5250D5"/>
    <w:rsid w:val="0D742DF1"/>
    <w:rsid w:val="0D811BCF"/>
    <w:rsid w:val="0DB00467"/>
    <w:rsid w:val="0DB241E0"/>
    <w:rsid w:val="0DBD343A"/>
    <w:rsid w:val="0DEF3C89"/>
    <w:rsid w:val="0DF93BBD"/>
    <w:rsid w:val="0E2F5FFF"/>
    <w:rsid w:val="0E9F5658"/>
    <w:rsid w:val="0EE303C9"/>
    <w:rsid w:val="0F283D96"/>
    <w:rsid w:val="0F8B2784"/>
    <w:rsid w:val="105351A2"/>
    <w:rsid w:val="10577F97"/>
    <w:rsid w:val="111A6E46"/>
    <w:rsid w:val="11501EBF"/>
    <w:rsid w:val="1154173C"/>
    <w:rsid w:val="115A0E16"/>
    <w:rsid w:val="11C25632"/>
    <w:rsid w:val="11D96D94"/>
    <w:rsid w:val="122B3102"/>
    <w:rsid w:val="125735A8"/>
    <w:rsid w:val="12F069E9"/>
    <w:rsid w:val="12F11027"/>
    <w:rsid w:val="12FE0DDF"/>
    <w:rsid w:val="133D279D"/>
    <w:rsid w:val="13631AD8"/>
    <w:rsid w:val="1372626E"/>
    <w:rsid w:val="13754D82"/>
    <w:rsid w:val="13AE1F3B"/>
    <w:rsid w:val="13B73411"/>
    <w:rsid w:val="13CC3E1E"/>
    <w:rsid w:val="13E17686"/>
    <w:rsid w:val="14011A1D"/>
    <w:rsid w:val="14213819"/>
    <w:rsid w:val="14251DC9"/>
    <w:rsid w:val="143C28F6"/>
    <w:rsid w:val="14436EA8"/>
    <w:rsid w:val="1457788F"/>
    <w:rsid w:val="14591A0E"/>
    <w:rsid w:val="148606DA"/>
    <w:rsid w:val="14860BF1"/>
    <w:rsid w:val="15802E15"/>
    <w:rsid w:val="15AA3169"/>
    <w:rsid w:val="15FF306C"/>
    <w:rsid w:val="16092E0B"/>
    <w:rsid w:val="16467324"/>
    <w:rsid w:val="167504A0"/>
    <w:rsid w:val="16CD42DD"/>
    <w:rsid w:val="16D01B7A"/>
    <w:rsid w:val="1765105F"/>
    <w:rsid w:val="17C70110"/>
    <w:rsid w:val="180D7890"/>
    <w:rsid w:val="18537BDE"/>
    <w:rsid w:val="185D005D"/>
    <w:rsid w:val="19294C0B"/>
    <w:rsid w:val="19A4072D"/>
    <w:rsid w:val="1A2A2FFC"/>
    <w:rsid w:val="1A466BC3"/>
    <w:rsid w:val="1A6C3968"/>
    <w:rsid w:val="1A9058A9"/>
    <w:rsid w:val="1AA03612"/>
    <w:rsid w:val="1AA7482F"/>
    <w:rsid w:val="1AB74248"/>
    <w:rsid w:val="1AEA05DF"/>
    <w:rsid w:val="1AED2CFB"/>
    <w:rsid w:val="1B0555B5"/>
    <w:rsid w:val="1B1C538E"/>
    <w:rsid w:val="1BBA70EA"/>
    <w:rsid w:val="1C3F4120"/>
    <w:rsid w:val="1C485D0F"/>
    <w:rsid w:val="1C4A7CD9"/>
    <w:rsid w:val="1C5703FC"/>
    <w:rsid w:val="1CD346FD"/>
    <w:rsid w:val="1D1C78C7"/>
    <w:rsid w:val="1D3556E8"/>
    <w:rsid w:val="1D525097"/>
    <w:rsid w:val="1DB80A1F"/>
    <w:rsid w:val="1DCD471E"/>
    <w:rsid w:val="1DCD6828"/>
    <w:rsid w:val="1DED3012"/>
    <w:rsid w:val="1DF223D6"/>
    <w:rsid w:val="1DF779ED"/>
    <w:rsid w:val="1E8A6352"/>
    <w:rsid w:val="1E962E2C"/>
    <w:rsid w:val="1EB47EF1"/>
    <w:rsid w:val="1EC2624D"/>
    <w:rsid w:val="1EFB1E2F"/>
    <w:rsid w:val="1F015BE8"/>
    <w:rsid w:val="1F364065"/>
    <w:rsid w:val="1F6F619E"/>
    <w:rsid w:val="1F9330D8"/>
    <w:rsid w:val="1FC72E9A"/>
    <w:rsid w:val="200F5F18"/>
    <w:rsid w:val="206522AA"/>
    <w:rsid w:val="206718C3"/>
    <w:rsid w:val="208D7F5E"/>
    <w:rsid w:val="20B55C0F"/>
    <w:rsid w:val="20C52024"/>
    <w:rsid w:val="20FA7F20"/>
    <w:rsid w:val="20FF1092"/>
    <w:rsid w:val="210D2CB1"/>
    <w:rsid w:val="215A237F"/>
    <w:rsid w:val="219C4485"/>
    <w:rsid w:val="22A1166E"/>
    <w:rsid w:val="22D84291"/>
    <w:rsid w:val="22EE13BE"/>
    <w:rsid w:val="2322375E"/>
    <w:rsid w:val="23356FED"/>
    <w:rsid w:val="23503E27"/>
    <w:rsid w:val="23832C42"/>
    <w:rsid w:val="238C68D9"/>
    <w:rsid w:val="23F3529D"/>
    <w:rsid w:val="24030E99"/>
    <w:rsid w:val="244E07EF"/>
    <w:rsid w:val="24A00DDE"/>
    <w:rsid w:val="24B44889"/>
    <w:rsid w:val="25227EA9"/>
    <w:rsid w:val="25283D1B"/>
    <w:rsid w:val="25286BFC"/>
    <w:rsid w:val="254C4AC2"/>
    <w:rsid w:val="25700B6C"/>
    <w:rsid w:val="25987D07"/>
    <w:rsid w:val="25CD4E9E"/>
    <w:rsid w:val="2610789E"/>
    <w:rsid w:val="2621554B"/>
    <w:rsid w:val="265A1BB4"/>
    <w:rsid w:val="26A27A1A"/>
    <w:rsid w:val="26DA3033"/>
    <w:rsid w:val="274B2CF8"/>
    <w:rsid w:val="276A122F"/>
    <w:rsid w:val="279A1B15"/>
    <w:rsid w:val="28160D06"/>
    <w:rsid w:val="285A12A4"/>
    <w:rsid w:val="28AD40F4"/>
    <w:rsid w:val="28ED60D4"/>
    <w:rsid w:val="28F9175A"/>
    <w:rsid w:val="28FC7C1A"/>
    <w:rsid w:val="291A4E2F"/>
    <w:rsid w:val="29606D8E"/>
    <w:rsid w:val="296930F2"/>
    <w:rsid w:val="296C74E1"/>
    <w:rsid w:val="29B64C00"/>
    <w:rsid w:val="2A227790"/>
    <w:rsid w:val="2A4C3A21"/>
    <w:rsid w:val="2A580712"/>
    <w:rsid w:val="2A7B4873"/>
    <w:rsid w:val="2B0459C6"/>
    <w:rsid w:val="2B1B5263"/>
    <w:rsid w:val="2B6B072A"/>
    <w:rsid w:val="2B7469BB"/>
    <w:rsid w:val="2C2C73FB"/>
    <w:rsid w:val="2C3B0C78"/>
    <w:rsid w:val="2C520C10"/>
    <w:rsid w:val="2CA50EF2"/>
    <w:rsid w:val="2CDC2B8B"/>
    <w:rsid w:val="2CE6368C"/>
    <w:rsid w:val="2D3A16A4"/>
    <w:rsid w:val="2DDB7DBD"/>
    <w:rsid w:val="2DE368CE"/>
    <w:rsid w:val="2E093237"/>
    <w:rsid w:val="2E370B47"/>
    <w:rsid w:val="2EC87616"/>
    <w:rsid w:val="2EE930F3"/>
    <w:rsid w:val="2F363FD6"/>
    <w:rsid w:val="2F4D0F38"/>
    <w:rsid w:val="2F5A078D"/>
    <w:rsid w:val="2F745341"/>
    <w:rsid w:val="2F7E3ACA"/>
    <w:rsid w:val="2FE204FD"/>
    <w:rsid w:val="2FED67F0"/>
    <w:rsid w:val="30851151"/>
    <w:rsid w:val="30E738F1"/>
    <w:rsid w:val="30FD2F75"/>
    <w:rsid w:val="31086BD1"/>
    <w:rsid w:val="315D0ECD"/>
    <w:rsid w:val="321A1044"/>
    <w:rsid w:val="321D5445"/>
    <w:rsid w:val="32425B98"/>
    <w:rsid w:val="32FA1C32"/>
    <w:rsid w:val="330427FC"/>
    <w:rsid w:val="33582409"/>
    <w:rsid w:val="33784BF7"/>
    <w:rsid w:val="33A3246C"/>
    <w:rsid w:val="341C5D39"/>
    <w:rsid w:val="343D58A1"/>
    <w:rsid w:val="3447392B"/>
    <w:rsid w:val="3457130E"/>
    <w:rsid w:val="34A46413"/>
    <w:rsid w:val="34C24459"/>
    <w:rsid w:val="34FA3BF3"/>
    <w:rsid w:val="362D264B"/>
    <w:rsid w:val="36AE2201"/>
    <w:rsid w:val="37137350"/>
    <w:rsid w:val="373553B6"/>
    <w:rsid w:val="37756AB3"/>
    <w:rsid w:val="37764CBD"/>
    <w:rsid w:val="378C30BB"/>
    <w:rsid w:val="37E170D4"/>
    <w:rsid w:val="37F0752F"/>
    <w:rsid w:val="38042FDA"/>
    <w:rsid w:val="38305B7D"/>
    <w:rsid w:val="3841400E"/>
    <w:rsid w:val="384B7486"/>
    <w:rsid w:val="389F5BCA"/>
    <w:rsid w:val="38B44A00"/>
    <w:rsid w:val="3A0073A2"/>
    <w:rsid w:val="3A3C784F"/>
    <w:rsid w:val="3A8B0EFD"/>
    <w:rsid w:val="3AA04C37"/>
    <w:rsid w:val="3B1000D8"/>
    <w:rsid w:val="3B2E16A9"/>
    <w:rsid w:val="3BB571BF"/>
    <w:rsid w:val="3BC56053"/>
    <w:rsid w:val="3C0362E5"/>
    <w:rsid w:val="3C30228F"/>
    <w:rsid w:val="3C412728"/>
    <w:rsid w:val="3C6957BF"/>
    <w:rsid w:val="3CA50EEA"/>
    <w:rsid w:val="3CB43221"/>
    <w:rsid w:val="3CF47533"/>
    <w:rsid w:val="3D605157"/>
    <w:rsid w:val="3D6E6BA4"/>
    <w:rsid w:val="3DA07301"/>
    <w:rsid w:val="3DAD3FBE"/>
    <w:rsid w:val="3DBF00CF"/>
    <w:rsid w:val="3E074B07"/>
    <w:rsid w:val="3E582336"/>
    <w:rsid w:val="3E6D7B0C"/>
    <w:rsid w:val="3E78202C"/>
    <w:rsid w:val="3EC139D3"/>
    <w:rsid w:val="3EEC56D1"/>
    <w:rsid w:val="3F0B5DBE"/>
    <w:rsid w:val="3F0E7575"/>
    <w:rsid w:val="3F1B1335"/>
    <w:rsid w:val="3F2C7B93"/>
    <w:rsid w:val="3F5E2DF9"/>
    <w:rsid w:val="3F636838"/>
    <w:rsid w:val="3F726F93"/>
    <w:rsid w:val="3F815008"/>
    <w:rsid w:val="3FE756BB"/>
    <w:rsid w:val="40147B22"/>
    <w:rsid w:val="409B1A96"/>
    <w:rsid w:val="415B1B90"/>
    <w:rsid w:val="41742367"/>
    <w:rsid w:val="417C1E33"/>
    <w:rsid w:val="41CE6B33"/>
    <w:rsid w:val="42164036"/>
    <w:rsid w:val="423A7D24"/>
    <w:rsid w:val="425B0980"/>
    <w:rsid w:val="42780DDD"/>
    <w:rsid w:val="427D58A7"/>
    <w:rsid w:val="42805951"/>
    <w:rsid w:val="428C5620"/>
    <w:rsid w:val="42B74C80"/>
    <w:rsid w:val="42BE5066"/>
    <w:rsid w:val="42DF267A"/>
    <w:rsid w:val="43056584"/>
    <w:rsid w:val="433D7A78"/>
    <w:rsid w:val="4349216B"/>
    <w:rsid w:val="435766B4"/>
    <w:rsid w:val="439E2535"/>
    <w:rsid w:val="43B64C47"/>
    <w:rsid w:val="441A7E0D"/>
    <w:rsid w:val="449851D6"/>
    <w:rsid w:val="44C41AE9"/>
    <w:rsid w:val="455B692F"/>
    <w:rsid w:val="45C06792"/>
    <w:rsid w:val="45C53DA9"/>
    <w:rsid w:val="45E15961"/>
    <w:rsid w:val="45E662F8"/>
    <w:rsid w:val="46313BA0"/>
    <w:rsid w:val="463336E0"/>
    <w:rsid w:val="46492C2C"/>
    <w:rsid w:val="469E3770"/>
    <w:rsid w:val="46C16C66"/>
    <w:rsid w:val="46D04693"/>
    <w:rsid w:val="46EF4F07"/>
    <w:rsid w:val="470B1C8F"/>
    <w:rsid w:val="47460F19"/>
    <w:rsid w:val="4766336A"/>
    <w:rsid w:val="478D6A3C"/>
    <w:rsid w:val="47D97FDF"/>
    <w:rsid w:val="482B4558"/>
    <w:rsid w:val="486C0E54"/>
    <w:rsid w:val="487526CC"/>
    <w:rsid w:val="49090450"/>
    <w:rsid w:val="4913307D"/>
    <w:rsid w:val="49521DF7"/>
    <w:rsid w:val="495F27A1"/>
    <w:rsid w:val="499B6EFE"/>
    <w:rsid w:val="499F2B63"/>
    <w:rsid w:val="49B760FE"/>
    <w:rsid w:val="49C34D17"/>
    <w:rsid w:val="49F60156"/>
    <w:rsid w:val="4A8915B8"/>
    <w:rsid w:val="4A944A26"/>
    <w:rsid w:val="4A995804"/>
    <w:rsid w:val="4B101774"/>
    <w:rsid w:val="4B975426"/>
    <w:rsid w:val="4C017B05"/>
    <w:rsid w:val="4C0F2222"/>
    <w:rsid w:val="4C397865"/>
    <w:rsid w:val="4C4A325A"/>
    <w:rsid w:val="4CCC3B4A"/>
    <w:rsid w:val="4CDF5113"/>
    <w:rsid w:val="4CF431C6"/>
    <w:rsid w:val="4D49056B"/>
    <w:rsid w:val="4D81330C"/>
    <w:rsid w:val="4DAD6D49"/>
    <w:rsid w:val="4DD26EF3"/>
    <w:rsid w:val="4DDD4E6D"/>
    <w:rsid w:val="4E235B10"/>
    <w:rsid w:val="4E2A50F1"/>
    <w:rsid w:val="4E482373"/>
    <w:rsid w:val="4E594465"/>
    <w:rsid w:val="4E5A52AA"/>
    <w:rsid w:val="4E6F0C06"/>
    <w:rsid w:val="4EE03A01"/>
    <w:rsid w:val="4EF36C6F"/>
    <w:rsid w:val="4F0449C7"/>
    <w:rsid w:val="4F464194"/>
    <w:rsid w:val="4F510757"/>
    <w:rsid w:val="4F51643B"/>
    <w:rsid w:val="4F946E6D"/>
    <w:rsid w:val="4FD719C6"/>
    <w:rsid w:val="4FDB37F4"/>
    <w:rsid w:val="502649D0"/>
    <w:rsid w:val="503F6E4F"/>
    <w:rsid w:val="50834F8C"/>
    <w:rsid w:val="50903205"/>
    <w:rsid w:val="5094715E"/>
    <w:rsid w:val="50B603AB"/>
    <w:rsid w:val="50BC5616"/>
    <w:rsid w:val="50FA67BE"/>
    <w:rsid w:val="51037E7B"/>
    <w:rsid w:val="512E4514"/>
    <w:rsid w:val="51493AE0"/>
    <w:rsid w:val="51542485"/>
    <w:rsid w:val="519F571B"/>
    <w:rsid w:val="520774F7"/>
    <w:rsid w:val="5215447D"/>
    <w:rsid w:val="522474FD"/>
    <w:rsid w:val="523C1897"/>
    <w:rsid w:val="52A116FA"/>
    <w:rsid w:val="53245E3A"/>
    <w:rsid w:val="53CE2DA2"/>
    <w:rsid w:val="53E72A96"/>
    <w:rsid w:val="54776BB6"/>
    <w:rsid w:val="54A232F5"/>
    <w:rsid w:val="550B5550"/>
    <w:rsid w:val="555313D1"/>
    <w:rsid w:val="55546200"/>
    <w:rsid w:val="5656536A"/>
    <w:rsid w:val="569F0646"/>
    <w:rsid w:val="56A833F9"/>
    <w:rsid w:val="56C105BC"/>
    <w:rsid w:val="56E147BB"/>
    <w:rsid w:val="57324EB7"/>
    <w:rsid w:val="575104C8"/>
    <w:rsid w:val="586660E4"/>
    <w:rsid w:val="58715890"/>
    <w:rsid w:val="58CE22EB"/>
    <w:rsid w:val="58FD3402"/>
    <w:rsid w:val="591308C3"/>
    <w:rsid w:val="593772D0"/>
    <w:rsid w:val="59527BF2"/>
    <w:rsid w:val="59783975"/>
    <w:rsid w:val="598C4EB2"/>
    <w:rsid w:val="59A33A0D"/>
    <w:rsid w:val="59E8492B"/>
    <w:rsid w:val="5AB77983"/>
    <w:rsid w:val="5AF14157"/>
    <w:rsid w:val="5B110AE8"/>
    <w:rsid w:val="5B3255E5"/>
    <w:rsid w:val="5B3C2907"/>
    <w:rsid w:val="5B587C31"/>
    <w:rsid w:val="5B9A4115"/>
    <w:rsid w:val="5B9F1982"/>
    <w:rsid w:val="5BD42B40"/>
    <w:rsid w:val="5C653798"/>
    <w:rsid w:val="5C677510"/>
    <w:rsid w:val="5D090FE8"/>
    <w:rsid w:val="5D0B4EFB"/>
    <w:rsid w:val="5D1C0BD9"/>
    <w:rsid w:val="5D373C4B"/>
    <w:rsid w:val="5D504448"/>
    <w:rsid w:val="5D5F6439"/>
    <w:rsid w:val="5D75771C"/>
    <w:rsid w:val="5DAB1E3A"/>
    <w:rsid w:val="5DD24E5D"/>
    <w:rsid w:val="5E13562E"/>
    <w:rsid w:val="5E437C66"/>
    <w:rsid w:val="5EB276A8"/>
    <w:rsid w:val="5F805BD9"/>
    <w:rsid w:val="5F824661"/>
    <w:rsid w:val="5F8454CE"/>
    <w:rsid w:val="5FC07EA8"/>
    <w:rsid w:val="5FE115EF"/>
    <w:rsid w:val="60344780"/>
    <w:rsid w:val="60367B2B"/>
    <w:rsid w:val="604C7149"/>
    <w:rsid w:val="608A7C71"/>
    <w:rsid w:val="60903494"/>
    <w:rsid w:val="60EA6962"/>
    <w:rsid w:val="610C0686"/>
    <w:rsid w:val="61500960"/>
    <w:rsid w:val="61B722C3"/>
    <w:rsid w:val="61B96379"/>
    <w:rsid w:val="61D01DD2"/>
    <w:rsid w:val="62046A6B"/>
    <w:rsid w:val="62144D17"/>
    <w:rsid w:val="62257D7B"/>
    <w:rsid w:val="62BC60DF"/>
    <w:rsid w:val="62C2643F"/>
    <w:rsid w:val="630C0E11"/>
    <w:rsid w:val="631A4D27"/>
    <w:rsid w:val="6347265C"/>
    <w:rsid w:val="634E142A"/>
    <w:rsid w:val="63C33BC6"/>
    <w:rsid w:val="63E105CA"/>
    <w:rsid w:val="644B68D4"/>
    <w:rsid w:val="64DD6316"/>
    <w:rsid w:val="64F67EE8"/>
    <w:rsid w:val="650224CC"/>
    <w:rsid w:val="6535464F"/>
    <w:rsid w:val="65402D12"/>
    <w:rsid w:val="65614932"/>
    <w:rsid w:val="658147AB"/>
    <w:rsid w:val="65963FD8"/>
    <w:rsid w:val="65AA7E46"/>
    <w:rsid w:val="65EE70DA"/>
    <w:rsid w:val="661A232A"/>
    <w:rsid w:val="6632293D"/>
    <w:rsid w:val="6686173D"/>
    <w:rsid w:val="66D11982"/>
    <w:rsid w:val="66E16FD5"/>
    <w:rsid w:val="67386806"/>
    <w:rsid w:val="673C26FB"/>
    <w:rsid w:val="675D094C"/>
    <w:rsid w:val="67B61CC7"/>
    <w:rsid w:val="681649B0"/>
    <w:rsid w:val="68B91D73"/>
    <w:rsid w:val="690B4321"/>
    <w:rsid w:val="69256789"/>
    <w:rsid w:val="699A7177"/>
    <w:rsid w:val="69AD6A82"/>
    <w:rsid w:val="69B12712"/>
    <w:rsid w:val="69FE3207"/>
    <w:rsid w:val="6A162A44"/>
    <w:rsid w:val="6A243D68"/>
    <w:rsid w:val="6A455DFD"/>
    <w:rsid w:val="6A48378D"/>
    <w:rsid w:val="6A9D50DC"/>
    <w:rsid w:val="6ADF6E0B"/>
    <w:rsid w:val="6B091F05"/>
    <w:rsid w:val="6B450778"/>
    <w:rsid w:val="6B610944"/>
    <w:rsid w:val="6B851761"/>
    <w:rsid w:val="6BDF5315"/>
    <w:rsid w:val="6BF85B87"/>
    <w:rsid w:val="6C1D55C6"/>
    <w:rsid w:val="6CCC5F78"/>
    <w:rsid w:val="6D26555E"/>
    <w:rsid w:val="6D697D36"/>
    <w:rsid w:val="6D8C31AF"/>
    <w:rsid w:val="6E7855AD"/>
    <w:rsid w:val="6E8D052E"/>
    <w:rsid w:val="6E982293"/>
    <w:rsid w:val="6EC54776"/>
    <w:rsid w:val="6EC66318"/>
    <w:rsid w:val="6EC97FDE"/>
    <w:rsid w:val="6EDD7062"/>
    <w:rsid w:val="6EE1655E"/>
    <w:rsid w:val="6F063E1D"/>
    <w:rsid w:val="6F343288"/>
    <w:rsid w:val="6F6A1399"/>
    <w:rsid w:val="6F857F81"/>
    <w:rsid w:val="6F8A37EA"/>
    <w:rsid w:val="6FC745B1"/>
    <w:rsid w:val="6FF30F58"/>
    <w:rsid w:val="6FF670D1"/>
    <w:rsid w:val="6FFE5F86"/>
    <w:rsid w:val="70494955"/>
    <w:rsid w:val="70691651"/>
    <w:rsid w:val="70AA1185"/>
    <w:rsid w:val="70D21600"/>
    <w:rsid w:val="70D52B84"/>
    <w:rsid w:val="70F040A8"/>
    <w:rsid w:val="718766C1"/>
    <w:rsid w:val="720C06B7"/>
    <w:rsid w:val="721F01B1"/>
    <w:rsid w:val="722001CA"/>
    <w:rsid w:val="72BD3ED6"/>
    <w:rsid w:val="73274134"/>
    <w:rsid w:val="734B30BA"/>
    <w:rsid w:val="73712DD3"/>
    <w:rsid w:val="73921146"/>
    <w:rsid w:val="73972063"/>
    <w:rsid w:val="73DB4E1F"/>
    <w:rsid w:val="73DB747A"/>
    <w:rsid w:val="740B13C3"/>
    <w:rsid w:val="7431692A"/>
    <w:rsid w:val="743240B0"/>
    <w:rsid w:val="745C422F"/>
    <w:rsid w:val="74934EEE"/>
    <w:rsid w:val="74A751D7"/>
    <w:rsid w:val="74A83D3F"/>
    <w:rsid w:val="74B9039C"/>
    <w:rsid w:val="74C4154C"/>
    <w:rsid w:val="74F57957"/>
    <w:rsid w:val="75323B4A"/>
    <w:rsid w:val="75363ACC"/>
    <w:rsid w:val="75524DAA"/>
    <w:rsid w:val="75680989"/>
    <w:rsid w:val="757575F0"/>
    <w:rsid w:val="75B66837"/>
    <w:rsid w:val="75D91027"/>
    <w:rsid w:val="75DC28C5"/>
    <w:rsid w:val="761A7171"/>
    <w:rsid w:val="762F4835"/>
    <w:rsid w:val="763D3A86"/>
    <w:rsid w:val="76746FA2"/>
    <w:rsid w:val="76924EF4"/>
    <w:rsid w:val="76E210CD"/>
    <w:rsid w:val="76FB321F"/>
    <w:rsid w:val="77737AF1"/>
    <w:rsid w:val="77F35E7A"/>
    <w:rsid w:val="781A3F3B"/>
    <w:rsid w:val="78670B6C"/>
    <w:rsid w:val="78A43B6E"/>
    <w:rsid w:val="78C132E5"/>
    <w:rsid w:val="792E7917"/>
    <w:rsid w:val="793F363C"/>
    <w:rsid w:val="797252E7"/>
    <w:rsid w:val="79A76C99"/>
    <w:rsid w:val="79EC1FD7"/>
    <w:rsid w:val="7A28257D"/>
    <w:rsid w:val="7AF0727B"/>
    <w:rsid w:val="7B0C77A9"/>
    <w:rsid w:val="7B5C0B86"/>
    <w:rsid w:val="7BCB1412"/>
    <w:rsid w:val="7C617072"/>
    <w:rsid w:val="7C945CA8"/>
    <w:rsid w:val="7CE5463C"/>
    <w:rsid w:val="7D2124A7"/>
    <w:rsid w:val="7D284642"/>
    <w:rsid w:val="7D6F41A2"/>
    <w:rsid w:val="7D7B6E68"/>
    <w:rsid w:val="7DBD4D8A"/>
    <w:rsid w:val="7DC52EA5"/>
    <w:rsid w:val="7DF02012"/>
    <w:rsid w:val="7E1370A0"/>
    <w:rsid w:val="7E510534"/>
    <w:rsid w:val="7EB268B9"/>
    <w:rsid w:val="7ED24865"/>
    <w:rsid w:val="7F0F7867"/>
    <w:rsid w:val="7F16256D"/>
    <w:rsid w:val="7F3731B0"/>
    <w:rsid w:val="7F7E550D"/>
    <w:rsid w:val="7FD21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qFormat="1" w:unhideWhenUsed="0" w:uiPriority="0" w:semiHidden="0" w:name="toc 3"/>
    <w:lsdException w:qFormat="1" w:unhideWhenUsed="0" w:uiPriority="0" w:semiHidden="0" w:name="toc 4"/>
    <w:lsdException w:qFormat="1" w:unhideWhenUsed="0" w:uiPriority="0" w:semiHidden="0" w:name="toc 5"/>
    <w:lsdException w:uiPriority="99" w:name="toc 6"/>
    <w:lsdException w:uiPriority="99" w:name="toc 7"/>
    <w:lsdException w:uiPriority="99" w:name="toc 8"/>
    <w:lsdException w:uiPriority="9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99" w:semiHidden="0" w:name="List Number"/>
    <w:lsdException w:uiPriority="99" w:name="List 2"/>
    <w:lsdException w:uiPriority="99" w:name="List 3"/>
    <w:lsdException w:unhideWhenUsed="0" w:uiPriority="99" w:semiHidden="0" w:name="List 4"/>
    <w:lsdException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nhideWhenUsed="0" w:uiPriority="99" w:semiHidden="0" w:name="Salutation"/>
    <w:lsdException w:qFormat="1" w:unhideWhenUsed="0" w:uiPriority="0" w:semiHidden="0" w:name="Date"/>
    <w:lsdException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99" w:semiHidden="0" w:name="Strong"/>
    <w:lsdException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autoRedefine/>
    <w:qFormat/>
    <w:uiPriority w:val="99"/>
    <w:pPr>
      <w:keepNext/>
      <w:keepLines/>
      <w:spacing w:line="360" w:lineRule="auto"/>
      <w:outlineLvl w:val="0"/>
    </w:pPr>
    <w:rPr>
      <w:rFonts w:eastAsia="黑体"/>
      <w:b/>
      <w:bCs/>
      <w:kern w:val="44"/>
      <w:sz w:val="44"/>
      <w:szCs w:val="44"/>
      <w:lang w:val="zh-CN"/>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autoRedefine/>
    <w:qFormat/>
    <w:uiPriority w:val="0"/>
    <w:pPr>
      <w:spacing w:line="413" w:lineRule="auto"/>
      <w:ind w:firstLine="480" w:firstLineChars="200"/>
      <w:jc w:val="left"/>
      <w:outlineLvl w:val="2"/>
    </w:pPr>
    <w:rPr>
      <w:bCs/>
      <w:sz w:val="24"/>
      <w:szCs w:val="24"/>
    </w:rPr>
  </w:style>
  <w:style w:type="paragraph" w:styleId="6">
    <w:name w:val="heading 4"/>
    <w:basedOn w:val="1"/>
    <w:autoRedefine/>
    <w:qFormat/>
    <w:uiPriority w:val="0"/>
    <w:pPr>
      <w:keepNext/>
      <w:keepLines/>
      <w:spacing w:line="372" w:lineRule="auto"/>
      <w:outlineLvl w:val="3"/>
    </w:pPr>
    <w:rPr>
      <w:rFonts w:ascii="Cambria" w:hAnsi="Cambria"/>
      <w:b/>
      <w:bCs/>
      <w:sz w:val="28"/>
      <w:szCs w:val="28"/>
    </w:rPr>
  </w:style>
  <w:style w:type="paragraph" w:styleId="7">
    <w:name w:val="heading 5"/>
    <w:basedOn w:val="1"/>
    <w:autoRedefine/>
    <w:qFormat/>
    <w:uiPriority w:val="0"/>
    <w:pPr>
      <w:keepNext/>
      <w:keepLines/>
      <w:spacing w:line="372" w:lineRule="auto"/>
      <w:outlineLvl w:val="4"/>
    </w:pPr>
    <w:rPr>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adjustRightInd w:val="0"/>
      <w:spacing w:line="360" w:lineRule="atLeast"/>
      <w:ind w:left="72" w:leftChars="30" w:right="30" w:rightChars="30"/>
      <w:jc w:val="center"/>
    </w:pPr>
    <w:rPr>
      <w:rFonts w:ascii="Times New Roman" w:hAnsi="Times New Roman"/>
      <w:kern w:val="0"/>
      <w:sz w:val="20"/>
      <w:szCs w:val="20"/>
    </w:rPr>
  </w:style>
  <w:style w:type="paragraph" w:styleId="8">
    <w:name w:val="annotation text"/>
    <w:basedOn w:val="1"/>
    <w:link w:val="31"/>
    <w:autoRedefine/>
    <w:qFormat/>
    <w:uiPriority w:val="0"/>
    <w:pPr>
      <w:jc w:val="left"/>
    </w:pPr>
  </w:style>
  <w:style w:type="paragraph" w:styleId="9">
    <w:name w:val="Body Text Indent"/>
    <w:basedOn w:val="1"/>
    <w:link w:val="36"/>
    <w:autoRedefine/>
    <w:qFormat/>
    <w:uiPriority w:val="0"/>
    <w:pPr>
      <w:ind w:firstLine="830" w:firstLineChars="352"/>
    </w:pPr>
    <w:rPr>
      <w:rFonts w:ascii="仿宋_GB2312" w:eastAsia="仿宋_GB2312"/>
      <w:kern w:val="0"/>
      <w:sz w:val="32"/>
      <w:szCs w:val="20"/>
    </w:rPr>
  </w:style>
  <w:style w:type="paragraph" w:styleId="10">
    <w:name w:val="toc 5"/>
    <w:basedOn w:val="1"/>
    <w:autoRedefine/>
    <w:qFormat/>
    <w:uiPriority w:val="0"/>
    <w:pPr>
      <w:tabs>
        <w:tab w:val="right" w:leader="dot" w:pos="8296"/>
      </w:tabs>
      <w:ind w:left="1050" w:leftChars="500"/>
    </w:pPr>
  </w:style>
  <w:style w:type="paragraph" w:styleId="11">
    <w:name w:val="toc 3"/>
    <w:basedOn w:val="1"/>
    <w:autoRedefine/>
    <w:qFormat/>
    <w:uiPriority w:val="0"/>
    <w:pPr>
      <w:ind w:left="840" w:leftChars="400"/>
    </w:pPr>
  </w:style>
  <w:style w:type="paragraph" w:styleId="12">
    <w:name w:val="Plain Text"/>
    <w:basedOn w:val="1"/>
    <w:link w:val="39"/>
    <w:autoRedefine/>
    <w:qFormat/>
    <w:uiPriority w:val="99"/>
    <w:rPr>
      <w:rFonts w:ascii="宋体" w:hAnsi="Courier New" w:cs="Courier New"/>
      <w:szCs w:val="21"/>
    </w:rPr>
  </w:style>
  <w:style w:type="paragraph" w:styleId="13">
    <w:name w:val="Date"/>
    <w:basedOn w:val="1"/>
    <w:next w:val="1"/>
    <w:qFormat/>
    <w:uiPriority w:val="0"/>
    <w:pPr>
      <w:ind w:left="100" w:leftChars="2500"/>
    </w:pPr>
    <w:rPr>
      <w:rFonts w:ascii="宋体" w:hAnsi="Courier New" w:cs="Courier New"/>
      <w:szCs w:val="21"/>
    </w:rPr>
  </w:style>
  <w:style w:type="paragraph" w:styleId="14">
    <w:name w:val="Balloon Text"/>
    <w:basedOn w:val="1"/>
    <w:link w:val="33"/>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szCs w:val="18"/>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7">
    <w:name w:val="toc 4"/>
    <w:basedOn w:val="1"/>
    <w:autoRedefine/>
    <w:qFormat/>
    <w:uiPriority w:val="0"/>
    <w:pPr>
      <w:tabs>
        <w:tab w:val="left" w:pos="1890"/>
        <w:tab w:val="right" w:leader="dot" w:pos="8296"/>
      </w:tabs>
      <w:ind w:left="630" w:leftChars="300"/>
    </w:pPr>
  </w:style>
  <w:style w:type="paragraph" w:styleId="18">
    <w:name w:val="Normal (Web)"/>
    <w:basedOn w:val="1"/>
    <w:autoRedefine/>
    <w:qFormat/>
    <w:uiPriority w:val="0"/>
    <w:rPr>
      <w:sz w:val="24"/>
    </w:rPr>
  </w:style>
  <w:style w:type="paragraph" w:styleId="19">
    <w:name w:val="annotation subject"/>
    <w:basedOn w:val="8"/>
    <w:link w:val="32"/>
    <w:autoRedefine/>
    <w:qFormat/>
    <w:uiPriority w:val="0"/>
    <w:rPr>
      <w:b/>
      <w:bCs/>
    </w:rPr>
  </w:style>
  <w:style w:type="paragraph" w:styleId="20">
    <w:name w:val="Body Text First Indent 2"/>
    <w:basedOn w:val="9"/>
    <w:link w:val="37"/>
    <w:autoRedefine/>
    <w:qFormat/>
    <w:uiPriority w:val="0"/>
    <w:pPr>
      <w:spacing w:after="120"/>
      <w:ind w:left="420" w:leftChars="200" w:firstLine="210" w:firstLineChars="200"/>
    </w:pPr>
    <w:rPr>
      <w:rFonts w:ascii="宋体" w:hAnsi="宋体"/>
      <w:kern w:val="2"/>
      <w:sz w:val="28"/>
    </w:rPr>
  </w:style>
  <w:style w:type="character" w:styleId="23">
    <w:name w:val="Strong"/>
    <w:basedOn w:val="22"/>
    <w:qFormat/>
    <w:uiPriority w:val="99"/>
    <w:rPr>
      <w:b/>
    </w:rPr>
  </w:style>
  <w:style w:type="character" w:styleId="24">
    <w:name w:val="Hyperlink"/>
    <w:qFormat/>
    <w:uiPriority w:val="0"/>
    <w:rPr>
      <w:rFonts w:cs="Times New Roman"/>
      <w:color w:val="0000FF"/>
      <w:u w:val="single"/>
    </w:rPr>
  </w:style>
  <w:style w:type="character" w:styleId="25">
    <w:name w:val="annotation reference"/>
    <w:basedOn w:val="22"/>
    <w:qFormat/>
    <w:uiPriority w:val="0"/>
    <w:rPr>
      <w:sz w:val="21"/>
      <w:szCs w:val="21"/>
    </w:rPr>
  </w:style>
  <w:style w:type="paragraph" w:customStyle="1" w:styleId="26">
    <w:name w:val="正文1"/>
    <w:qFormat/>
    <w:uiPriority w:val="0"/>
    <w:rPr>
      <w:rFonts w:ascii="Times New Roman" w:hAnsi="Times New Roman" w:eastAsia="Times New Roman" w:cs="Times New Roman"/>
      <w:sz w:val="24"/>
      <w:szCs w:val="24"/>
      <w:lang w:val="en-US" w:eastAsia="zh-CN" w:bidi="ar-SA"/>
    </w:rPr>
  </w:style>
  <w:style w:type="paragraph" w:customStyle="1" w:styleId="27">
    <w:name w:val="Div_MsoNormal ParagraphIndent"/>
    <w:basedOn w:val="26"/>
    <w:qFormat/>
    <w:uiPriority w:val="0"/>
    <w:rPr>
      <w:rFonts w:ascii="宋体" w:hAnsi="宋体" w:eastAsia="宋体" w:cs="宋体"/>
      <w:sz w:val="21"/>
    </w:rPr>
  </w:style>
  <w:style w:type="paragraph" w:customStyle="1" w:styleId="28">
    <w:name w:val="Div_MsoNormal  ParagraphIndent"/>
    <w:basedOn w:val="26"/>
    <w:qFormat/>
    <w:uiPriority w:val="0"/>
    <w:rPr>
      <w:rFonts w:ascii="宋体" w:hAnsi="宋体" w:eastAsia="宋体" w:cs="宋体"/>
      <w:sz w:val="21"/>
    </w:rPr>
  </w:style>
  <w:style w:type="paragraph" w:customStyle="1" w:styleId="29">
    <w:name w:val="_Style 6"/>
    <w:basedOn w:val="3"/>
    <w:autoRedefine/>
    <w:qFormat/>
    <w:uiPriority w:val="0"/>
    <w:pPr>
      <w:outlineLvl w:val="9"/>
    </w:pPr>
  </w:style>
  <w:style w:type="paragraph" w:customStyle="1" w:styleId="30">
    <w:name w:val="次段落1"/>
    <w:basedOn w:val="1"/>
    <w:qFormat/>
    <w:uiPriority w:val="0"/>
    <w:pPr>
      <w:tabs>
        <w:tab w:val="left" w:pos="360"/>
        <w:tab w:val="left" w:pos="840"/>
      </w:tabs>
      <w:spacing w:beforeLines="50" w:line="360" w:lineRule="auto"/>
    </w:pPr>
    <w:rPr>
      <w:rFonts w:ascii="Times New Roman" w:hAnsi="Times New Roman"/>
      <w:sz w:val="24"/>
      <w:szCs w:val="24"/>
    </w:rPr>
  </w:style>
  <w:style w:type="character" w:customStyle="1" w:styleId="31">
    <w:name w:val="批注文字 Char"/>
    <w:basedOn w:val="22"/>
    <w:link w:val="8"/>
    <w:qFormat/>
    <w:uiPriority w:val="0"/>
    <w:rPr>
      <w:rFonts w:ascii="Calibri" w:hAnsi="Calibri"/>
      <w:kern w:val="2"/>
      <w:sz w:val="21"/>
      <w:szCs w:val="22"/>
    </w:rPr>
  </w:style>
  <w:style w:type="character" w:customStyle="1" w:styleId="32">
    <w:name w:val="批注主题 Char"/>
    <w:basedOn w:val="31"/>
    <w:link w:val="19"/>
    <w:qFormat/>
    <w:uiPriority w:val="0"/>
    <w:rPr>
      <w:rFonts w:ascii="Calibri" w:hAnsi="Calibri"/>
      <w:kern w:val="2"/>
      <w:sz w:val="21"/>
      <w:szCs w:val="22"/>
    </w:rPr>
  </w:style>
  <w:style w:type="character" w:customStyle="1" w:styleId="33">
    <w:name w:val="批注框文本 Char"/>
    <w:basedOn w:val="22"/>
    <w:link w:val="14"/>
    <w:qFormat/>
    <w:uiPriority w:val="0"/>
    <w:rPr>
      <w:rFonts w:ascii="Calibri" w:hAnsi="Calibri"/>
      <w:kern w:val="2"/>
      <w:sz w:val="18"/>
      <w:szCs w:val="18"/>
    </w:rPr>
  </w:style>
  <w:style w:type="paragraph" w:styleId="34">
    <w:name w:val="List Paragraph"/>
    <w:basedOn w:val="1"/>
    <w:unhideWhenUsed/>
    <w:qFormat/>
    <w:uiPriority w:val="99"/>
    <w:pPr>
      <w:ind w:firstLine="420" w:firstLineChars="200"/>
    </w:pPr>
  </w:style>
  <w:style w:type="paragraph" w:customStyle="1" w:styleId="35">
    <w:name w:val="表格文字"/>
    <w:basedOn w:val="1"/>
    <w:qFormat/>
    <w:uiPriority w:val="99"/>
    <w:pPr>
      <w:spacing w:before="25" w:after="25"/>
      <w:jc w:val="left"/>
    </w:pPr>
    <w:rPr>
      <w:bCs/>
      <w:spacing w:val="10"/>
      <w:kern w:val="0"/>
      <w:sz w:val="24"/>
    </w:rPr>
  </w:style>
  <w:style w:type="character" w:customStyle="1" w:styleId="36">
    <w:name w:val="正文文本缩进 Char"/>
    <w:basedOn w:val="22"/>
    <w:link w:val="9"/>
    <w:qFormat/>
    <w:uiPriority w:val="0"/>
    <w:rPr>
      <w:rFonts w:hint="default" w:ascii="Calibri" w:hAnsi="Calibri" w:cs="Calibri"/>
      <w:kern w:val="2"/>
      <w:sz w:val="21"/>
      <w:szCs w:val="22"/>
    </w:rPr>
  </w:style>
  <w:style w:type="character" w:customStyle="1" w:styleId="37">
    <w:name w:val="正文首行缩进 2 Char"/>
    <w:basedOn w:val="36"/>
    <w:link w:val="20"/>
    <w:qFormat/>
    <w:uiPriority w:val="0"/>
    <w:rPr>
      <w:rFonts w:hint="default" w:ascii="Calibri" w:hAnsi="Calibri" w:cs="Calibri"/>
      <w:kern w:val="2"/>
      <w:sz w:val="21"/>
      <w:szCs w:val="22"/>
    </w:rPr>
  </w:style>
  <w:style w:type="paragraph" w:customStyle="1" w:styleId="38">
    <w:name w:val="_Style 1"/>
    <w:basedOn w:val="1"/>
    <w:qFormat/>
    <w:uiPriority w:val="99"/>
    <w:pPr>
      <w:ind w:firstLine="420" w:firstLineChars="200"/>
    </w:pPr>
    <w:rPr>
      <w:rFonts w:ascii="Times New Roman" w:hAnsi="Times New Roman"/>
      <w:szCs w:val="20"/>
    </w:rPr>
  </w:style>
  <w:style w:type="character" w:customStyle="1" w:styleId="39">
    <w:name w:val="纯文本 Char"/>
    <w:link w:val="12"/>
    <w:qFormat/>
    <w:uiPriority w:val="99"/>
    <w:rPr>
      <w:rFonts w:ascii="宋体" w:hAnsi="Courier New" w:cs="Courier New"/>
      <w:kern w:val="2"/>
      <w:sz w:val="21"/>
      <w:szCs w:val="21"/>
    </w:rPr>
  </w:style>
  <w:style w:type="character" w:customStyle="1" w:styleId="40">
    <w:name w:val="font31"/>
    <w:basedOn w:val="22"/>
    <w:qFormat/>
    <w:uiPriority w:val="0"/>
    <w:rPr>
      <w:rFonts w:hint="eastAsia" w:ascii="微软雅黑" w:hAnsi="微软雅黑" w:eastAsia="微软雅黑" w:cs="微软雅黑"/>
      <w:color w:val="FF0000"/>
      <w:sz w:val="20"/>
      <w:szCs w:val="20"/>
      <w:u w:val="none"/>
    </w:rPr>
  </w:style>
  <w:style w:type="character" w:customStyle="1" w:styleId="41">
    <w:name w:val="font21"/>
    <w:basedOn w:val="22"/>
    <w:qFormat/>
    <w:uiPriority w:val="0"/>
    <w:rPr>
      <w:rFonts w:hint="eastAsia" w:ascii="微软雅黑" w:hAnsi="微软雅黑" w:eastAsia="微软雅黑" w:cs="微软雅黑"/>
      <w:color w:val="000000"/>
      <w:sz w:val="20"/>
      <w:szCs w:val="20"/>
      <w:u w:val="none"/>
    </w:rPr>
  </w:style>
  <w:style w:type="character" w:customStyle="1" w:styleId="42">
    <w:name w:val="font71"/>
    <w:basedOn w:val="22"/>
    <w:qFormat/>
    <w:uiPriority w:val="0"/>
    <w:rPr>
      <w:rFonts w:hint="default" w:ascii="Times New Roman" w:hAnsi="Times New Roman" w:cs="Times New Roman"/>
      <w:color w:val="000000"/>
      <w:sz w:val="22"/>
      <w:szCs w:val="22"/>
      <w:u w:val="none"/>
      <w:vertAlign w:val="superscript"/>
    </w:rPr>
  </w:style>
  <w:style w:type="table" w:customStyle="1" w:styleId="43">
    <w:name w:val="Table Normal"/>
    <w:semiHidden/>
    <w:unhideWhenUsed/>
    <w:qFormat/>
    <w:uiPriority w:val="0"/>
    <w:tblPr>
      <w:tblCellMar>
        <w:top w:w="0" w:type="dxa"/>
        <w:left w:w="0" w:type="dxa"/>
        <w:bottom w:w="0" w:type="dxa"/>
        <w:right w:w="0" w:type="dxa"/>
      </w:tblCellMar>
    </w:tblPr>
  </w:style>
  <w:style w:type="paragraph" w:customStyle="1" w:styleId="44">
    <w:name w:val="Table Text"/>
    <w:basedOn w:val="1"/>
    <w:semiHidden/>
    <w:qFormat/>
    <w:uiPriority w:val="0"/>
    <w:rPr>
      <w:rFonts w:ascii="Arial" w:hAnsi="Arial" w:eastAsia="Arial" w:cs="Arial"/>
      <w:szCs w:val="21"/>
      <w:lang w:eastAsia="en-US"/>
    </w:rPr>
  </w:style>
  <w:style w:type="character" w:customStyle="1" w:styleId="45">
    <w:name w:val="font61"/>
    <w:basedOn w:val="22"/>
    <w:qFormat/>
    <w:uiPriority w:val="0"/>
    <w:rPr>
      <w:rFonts w:hint="default" w:ascii="Times New Roman" w:hAnsi="Times New Roman" w:cs="Times New Roman"/>
      <w:color w:val="000000"/>
      <w:sz w:val="22"/>
      <w:szCs w:val="22"/>
      <w:u w:val="none"/>
      <w:vertAlign w:val="superscript"/>
    </w:rPr>
  </w:style>
  <w:style w:type="paragraph" w:customStyle="1" w:styleId="46">
    <w:name w:val="toc 12"/>
    <w:next w:val="1"/>
    <w:qFormat/>
    <w:uiPriority w:val="0"/>
    <w:pPr>
      <w:wordWrap w:val="0"/>
      <w:jc w:val="both"/>
    </w:pPr>
    <w:rPr>
      <w:rFonts w:ascii="宋体" w:hAnsi="宋体"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3"/>
    <customShpInfo spid="_x0000_s3075"/>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18</Pages>
  <Words>549</Words>
  <Characters>621</Characters>
  <Lines>63</Lines>
  <Paragraphs>17</Paragraphs>
  <TotalTime>0</TotalTime>
  <ScaleCrop>false</ScaleCrop>
  <LinksUpToDate>false</LinksUpToDate>
  <CharactersWithSpaces>637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2024-10-24T08:52:00Z</dcterms:created>
  <dc:creator>麦智德</dc:creator>
  <cp:lastModifiedBy>可爱滴46</cp:lastModifiedBy>
  <dcterms:modified xsi:type="dcterms:W3CDTF">2025-07-28T00:57:40Z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147C2312EDB74E36AEC83BF7F3BDAF52_13</vt:lpwstr>
  </property>
  <property fmtid="{D5CDD505-2E9C-101B-9397-08002B2CF9AE}" pid="4" name="KSOTemplateDocerSaveRecord">
    <vt:lpwstr>eyJoZGlkIjoiNjg0YjRlNWU1MTNmNTNlNDQ0NGVhYTdmNzNlMjllYTEiLCJ1c2VySWQiOiI2MzkwMTA2NDYifQ==</vt:lpwstr>
  </property>
</Properties>
</file>