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7"/>
        <w:spacing w:line="360" w:lineRule="auto"/>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lang w:eastAsia="zh-CN"/>
        </w:rPr>
        <w:t>花生油</w:t>
      </w:r>
      <w:r>
        <w:rPr>
          <w:rFonts w:hint="eastAsia" w:asciiTheme="minorEastAsia" w:hAnsiTheme="minorEastAsia" w:eastAsiaTheme="minorEastAsia"/>
          <w:b/>
          <w:bCs/>
          <w:sz w:val="30"/>
          <w:szCs w:val="30"/>
        </w:rPr>
        <w:t>项目</w:t>
      </w:r>
    </w:p>
    <w:p w14:paraId="0DD46D2F">
      <w:pPr>
        <w:pStyle w:val="27"/>
        <w:spacing w:line="360" w:lineRule="auto"/>
        <w:jc w:val="center"/>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采购需求</w:t>
      </w:r>
    </w:p>
    <w:p w14:paraId="1779DE1B">
      <w:pPr>
        <w:pStyle w:val="27"/>
        <w:spacing w:line="360" w:lineRule="auto"/>
        <w:rPr>
          <w:rFonts w:asciiTheme="minorEastAsia" w:hAnsiTheme="minorEastAsia" w:eastAsiaTheme="minorEastAsia"/>
          <w:szCs w:val="21"/>
          <w:lang w:val="zh-CN"/>
        </w:rPr>
      </w:pPr>
    </w:p>
    <w:p w14:paraId="62C919FA">
      <w:pPr>
        <w:pStyle w:val="27"/>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50E369CE">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预算价: 119600元</w:t>
      </w:r>
    </w:p>
    <w:p w14:paraId="2320EED5">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服务期:</w:t>
      </w:r>
      <w:r>
        <w:rPr>
          <w:rFonts w:hint="eastAsia" w:cs="宋体"/>
          <w:sz w:val="21"/>
          <w:szCs w:val="21"/>
          <w:highlight w:val="none"/>
          <w:lang w:val="en-US" w:eastAsia="zh-CN"/>
        </w:rPr>
        <w:t>3个月</w:t>
      </w:r>
      <w:r>
        <w:rPr>
          <w:rFonts w:hint="eastAsia" w:ascii="宋体" w:hAnsi="宋体" w:eastAsia="宋体" w:cs="宋体"/>
          <w:sz w:val="21"/>
          <w:szCs w:val="21"/>
          <w:highlight w:val="none"/>
          <w:lang w:val="zh-CN"/>
        </w:rPr>
        <w:t xml:space="preserve">。 </w:t>
      </w:r>
    </w:p>
    <w:p w14:paraId="71B40A7B">
      <w:pPr>
        <w:pStyle w:val="2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lang w:val="zh-CN"/>
        </w:rPr>
        <w:t xml:space="preserve">二、供应商资格要求 </w:t>
      </w:r>
    </w:p>
    <w:p w14:paraId="7AF2BEE1">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highlight w:val="none"/>
          <w:lang w:val="zh-CN" w:eastAsia="zh-CN" w:bidi="ar-SA"/>
        </w:rPr>
        <w:t xml:space="preserve">1 </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zh-CN" w:eastAsia="zh-CN" w:bidi="ar-SA"/>
        </w:rPr>
        <w:t>参与供应商必须具有独立承担民事责任的能力，具有有效的《营业执照》，市场监督管理部门有特定资格要求的， 应满</w:t>
      </w:r>
      <w:r>
        <w:rPr>
          <w:rFonts w:hint="eastAsia" w:ascii="宋体" w:hAnsi="宋体" w:eastAsia="宋体" w:cs="宋体"/>
          <w:kern w:val="0"/>
          <w:sz w:val="21"/>
          <w:szCs w:val="21"/>
          <w:lang w:val="zh-CN" w:eastAsia="zh-CN" w:bidi="ar-SA"/>
        </w:rPr>
        <w:t>足特定资格要求；</w:t>
      </w:r>
    </w:p>
    <w:p w14:paraId="7EDDDD3A">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2</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zh-CN" w:eastAsia="zh-CN" w:bidi="ar-SA"/>
        </w:rPr>
        <w:t>对在“信用中国”网站(www.creditchina.gov.cn )、中国政府采购网(www.ccgp.gov.cn )等渠道列入失信被执行人、重大税收违法案件当事人名单、政府采购严重违法失信行为记录名单的供应商，将被拒绝参与本次比选活动。</w:t>
      </w:r>
    </w:p>
    <w:p w14:paraId="0756A14E">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highlight w:val="yellow"/>
          <w:lang w:val="zh-CN" w:eastAsia="zh-CN" w:bidi="ar-SA"/>
        </w:rPr>
      </w:pPr>
      <w:r>
        <w:rPr>
          <w:rFonts w:hint="eastAsia" w:ascii="宋体" w:hAnsi="宋体" w:eastAsia="宋体" w:cs="宋体"/>
          <w:kern w:val="0"/>
          <w:sz w:val="21"/>
          <w:szCs w:val="21"/>
          <w:lang w:val="zh-CN" w:eastAsia="zh-CN" w:bidi="ar-SA"/>
        </w:rPr>
        <w:t>3</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zh-CN" w:eastAsia="zh-CN" w:bidi="ar-SA"/>
        </w:rPr>
        <w:t>不接受联合体参与。</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w:t>
      </w:r>
      <w:r>
        <w:rPr>
          <w:rFonts w:hint="eastAsia" w:ascii="宋体" w:hAnsi="宋体" w:cs="宋体"/>
          <w:b/>
          <w:bCs/>
          <w:sz w:val="21"/>
          <w:szCs w:val="21"/>
          <w:lang w:eastAsia="zh-CN"/>
        </w:rPr>
        <w:t>参数要求</w:t>
      </w:r>
      <w:r>
        <w:rPr>
          <w:rFonts w:hint="eastAsia" w:ascii="宋体" w:hAnsi="宋体" w:eastAsia="宋体" w:cs="宋体"/>
          <w:b/>
          <w:bCs/>
          <w:sz w:val="21"/>
          <w:szCs w:val="21"/>
        </w:rPr>
        <w:t>：</w:t>
      </w:r>
    </w:p>
    <w:tbl>
      <w:tblPr>
        <w:tblStyle w:val="21"/>
        <w:tblpPr w:leftFromText="180" w:rightFromText="180" w:vertAnchor="text" w:horzAnchor="page" w:tblpX="1585" w:tblpY="574"/>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965"/>
        <w:gridCol w:w="917"/>
        <w:gridCol w:w="6213"/>
      </w:tblGrid>
      <w:tr w14:paraId="795B7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50" w:type="pct"/>
            <w:tcBorders>
              <w:top w:val="single" w:color="auto" w:sz="4" w:space="0"/>
              <w:left w:val="single" w:color="auto" w:sz="4" w:space="0"/>
              <w:bottom w:val="single" w:color="auto" w:sz="4" w:space="0"/>
              <w:right w:val="single" w:color="auto" w:sz="4" w:space="0"/>
            </w:tcBorders>
            <w:vAlign w:val="center"/>
          </w:tcPr>
          <w:p w14:paraId="3CD66B7B">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序号</w:t>
            </w:r>
          </w:p>
        </w:tc>
        <w:tc>
          <w:tcPr>
            <w:tcW w:w="567" w:type="pct"/>
            <w:tcBorders>
              <w:top w:val="single" w:color="auto" w:sz="4" w:space="0"/>
              <w:left w:val="single" w:color="auto" w:sz="4" w:space="0"/>
              <w:bottom w:val="single" w:color="auto" w:sz="4" w:space="0"/>
              <w:right w:val="single" w:color="auto" w:sz="4" w:space="0"/>
            </w:tcBorders>
            <w:vAlign w:val="center"/>
          </w:tcPr>
          <w:p w14:paraId="5D530B40">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标的名称</w:t>
            </w:r>
          </w:p>
        </w:tc>
        <w:tc>
          <w:tcPr>
            <w:tcW w:w="538" w:type="pct"/>
            <w:tcBorders>
              <w:top w:val="single" w:color="auto" w:sz="4" w:space="0"/>
              <w:left w:val="single" w:color="auto" w:sz="4" w:space="0"/>
              <w:bottom w:val="single" w:color="auto" w:sz="4" w:space="0"/>
              <w:right w:val="single" w:color="auto" w:sz="4" w:space="0"/>
            </w:tcBorders>
            <w:vAlign w:val="center"/>
          </w:tcPr>
          <w:p w14:paraId="4A024EEA">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数量</w:t>
            </w:r>
          </w:p>
        </w:tc>
        <w:tc>
          <w:tcPr>
            <w:tcW w:w="3643" w:type="pct"/>
            <w:tcBorders>
              <w:top w:val="single" w:color="auto" w:sz="4" w:space="0"/>
              <w:left w:val="single" w:color="auto" w:sz="4" w:space="0"/>
              <w:bottom w:val="single" w:color="auto" w:sz="4" w:space="0"/>
              <w:right w:val="single" w:color="auto" w:sz="4" w:space="0"/>
            </w:tcBorders>
            <w:vAlign w:val="center"/>
          </w:tcPr>
          <w:p w14:paraId="44C90FBC">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lang w:eastAsia="zh-CN"/>
              </w:rPr>
              <w:t>参数</w:t>
            </w:r>
            <w:r>
              <w:rPr>
                <w:rFonts w:hint="eastAsia" w:ascii="宋体" w:hAnsi="宋体" w:cs="宋体"/>
                <w:b/>
                <w:color w:val="000000" w:themeColor="text1"/>
                <w:szCs w:val="21"/>
              </w:rPr>
              <w:t>及要求</w:t>
            </w:r>
            <w:r>
              <w:rPr>
                <w:rFonts w:hint="eastAsia" w:ascii="宋体" w:hAnsi="宋体" w:cs="宋体"/>
                <w:color w:val="000000" w:themeColor="text1"/>
                <w:szCs w:val="21"/>
              </w:rPr>
              <w:t>▲</w:t>
            </w:r>
          </w:p>
        </w:tc>
      </w:tr>
      <w:tr w14:paraId="52D56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50" w:type="pct"/>
            <w:tcBorders>
              <w:top w:val="single" w:color="auto" w:sz="4" w:space="0"/>
              <w:left w:val="single" w:color="auto" w:sz="4" w:space="0"/>
              <w:bottom w:val="single" w:color="auto" w:sz="4" w:space="0"/>
              <w:right w:val="single" w:color="auto" w:sz="4" w:space="0"/>
            </w:tcBorders>
            <w:vAlign w:val="center"/>
          </w:tcPr>
          <w:p w14:paraId="14F1BC63">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1</w:t>
            </w:r>
          </w:p>
        </w:tc>
        <w:tc>
          <w:tcPr>
            <w:tcW w:w="567" w:type="pct"/>
            <w:tcBorders>
              <w:top w:val="single" w:color="auto" w:sz="4" w:space="0"/>
              <w:left w:val="single" w:color="auto" w:sz="4" w:space="0"/>
              <w:bottom w:val="single" w:color="auto" w:sz="4" w:space="0"/>
              <w:right w:val="single" w:color="auto" w:sz="4" w:space="0"/>
            </w:tcBorders>
            <w:vAlign w:val="center"/>
          </w:tcPr>
          <w:p w14:paraId="2781758C">
            <w:pPr>
              <w:spacing w:line="360" w:lineRule="auto"/>
              <w:jc w:val="center"/>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花生油</w:t>
            </w:r>
          </w:p>
        </w:tc>
        <w:tc>
          <w:tcPr>
            <w:tcW w:w="538" w:type="pct"/>
            <w:tcBorders>
              <w:top w:val="single" w:color="auto" w:sz="4" w:space="0"/>
              <w:left w:val="single" w:color="auto" w:sz="4" w:space="0"/>
              <w:bottom w:val="single" w:color="auto" w:sz="4" w:space="0"/>
              <w:right w:val="single" w:color="auto" w:sz="4" w:space="0"/>
            </w:tcBorders>
            <w:vAlign w:val="center"/>
          </w:tcPr>
          <w:p w14:paraId="61AE1929">
            <w:pPr>
              <w:spacing w:line="360" w:lineRule="auto"/>
              <w:jc w:val="both"/>
              <w:rPr>
                <w:rFonts w:ascii="宋体" w:hAnsi="宋体" w:cs="宋体"/>
                <w:color w:val="000000" w:themeColor="text1"/>
                <w:szCs w:val="21"/>
              </w:rPr>
            </w:pPr>
            <w:r>
              <w:rPr>
                <w:rFonts w:hint="eastAsia" w:ascii="宋体" w:hAnsi="宋体" w:cs="宋体"/>
                <w:color w:val="000000" w:themeColor="text1"/>
                <w:szCs w:val="21"/>
              </w:rPr>
              <w:t>1196份</w:t>
            </w:r>
          </w:p>
        </w:tc>
        <w:tc>
          <w:tcPr>
            <w:tcW w:w="3643" w:type="pct"/>
            <w:tcBorders>
              <w:top w:val="single" w:color="auto" w:sz="4" w:space="0"/>
              <w:left w:val="single" w:color="auto" w:sz="4" w:space="0"/>
              <w:bottom w:val="single" w:color="auto" w:sz="4" w:space="0"/>
              <w:right w:val="single" w:color="auto" w:sz="4" w:space="0"/>
            </w:tcBorders>
            <w:vAlign w:val="center"/>
          </w:tcPr>
          <w:p w14:paraId="727A2737">
            <w:pPr>
              <w:pStyle w:val="41"/>
              <w:keepNext w:val="0"/>
              <w:keepLines w:val="0"/>
              <w:pageBreakBefore w:val="0"/>
              <w:numPr>
                <w:ilvl w:val="0"/>
                <w:numId w:val="0"/>
              </w:numPr>
              <w:kinsoku/>
              <w:wordWrap/>
              <w:overflowPunct/>
              <w:topLinePunct w:val="0"/>
              <w:bidi w:val="0"/>
              <w:spacing w:after="156" w:line="480" w:lineRule="exact"/>
              <w:jc w:val="left"/>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w:t>
            </w:r>
            <w:r>
              <w:rPr>
                <w:rFonts w:hint="eastAsia" w:ascii="宋体" w:hAnsi="宋体" w:eastAsia="宋体" w:cs="宋体"/>
                <w:color w:val="000000" w:themeColor="text1"/>
                <w:kern w:val="2"/>
                <w:sz w:val="21"/>
                <w:szCs w:val="21"/>
                <w:lang w:val="en-US" w:eastAsia="zh-CN" w:bidi="ar-SA"/>
              </w:rPr>
              <w:t>1、规格：</w:t>
            </w:r>
            <w:r>
              <w:rPr>
                <w:rFonts w:hint="eastAsia" w:hAnsi="宋体" w:eastAsia="宋体" w:cs="宋体"/>
                <w:color w:val="000000" w:themeColor="text1"/>
                <w:kern w:val="2"/>
                <w:sz w:val="21"/>
                <w:szCs w:val="21"/>
                <w:lang w:val="en-US" w:eastAsia="zh-CN" w:bidi="ar-SA"/>
              </w:rPr>
              <w:t>5L</w:t>
            </w:r>
            <w:r>
              <w:rPr>
                <w:rFonts w:hint="eastAsia" w:ascii="宋体" w:hAnsi="宋体" w:eastAsia="宋体" w:cs="宋体"/>
                <w:color w:val="000000" w:themeColor="text1"/>
                <w:kern w:val="2"/>
                <w:sz w:val="21"/>
                <w:szCs w:val="21"/>
                <w:lang w:val="en-US" w:eastAsia="zh-CN" w:bidi="ar-SA"/>
              </w:rPr>
              <w:t>；</w:t>
            </w:r>
          </w:p>
          <w:p w14:paraId="3F0FCD8A">
            <w:pPr>
              <w:pStyle w:val="41"/>
              <w:keepNext w:val="0"/>
              <w:keepLines w:val="0"/>
              <w:pageBreakBefore w:val="0"/>
              <w:numPr>
                <w:ilvl w:val="0"/>
                <w:numId w:val="0"/>
              </w:numPr>
              <w:kinsoku/>
              <w:wordWrap/>
              <w:overflowPunct/>
              <w:topLinePunct w:val="0"/>
              <w:bidi w:val="0"/>
              <w:spacing w:after="156" w:line="480" w:lineRule="exact"/>
              <w:jc w:val="left"/>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2、参考品牌：金龙鱼或同等品牌；</w:t>
            </w:r>
          </w:p>
          <w:p w14:paraId="5894B267">
            <w:pPr>
              <w:pStyle w:val="9"/>
              <w:keepNext w:val="0"/>
              <w:keepLines w:val="0"/>
              <w:pageBreakBefore w:val="0"/>
              <w:kinsoku/>
              <w:wordWrap/>
              <w:overflowPunct/>
              <w:topLinePunct w:val="0"/>
              <w:bidi w:val="0"/>
              <w:spacing w:line="480" w:lineRule="exact"/>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w:t>
            </w:r>
            <w:r>
              <w:rPr>
                <w:rFonts w:hint="eastAsia" w:ascii="宋体" w:hAnsi="宋体" w:eastAsia="宋体" w:cs="宋体"/>
                <w:color w:val="000000" w:themeColor="text1"/>
                <w:kern w:val="2"/>
                <w:sz w:val="21"/>
                <w:szCs w:val="21"/>
                <w:lang w:val="en-US" w:eastAsia="zh-CN" w:bidi="ar-SA"/>
              </w:rPr>
              <w:t>3、</w:t>
            </w:r>
            <w:r>
              <w:rPr>
                <w:rFonts w:hint="eastAsia" w:ascii="宋体" w:hAnsi="宋体" w:cs="宋体"/>
                <w:color w:val="000000" w:themeColor="text1"/>
                <w:kern w:val="2"/>
                <w:sz w:val="21"/>
                <w:szCs w:val="21"/>
                <w:lang w:val="en-US" w:eastAsia="zh-CN" w:bidi="ar-SA"/>
              </w:rPr>
              <w:t>满足国家</w:t>
            </w:r>
            <w:r>
              <w:rPr>
                <w:rFonts w:hint="eastAsia" w:ascii="宋体" w:hAnsi="宋体" w:eastAsia="宋体" w:cs="宋体"/>
                <w:color w:val="000000" w:themeColor="text1"/>
                <w:kern w:val="2"/>
                <w:sz w:val="21"/>
                <w:szCs w:val="21"/>
                <w:lang w:val="en-US" w:eastAsia="zh-CN" w:bidi="ar-SA"/>
              </w:rPr>
              <w:t>标准：花生油</w:t>
            </w:r>
            <w:r>
              <w:rPr>
                <w:rFonts w:hint="eastAsia" w:ascii="宋体" w:hAnsi="宋体" w:cs="宋体"/>
                <w:color w:val="000000" w:themeColor="text1"/>
                <w:kern w:val="2"/>
                <w:sz w:val="21"/>
                <w:szCs w:val="21"/>
                <w:lang w:val="en-US" w:eastAsia="zh-CN" w:bidi="ar-SA"/>
              </w:rPr>
              <w:t>，</w:t>
            </w:r>
            <w:r>
              <w:rPr>
                <w:rFonts w:hint="eastAsia" w:ascii="宋体" w:hAnsi="宋体" w:eastAsia="宋体" w:cs="宋体"/>
                <w:color w:val="000000" w:themeColor="text1"/>
                <w:kern w:val="2"/>
                <w:sz w:val="21"/>
                <w:szCs w:val="21"/>
                <w:lang w:val="en-US" w:eastAsia="zh-CN" w:bidi="ar-SA"/>
              </w:rPr>
              <w:t>执行标准编号GB 1534-2003；</w:t>
            </w:r>
          </w:p>
          <w:p w14:paraId="7C947E72">
            <w:pPr>
              <w:pStyle w:val="10"/>
              <w:keepNext w:val="0"/>
              <w:keepLines w:val="0"/>
              <w:pageBreakBefore w:val="0"/>
              <w:kinsoku/>
              <w:wordWrap/>
              <w:overflowPunct/>
              <w:topLinePunct w:val="0"/>
              <w:bidi w:val="0"/>
              <w:spacing w:line="480" w:lineRule="exact"/>
              <w:ind w:left="0" w:leftChars="0" w:firstLine="0" w:firstLineChars="0"/>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w:t>
            </w:r>
            <w:r>
              <w:rPr>
                <w:rFonts w:hint="eastAsia" w:ascii="宋体" w:hAnsi="宋体" w:eastAsia="宋体" w:cs="宋体"/>
                <w:color w:val="000000" w:themeColor="text1"/>
                <w:kern w:val="2"/>
                <w:sz w:val="21"/>
                <w:szCs w:val="21"/>
                <w:lang w:val="en-US" w:eastAsia="zh-CN" w:bidi="ar-SA"/>
              </w:rPr>
              <w:t>4、主要原料：花生油；</w:t>
            </w:r>
          </w:p>
          <w:p w14:paraId="370CC55B">
            <w:pPr>
              <w:pStyle w:val="10"/>
              <w:keepNext w:val="0"/>
              <w:keepLines w:val="0"/>
              <w:pageBreakBefore w:val="0"/>
              <w:kinsoku/>
              <w:wordWrap/>
              <w:overflowPunct/>
              <w:topLinePunct w:val="0"/>
              <w:bidi w:val="0"/>
              <w:spacing w:line="48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rPr>
              <w:t>▲</w:t>
            </w:r>
            <w:r>
              <w:rPr>
                <w:rFonts w:hint="eastAsia" w:ascii="宋体" w:hAnsi="宋体" w:eastAsia="宋体" w:cs="宋体"/>
                <w:color w:val="000000" w:themeColor="text1"/>
                <w:kern w:val="2"/>
                <w:sz w:val="21"/>
                <w:szCs w:val="21"/>
                <w:lang w:val="en-US" w:eastAsia="zh-CN" w:bidi="ar-SA"/>
              </w:rPr>
              <w:t>5、质保期：</w:t>
            </w:r>
            <w:r>
              <w:rPr>
                <w:rFonts w:hint="eastAsia" w:ascii="宋体" w:hAnsi="宋体" w:eastAsia="宋体" w:cs="宋体"/>
                <w:color w:val="000000" w:themeColor="text1"/>
                <w:kern w:val="2"/>
                <w:sz w:val="21"/>
                <w:szCs w:val="21"/>
                <w:highlight w:val="none"/>
                <w:lang w:val="en-US" w:eastAsia="zh-CN" w:bidi="ar-SA"/>
              </w:rPr>
              <w:t>按国家有关产品“三包”规定执行“三包”。保质期不得少于18个月，自运抵采购人指定供货地点起剩余保质期至少在 12 个月以上。</w:t>
            </w:r>
          </w:p>
          <w:p w14:paraId="0B50B4FA">
            <w:pPr>
              <w:pStyle w:val="10"/>
              <w:keepNext w:val="0"/>
              <w:keepLines w:val="0"/>
              <w:pageBreakBefore w:val="0"/>
              <w:kinsoku/>
              <w:wordWrap/>
              <w:overflowPunct/>
              <w:topLinePunct w:val="0"/>
              <w:bidi w:val="0"/>
              <w:spacing w:line="48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rPr>
              <w:t>▲</w:t>
            </w:r>
            <w:r>
              <w:rPr>
                <w:rFonts w:hint="eastAsia" w:ascii="宋体" w:hAnsi="宋体" w:eastAsia="宋体" w:cs="宋体"/>
                <w:color w:val="000000" w:themeColor="text1"/>
                <w:kern w:val="2"/>
                <w:sz w:val="21"/>
                <w:szCs w:val="21"/>
                <w:highlight w:val="none"/>
                <w:lang w:val="en-US" w:eastAsia="zh-CN" w:bidi="ar-SA"/>
              </w:rPr>
              <w:t>6、配送要求：</w:t>
            </w:r>
          </w:p>
          <w:p w14:paraId="1B1B64E0">
            <w:pPr>
              <w:pStyle w:val="10"/>
              <w:keepNext w:val="0"/>
              <w:keepLines w:val="0"/>
              <w:pageBreakBefore w:val="0"/>
              <w:kinsoku/>
              <w:wordWrap/>
              <w:overflowPunct/>
              <w:topLinePunct w:val="0"/>
              <w:bidi w:val="0"/>
              <w:spacing w:line="480" w:lineRule="exact"/>
              <w:ind w:left="0" w:leftChars="0" w:firstLine="0" w:firstLineChars="0"/>
              <w:textAlignment w:val="auto"/>
            </w:pPr>
            <w:r>
              <w:rPr>
                <w:rFonts w:hint="eastAsia" w:ascii="宋体" w:hAnsi="宋体" w:eastAsia="宋体" w:cs="宋体"/>
                <w:color w:val="000000" w:themeColor="text1"/>
                <w:kern w:val="2"/>
                <w:sz w:val="21"/>
                <w:szCs w:val="21"/>
                <w:highlight w:val="none"/>
                <w:lang w:val="en-US" w:eastAsia="zh-CN" w:bidi="ar-SA"/>
              </w:rPr>
              <w:t>采购人下单后3日内送达指定地点，数量为暂定，具体以采购人通知为准。分3次送货，第一批800份，第二批200份，第三批196份，第一批发放时，需要供应商协助采购人发放5天，协助人员至少2人。最后阶段，供应商需对部分失独、空巢、年老体弱的离退休职工提供送货上门服务。</w:t>
            </w:r>
          </w:p>
        </w:tc>
      </w:tr>
      <w:tr w14:paraId="3665D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14:paraId="76EADEEC">
            <w:pPr>
              <w:spacing w:line="360" w:lineRule="auto"/>
              <w:rPr>
                <w:rFonts w:ascii="宋体" w:hAnsi="宋体" w:cs="宋体"/>
                <w:color w:val="000000" w:themeColor="text1"/>
                <w:szCs w:val="21"/>
              </w:rPr>
            </w:pPr>
            <w:r>
              <w:rPr>
                <w:rFonts w:hint="eastAsia" w:ascii="宋体" w:hAnsi="宋体" w:cs="宋体"/>
                <w:color w:val="000000" w:themeColor="text1"/>
                <w:szCs w:val="21"/>
              </w:rPr>
              <w:t>▲二、</w:t>
            </w:r>
            <w:r>
              <w:rPr>
                <w:rFonts w:hint="eastAsia" w:ascii="宋体" w:hAnsi="宋体" w:cs="宋体"/>
                <w:b/>
                <w:color w:val="000000" w:themeColor="text1"/>
                <w:szCs w:val="21"/>
              </w:rPr>
              <w:t>商务条款</w:t>
            </w:r>
          </w:p>
        </w:tc>
      </w:tr>
      <w:tr w14:paraId="61091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pct"/>
            <w:gridSpan w:val="2"/>
            <w:tcBorders>
              <w:top w:val="single" w:color="auto" w:sz="4" w:space="0"/>
              <w:left w:val="single" w:color="auto" w:sz="4" w:space="0"/>
              <w:bottom w:val="single" w:color="auto" w:sz="4" w:space="0"/>
              <w:right w:val="single" w:color="auto" w:sz="4" w:space="0"/>
            </w:tcBorders>
            <w:vAlign w:val="center"/>
          </w:tcPr>
          <w:p w14:paraId="31675472">
            <w:pPr>
              <w:spacing w:line="360" w:lineRule="auto"/>
              <w:jc w:val="center"/>
              <w:rPr>
                <w:rFonts w:ascii="宋体" w:hAnsi="宋体" w:cs="宋体"/>
                <w:color w:val="000000" w:themeColor="text1"/>
                <w:szCs w:val="21"/>
              </w:rPr>
            </w:pPr>
            <w:r>
              <w:rPr>
                <w:rFonts w:hint="eastAsia" w:ascii="宋体" w:hAnsi="宋体" w:cs="宋体"/>
                <w:color w:val="000000" w:themeColor="text1"/>
              </w:rPr>
              <w:t>服务的时间</w:t>
            </w:r>
            <w:r>
              <w:rPr>
                <w:rFonts w:hint="eastAsia" w:ascii="宋体" w:hAnsi="宋体" w:cs="宋体"/>
                <w:color w:val="000000" w:themeColor="text1"/>
                <w:szCs w:val="21"/>
              </w:rPr>
              <w:t>或</w:t>
            </w:r>
            <w:r>
              <w:rPr>
                <w:rFonts w:hint="eastAsia" w:ascii="宋体" w:hAnsi="宋体" w:cs="宋体"/>
                <w:color w:val="000000" w:themeColor="text1"/>
              </w:rPr>
              <w:t>服务期限</w:t>
            </w:r>
          </w:p>
        </w:tc>
        <w:tc>
          <w:tcPr>
            <w:tcW w:w="4182" w:type="pct"/>
            <w:gridSpan w:val="2"/>
            <w:tcBorders>
              <w:top w:val="single" w:color="auto" w:sz="4" w:space="0"/>
              <w:left w:val="single" w:color="auto" w:sz="4" w:space="0"/>
              <w:bottom w:val="single" w:color="auto" w:sz="4" w:space="0"/>
              <w:right w:val="single" w:color="auto" w:sz="4" w:space="0"/>
            </w:tcBorders>
            <w:vAlign w:val="center"/>
          </w:tcPr>
          <w:p w14:paraId="6EC6E373">
            <w:pPr>
              <w:spacing w:line="360" w:lineRule="auto"/>
              <w:jc w:val="left"/>
              <w:rPr>
                <w:rFonts w:ascii="宋体" w:hAnsi="宋体" w:cs="宋体"/>
                <w:color w:val="000000" w:themeColor="text1"/>
                <w:highlight w:val="none"/>
              </w:rPr>
            </w:pPr>
            <w:r>
              <w:rPr>
                <w:rFonts w:hint="eastAsia" w:ascii="宋体" w:hAnsi="宋体" w:cs="宋体"/>
                <w:color w:val="000000" w:themeColor="text1"/>
                <w:szCs w:val="21"/>
                <w:highlight w:val="none"/>
                <w:u w:val="single"/>
              </w:rPr>
              <w:t>合同签订之日起</w:t>
            </w:r>
            <w:r>
              <w:rPr>
                <w:rFonts w:hint="eastAsia" w:ascii="宋体" w:hAnsi="宋体" w:cs="宋体"/>
                <w:color w:val="000000" w:themeColor="text1"/>
                <w:szCs w:val="21"/>
                <w:highlight w:val="none"/>
                <w:u w:val="single"/>
                <w:lang w:val="en-US" w:eastAsia="zh-CN"/>
              </w:rPr>
              <w:t>3个月</w:t>
            </w:r>
            <w:r>
              <w:rPr>
                <w:rFonts w:hint="eastAsia" w:ascii="宋体" w:hAnsi="宋体" w:cs="宋体"/>
                <w:color w:val="000000" w:themeColor="text1"/>
                <w:szCs w:val="21"/>
                <w:highlight w:val="none"/>
                <w:u w:val="single"/>
              </w:rPr>
              <w:t>。</w:t>
            </w:r>
          </w:p>
        </w:tc>
      </w:tr>
      <w:tr w14:paraId="08536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pct"/>
            <w:gridSpan w:val="2"/>
            <w:tcBorders>
              <w:top w:val="single" w:color="auto" w:sz="4" w:space="0"/>
              <w:left w:val="single" w:color="auto" w:sz="4" w:space="0"/>
              <w:bottom w:val="single" w:color="auto" w:sz="4" w:space="0"/>
              <w:right w:val="single" w:color="auto" w:sz="4" w:space="0"/>
            </w:tcBorders>
            <w:vAlign w:val="center"/>
          </w:tcPr>
          <w:p w14:paraId="6D500DC9">
            <w:pPr>
              <w:spacing w:line="360" w:lineRule="auto"/>
              <w:jc w:val="center"/>
              <w:rPr>
                <w:rFonts w:ascii="宋体" w:hAnsi="宋体" w:cs="宋体"/>
                <w:color w:val="000000" w:themeColor="text1"/>
              </w:rPr>
            </w:pPr>
            <w:r>
              <w:rPr>
                <w:rFonts w:hint="eastAsia" w:ascii="宋体" w:hAnsi="宋体" w:cs="宋体"/>
                <w:color w:val="000000" w:themeColor="text1"/>
                <w:szCs w:val="21"/>
              </w:rPr>
              <w:t>服务地点或交付地点</w:t>
            </w:r>
          </w:p>
        </w:tc>
        <w:tc>
          <w:tcPr>
            <w:tcW w:w="4182" w:type="pct"/>
            <w:gridSpan w:val="2"/>
            <w:tcBorders>
              <w:top w:val="single" w:color="auto" w:sz="4" w:space="0"/>
              <w:left w:val="single" w:color="auto" w:sz="4" w:space="0"/>
              <w:bottom w:val="single" w:color="auto" w:sz="4" w:space="0"/>
              <w:right w:val="single" w:color="auto" w:sz="4" w:space="0"/>
            </w:tcBorders>
            <w:vAlign w:val="center"/>
          </w:tcPr>
          <w:p w14:paraId="7C55CCA3">
            <w:pPr>
              <w:spacing w:line="360" w:lineRule="auto"/>
              <w:jc w:val="left"/>
              <w:rPr>
                <w:rFonts w:ascii="宋体" w:hAnsi="宋体" w:cs="宋体"/>
                <w:color w:val="000000" w:themeColor="text1"/>
              </w:rPr>
            </w:pPr>
            <w:r>
              <w:rPr>
                <w:rFonts w:hint="eastAsia" w:ascii="宋体" w:hAnsi="宋体" w:cs="宋体"/>
                <w:color w:val="000000" w:themeColor="text1"/>
                <w:szCs w:val="21"/>
                <w:u w:val="single"/>
              </w:rPr>
              <w:t>南宁市双拥路6号广西医科大学第一附属医院内</w:t>
            </w:r>
          </w:p>
        </w:tc>
      </w:tr>
      <w:tr w14:paraId="3130D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pct"/>
            <w:gridSpan w:val="2"/>
            <w:tcBorders>
              <w:top w:val="single" w:color="auto" w:sz="4" w:space="0"/>
              <w:left w:val="single" w:color="auto" w:sz="4" w:space="0"/>
              <w:bottom w:val="single" w:color="auto" w:sz="4" w:space="0"/>
              <w:right w:val="single" w:color="auto" w:sz="4" w:space="0"/>
            </w:tcBorders>
            <w:vAlign w:val="center"/>
          </w:tcPr>
          <w:p w14:paraId="490FF8B0">
            <w:pPr>
              <w:spacing w:line="360" w:lineRule="auto"/>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付款方式、时间、条件</w:t>
            </w:r>
          </w:p>
        </w:tc>
        <w:tc>
          <w:tcPr>
            <w:tcW w:w="4182" w:type="pct"/>
            <w:gridSpan w:val="2"/>
            <w:tcBorders>
              <w:top w:val="single" w:color="auto" w:sz="4" w:space="0"/>
              <w:left w:val="single" w:color="auto" w:sz="4" w:space="0"/>
              <w:bottom w:val="single" w:color="auto" w:sz="4" w:space="0"/>
              <w:right w:val="single" w:color="auto" w:sz="4" w:space="0"/>
            </w:tcBorders>
            <w:vAlign w:val="center"/>
          </w:tcPr>
          <w:p w14:paraId="38322CCB">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eastAsia="zh-CN"/>
              </w:rPr>
              <w:t>本项目一次性付款，全部货物验收合格后</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按照供货数量结算，</w:t>
            </w:r>
            <w:r>
              <w:rPr>
                <w:rFonts w:hint="eastAsia" w:ascii="宋体" w:hAnsi="宋体" w:cs="宋体"/>
                <w:color w:val="000000" w:themeColor="text1"/>
                <w:szCs w:val="21"/>
                <w:highlight w:val="none"/>
              </w:rPr>
              <w:t>供应商将发票等相关付款资料交与采购人，采购人完成付款审批手续后15个工作日内付款。</w:t>
            </w:r>
          </w:p>
          <w:p w14:paraId="5006A8D8">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2.结算金额=</w:t>
            </w:r>
            <w:r>
              <w:rPr>
                <w:rFonts w:hint="eastAsia" w:ascii="宋体" w:hAnsi="宋体" w:cs="宋体"/>
                <w:color w:val="000000" w:themeColor="text1"/>
                <w:szCs w:val="21"/>
                <w:highlight w:val="none"/>
                <w:lang w:eastAsia="zh-CN"/>
              </w:rPr>
              <w:t>配送数量</w:t>
            </w:r>
            <w:r>
              <w:rPr>
                <w:rFonts w:hint="eastAsia" w:ascii="宋体" w:hAnsi="宋体" w:cs="宋体"/>
                <w:color w:val="000000" w:themeColor="text1"/>
                <w:szCs w:val="21"/>
                <w:highlight w:val="none"/>
              </w:rPr>
              <w:t>（验收单数量为准）×单价；</w:t>
            </w:r>
          </w:p>
          <w:p w14:paraId="1DF0378F">
            <w:pPr>
              <w:widowControl/>
              <w:spacing w:line="360" w:lineRule="auto"/>
              <w:jc w:val="left"/>
              <w:rPr>
                <w:rFonts w:ascii="宋体" w:hAnsi="宋体" w:cs="宋体"/>
                <w:color w:val="000000" w:themeColor="text1"/>
                <w:highlight w:val="none"/>
              </w:rPr>
            </w:pPr>
            <w:r>
              <w:rPr>
                <w:rFonts w:hint="eastAsia" w:ascii="宋体" w:hAnsi="宋体" w:cs="宋体"/>
                <w:color w:val="000000" w:themeColor="text1"/>
                <w:szCs w:val="21"/>
                <w:highlight w:val="none"/>
              </w:rPr>
              <w:t>本合同使用货币币制如未作特别说明均为人民币。</w:t>
            </w:r>
          </w:p>
        </w:tc>
      </w:tr>
      <w:tr w14:paraId="3673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pct"/>
            <w:gridSpan w:val="2"/>
            <w:tcBorders>
              <w:top w:val="single" w:color="auto" w:sz="4" w:space="0"/>
              <w:left w:val="single" w:color="auto" w:sz="4" w:space="0"/>
              <w:bottom w:val="single" w:color="auto" w:sz="4" w:space="0"/>
              <w:right w:val="single" w:color="auto" w:sz="4" w:space="0"/>
            </w:tcBorders>
            <w:vAlign w:val="center"/>
          </w:tcPr>
          <w:p w14:paraId="70D598D1">
            <w:pPr>
              <w:spacing w:line="360"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三</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lang w:eastAsia="zh-CN"/>
              </w:rPr>
              <w:t>样品</w:t>
            </w:r>
          </w:p>
        </w:tc>
        <w:tc>
          <w:tcPr>
            <w:tcW w:w="4182" w:type="pct"/>
            <w:gridSpan w:val="2"/>
            <w:tcBorders>
              <w:top w:val="single" w:color="auto" w:sz="4" w:space="0"/>
              <w:left w:val="single" w:color="auto" w:sz="4" w:space="0"/>
              <w:bottom w:val="single" w:color="auto" w:sz="4" w:space="0"/>
              <w:right w:val="single" w:color="auto" w:sz="4" w:space="0"/>
            </w:tcBorders>
            <w:vAlign w:val="center"/>
          </w:tcPr>
          <w:p w14:paraId="7F46A23A">
            <w:pPr>
              <w:widowControl/>
              <w:spacing w:line="360" w:lineRule="auto"/>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供应商可根据自身情况，提供花生油样品（</w:t>
            </w:r>
            <w:r>
              <w:rPr>
                <w:rFonts w:hint="eastAsia" w:ascii="宋体" w:hAnsi="宋体" w:cs="宋体"/>
                <w:color w:val="000000" w:themeColor="text1"/>
                <w:kern w:val="2"/>
                <w:sz w:val="21"/>
                <w:szCs w:val="21"/>
                <w:highlight w:val="none"/>
                <w:lang w:val="en-US" w:eastAsia="zh-CN" w:bidi="ar-SA"/>
              </w:rPr>
              <w:t>5L</w:t>
            </w:r>
            <w:r>
              <w:rPr>
                <w:rFonts w:hint="eastAsia" w:ascii="宋体" w:hAnsi="宋体" w:cs="宋体"/>
                <w:color w:val="000000" w:themeColor="text1"/>
                <w:szCs w:val="21"/>
                <w:highlight w:val="none"/>
                <w:lang w:eastAsia="zh-CN"/>
              </w:rPr>
              <w:t>），作为样品分打分依据。不提供样品的，样品分为</w:t>
            </w:r>
            <w:r>
              <w:rPr>
                <w:rFonts w:hint="eastAsia" w:ascii="宋体" w:hAnsi="宋体" w:cs="宋体"/>
                <w:color w:val="000000" w:themeColor="text1"/>
                <w:szCs w:val="21"/>
                <w:highlight w:val="none"/>
                <w:lang w:val="en-US" w:eastAsia="zh-CN"/>
              </w:rPr>
              <w:t>0分。提供的样品不予清退。</w:t>
            </w:r>
          </w:p>
        </w:tc>
      </w:tr>
    </w:tbl>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cs="宋体"/>
          <w:b/>
          <w:bCs/>
          <w:sz w:val="21"/>
          <w:szCs w:val="21"/>
          <w:highlight w:val="none"/>
          <w:lang w:eastAsia="zh-CN"/>
        </w:rPr>
        <w:t>四</w:t>
      </w:r>
      <w:r>
        <w:rPr>
          <w:rFonts w:hint="eastAsia" w:ascii="宋体" w:hAnsi="宋体" w:eastAsia="宋体" w:cs="宋体"/>
          <w:b/>
          <w:bCs/>
          <w:sz w:val="21"/>
          <w:szCs w:val="21"/>
          <w:highlight w:val="none"/>
        </w:rPr>
        <w:t>、采购人联系方式</w:t>
      </w:r>
    </w:p>
    <w:p w14:paraId="7E6ACBEA">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称：广西医科大学第一附属医院</w:t>
      </w:r>
    </w:p>
    <w:p w14:paraId="4410805E">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址：广西南宁市双拥路6号</w:t>
      </w:r>
    </w:p>
    <w:p w14:paraId="7A9604B1">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531913EB">
      <w:pPr>
        <w:pStyle w:val="20"/>
        <w:spacing w:line="360" w:lineRule="auto"/>
        <w:ind w:firstLine="562"/>
        <w:rPr>
          <w:rFonts w:ascii="仿宋" w:hAnsi="仿宋" w:eastAsia="仿宋" w:cs="仿宋"/>
          <w:b/>
          <w:szCs w:val="28"/>
        </w:rPr>
      </w:pPr>
    </w:p>
    <w:p w14:paraId="163E4C97">
      <w:pPr>
        <w:pStyle w:val="20"/>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1.营业执照复印件</w:t>
      </w:r>
      <w:r>
        <w:rPr>
          <w:rFonts w:hint="eastAsia" w:ascii="仿宋" w:hAnsi="仿宋" w:eastAsia="仿宋" w:cs="仿宋"/>
          <w:bCs/>
          <w:szCs w:val="28"/>
          <w:lang w:eastAsia="zh-CN"/>
        </w:rPr>
        <w:t>；</w:t>
      </w:r>
    </w:p>
    <w:p w14:paraId="4DA04003">
      <w:pPr>
        <w:pStyle w:val="20"/>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2.法定代表人身份证明或法人授权委托书及被授权人身份证明和联系方式</w:t>
      </w:r>
      <w:r>
        <w:rPr>
          <w:rFonts w:hint="eastAsia" w:ascii="仿宋" w:hAnsi="仿宋" w:eastAsia="仿宋" w:cs="仿宋"/>
          <w:bCs/>
          <w:szCs w:val="28"/>
          <w:lang w:eastAsia="zh-CN"/>
        </w:rPr>
        <w:t>；</w:t>
      </w:r>
    </w:p>
    <w:p w14:paraId="24067B01">
      <w:pPr>
        <w:pStyle w:val="20"/>
        <w:spacing w:line="360" w:lineRule="auto"/>
        <w:ind w:firstLine="560"/>
        <w:jc w:val="left"/>
        <w:rPr>
          <w:rFonts w:ascii="仿宋" w:hAnsi="仿宋" w:eastAsia="仿宋" w:cs="仿宋"/>
          <w:bCs/>
          <w:szCs w:val="28"/>
        </w:rPr>
      </w:pPr>
      <w:r>
        <w:rPr>
          <w:rFonts w:hint="eastAsia" w:ascii="仿宋" w:hAnsi="仿宋" w:eastAsia="仿宋" w:cs="仿宋"/>
          <w:bCs/>
          <w:szCs w:val="28"/>
        </w:rPr>
        <w:t>3. 报价表【报价不得高于预算价，仅一次报价】；</w:t>
      </w:r>
    </w:p>
    <w:p w14:paraId="4BBAFB28">
      <w:pPr>
        <w:pStyle w:val="20"/>
        <w:spacing w:line="360" w:lineRule="auto"/>
        <w:ind w:firstLine="560"/>
        <w:jc w:val="left"/>
        <w:rPr>
          <w:rFonts w:ascii="仿宋" w:hAnsi="仿宋" w:eastAsia="仿宋" w:cs="仿宋"/>
          <w:bCs/>
          <w:szCs w:val="28"/>
        </w:rPr>
      </w:pPr>
      <w:r>
        <w:rPr>
          <w:rFonts w:hint="eastAsia" w:ascii="仿宋" w:hAnsi="仿宋" w:eastAsia="仿宋" w:cs="仿宋"/>
          <w:bCs/>
          <w:szCs w:val="28"/>
        </w:rPr>
        <w:t>4. 声明函、公司直接控股股东信息表、公司直接管理关系信息表</w:t>
      </w:r>
    </w:p>
    <w:p w14:paraId="0833A023">
      <w:pPr>
        <w:pStyle w:val="20"/>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highlight w:val="none"/>
          <w:lang w:val="en-US" w:eastAsia="zh-CN"/>
        </w:rPr>
        <w:t>5.参数要求完全响应；</w:t>
      </w:r>
    </w:p>
    <w:p w14:paraId="33E0E865">
      <w:pPr>
        <w:pStyle w:val="20"/>
        <w:spacing w:line="360" w:lineRule="auto"/>
        <w:ind w:firstLine="560"/>
        <w:jc w:val="left"/>
        <w:rPr>
          <w:rFonts w:ascii="仿宋" w:hAnsi="仿宋" w:eastAsia="仿宋" w:cs="仿宋"/>
          <w:bCs/>
          <w:szCs w:val="28"/>
        </w:rPr>
      </w:pPr>
      <w:r>
        <w:rPr>
          <w:rFonts w:hint="eastAsia" w:ascii="仿宋" w:hAnsi="仿宋" w:eastAsia="仿宋" w:cs="仿宋"/>
          <w:bCs/>
          <w:szCs w:val="28"/>
          <w:lang w:val="en-US" w:eastAsia="zh-CN"/>
        </w:rPr>
        <w:t>6</w:t>
      </w:r>
      <w:r>
        <w:rPr>
          <w:rFonts w:hint="eastAsia" w:ascii="仿宋" w:hAnsi="仿宋" w:eastAsia="仿宋" w:cs="仿宋"/>
          <w:bCs/>
          <w:szCs w:val="28"/>
        </w:rPr>
        <w:t>.供应商自行根据评标方案提供评审资料。</w:t>
      </w:r>
    </w:p>
    <w:p w14:paraId="74A04356">
      <w:pPr>
        <w:pStyle w:val="20"/>
        <w:spacing w:line="360" w:lineRule="auto"/>
        <w:ind w:firstLine="560"/>
        <w:jc w:val="left"/>
        <w:rPr>
          <w:rFonts w:hint="eastAsia" w:ascii="仿宋" w:hAnsi="仿宋" w:eastAsia="仿宋" w:cs="仿宋"/>
          <w:bCs/>
          <w:szCs w:val="28"/>
        </w:rPr>
      </w:pPr>
    </w:p>
    <w:p w14:paraId="46470419">
      <w:pPr>
        <w:pStyle w:val="20"/>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F06FC05">
      <w:pPr>
        <w:ind w:firstLine="560" w:firstLineChars="200"/>
        <w:rPr>
          <w:rFonts w:ascii="仿宋" w:hAnsi="仿宋" w:eastAsia="仿宋" w:cs="仿宋"/>
          <w:bCs/>
          <w:sz w:val="28"/>
          <w:szCs w:val="28"/>
        </w:rPr>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备注：资料要求密封并加盖单位公章，所提交资</w:t>
      </w:r>
      <w:r>
        <w:rPr>
          <w:rFonts w:hint="eastAsia" w:ascii="仿宋" w:hAnsi="仿宋" w:eastAsia="仿宋" w:cs="仿宋"/>
          <w:bCs/>
          <w:sz w:val="28"/>
          <w:szCs w:val="28"/>
          <w:highlight w:val="none"/>
        </w:rPr>
        <w:t>料恕不退回，请按要求准备文件，如未按要求提供资料，视为不能响应需求。提交时间为2025年9月</w:t>
      </w:r>
      <w:r>
        <w:rPr>
          <w:rFonts w:hint="eastAsia" w:ascii="仿宋" w:hAnsi="仿宋" w:eastAsia="仿宋" w:cs="仿宋"/>
          <w:bCs/>
          <w:sz w:val="28"/>
          <w:szCs w:val="28"/>
          <w:highlight w:val="none"/>
          <w:lang w:val="en-US" w:eastAsia="zh-CN"/>
        </w:rPr>
        <w:t>30</w:t>
      </w:r>
      <w:bookmarkStart w:id="0" w:name="_GoBack"/>
      <w:bookmarkEnd w:id="0"/>
      <w:r>
        <w:rPr>
          <w:rFonts w:hint="eastAsia" w:ascii="仿宋" w:hAnsi="仿宋" w:eastAsia="仿宋" w:cs="仿宋"/>
          <w:bCs/>
          <w:sz w:val="28"/>
          <w:szCs w:val="28"/>
          <w:highlight w:val="none"/>
        </w:rPr>
        <w:t>日上午8:00—9:00，逾期不予受理（可提前提交）。递</w:t>
      </w:r>
      <w:r>
        <w:rPr>
          <w:rFonts w:hint="eastAsia" w:ascii="仿宋" w:hAnsi="仿宋" w:eastAsia="仿宋" w:cs="仿宋"/>
          <w:bCs/>
          <w:sz w:val="28"/>
          <w:szCs w:val="28"/>
        </w:rPr>
        <w:t>交或邮寄地址：广西南宁市青秀区中山街道广西医科大学附属小学对面培训中心办公区，黄工</w:t>
      </w:r>
      <w:r>
        <w:rPr>
          <w:rFonts w:ascii="仿宋" w:hAnsi="仿宋" w:eastAsia="仿宋" w:cs="仿宋"/>
          <w:bCs/>
          <w:sz w:val="28"/>
          <w:szCs w:val="28"/>
        </w:rPr>
        <w:t>0771</w:t>
      </w:r>
      <w:r>
        <w:rPr>
          <w:rFonts w:hint="eastAsia" w:ascii="仿宋" w:hAnsi="仿宋" w:eastAsia="仿宋" w:cs="仿宋"/>
          <w:bCs/>
          <w:sz w:val="28"/>
          <w:szCs w:val="28"/>
          <w:lang w:val="en-US" w:eastAsia="zh-CN"/>
        </w:rPr>
        <w:t>-</w:t>
      </w:r>
      <w:r>
        <w:rPr>
          <w:rFonts w:ascii="仿宋" w:hAnsi="仿宋" w:eastAsia="仿宋" w:cs="仿宋"/>
          <w:bCs/>
          <w:sz w:val="28"/>
          <w:szCs w:val="28"/>
        </w:rPr>
        <w:t>5356589</w:t>
      </w:r>
      <w:r>
        <w:rPr>
          <w:rFonts w:hint="eastAsia" w:ascii="仿宋" w:hAnsi="仿宋" w:eastAsia="仿宋" w:cs="仿宋"/>
          <w:bCs/>
          <w:sz w:val="28"/>
          <w:szCs w:val="28"/>
        </w:rPr>
        <w:t>。</w:t>
      </w:r>
    </w:p>
    <w:p w14:paraId="45B31CE6">
      <w:pPr>
        <w:tabs>
          <w:tab w:val="left" w:pos="3479"/>
        </w:tabs>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44"/>
          <w:szCs w:val="44"/>
        </w:rPr>
        <w:t xml:space="preserve"> 报  价  表</w:t>
      </w:r>
    </w:p>
    <w:p w14:paraId="44FA08ED">
      <w:pPr>
        <w:snapToGrid w:val="0"/>
        <w:spacing w:before="50" w:after="50" w:line="360" w:lineRule="auto"/>
        <w:rPr>
          <w:rFonts w:ascii="宋体" w:hAnsi="宋体" w:cs="仿宋_GB2312"/>
          <w:color w:val="000000"/>
          <w:sz w:val="24"/>
        </w:rPr>
      </w:pPr>
      <w:r>
        <w:rPr>
          <w:rFonts w:hint="eastAsia" w:ascii="宋体" w:hAnsi="宋体" w:cs="仿宋_GB2312"/>
          <w:color w:val="000000"/>
          <w:sz w:val="24"/>
        </w:rPr>
        <w:t xml:space="preserve">                    </w:t>
      </w:r>
    </w:p>
    <w:p w14:paraId="15CB1DDC">
      <w:pPr>
        <w:snapToGrid w:val="0"/>
        <w:spacing w:before="50" w:after="50" w:line="360" w:lineRule="auto"/>
        <w:ind w:firstLine="5520" w:firstLineChars="2300"/>
        <w:jc w:val="right"/>
        <w:rPr>
          <w:rFonts w:ascii="宋体" w:hAnsi="宋体" w:cs="仿宋_GB2312"/>
          <w:color w:val="000000"/>
          <w:sz w:val="24"/>
        </w:rPr>
      </w:pPr>
      <w:r>
        <w:rPr>
          <w:rFonts w:hint="eastAsia" w:ascii="宋体" w:hAnsi="宋体" w:cs="仿宋_GB2312"/>
          <w:color w:val="000000"/>
          <w:sz w:val="24"/>
        </w:rPr>
        <w:t>单位：元</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83"/>
        <w:gridCol w:w="1327"/>
        <w:gridCol w:w="2202"/>
        <w:gridCol w:w="3294"/>
      </w:tblGrid>
      <w:tr w14:paraId="0B15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B4766D1">
            <w:pPr>
              <w:spacing w:line="220" w:lineRule="atLeast"/>
              <w:jc w:val="left"/>
              <w:rPr>
                <w:rFonts w:hint="eastAsia" w:ascii="宋体" w:hAnsi="宋体" w:eastAsia="宋体" w:cs="仿宋"/>
                <w:color w:val="000000"/>
                <w:sz w:val="24"/>
                <w:szCs w:val="24"/>
                <w:lang w:eastAsia="zh-CN"/>
              </w:rPr>
            </w:pPr>
            <w:r>
              <w:rPr>
                <w:rFonts w:hint="eastAsia" w:ascii="宋体" w:hAnsi="宋体" w:cs="仿宋"/>
                <w:color w:val="000000"/>
                <w:sz w:val="24"/>
                <w:szCs w:val="24"/>
                <w:lang w:eastAsia="zh-CN"/>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316086">
            <w:pPr>
              <w:spacing w:line="220" w:lineRule="atLeast"/>
              <w:jc w:val="left"/>
              <w:rPr>
                <w:rFonts w:hint="eastAsia" w:ascii="宋体" w:hAnsi="宋体" w:eastAsia="宋体" w:cs="仿宋"/>
                <w:color w:val="000000"/>
                <w:sz w:val="24"/>
                <w:szCs w:val="24"/>
                <w:lang w:eastAsia="zh-CN"/>
              </w:rPr>
            </w:pPr>
            <w:r>
              <w:rPr>
                <w:rFonts w:hint="eastAsia" w:ascii="宋体" w:hAnsi="宋体" w:cs="仿宋"/>
                <w:color w:val="000000"/>
                <w:sz w:val="24"/>
                <w:szCs w:val="24"/>
                <w:lang w:eastAsia="zh-CN"/>
              </w:rPr>
              <w:t>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2F004B">
            <w:pPr>
              <w:pStyle w:val="13"/>
              <w:jc w:val="left"/>
              <w:rPr>
                <w:rFonts w:hint="eastAsia" w:eastAsia="宋体"/>
                <w:color w:val="000000"/>
                <w:sz w:val="24"/>
                <w:szCs w:val="24"/>
                <w:lang w:val="en-US" w:eastAsia="zh-CN"/>
              </w:rPr>
            </w:pPr>
            <w:r>
              <w:rPr>
                <w:rFonts w:hint="eastAsia"/>
                <w:color w:val="000000"/>
                <w:sz w:val="24"/>
                <w:szCs w:val="24"/>
                <w:lang w:val="en-US" w:eastAsia="zh-CN"/>
              </w:rPr>
              <w:t>数量（份）</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1BDE1A1">
            <w:pPr>
              <w:spacing w:line="220" w:lineRule="atLeast"/>
              <w:jc w:val="left"/>
              <w:rPr>
                <w:rFonts w:hint="eastAsia"/>
                <w:color w:val="000000"/>
                <w:sz w:val="24"/>
                <w:szCs w:val="24"/>
                <w:lang w:val="en-US" w:eastAsia="zh-CN"/>
              </w:rPr>
            </w:pPr>
            <w:r>
              <w:rPr>
                <w:rFonts w:hint="eastAsia" w:ascii="宋体" w:hAnsi="宋体" w:cs="仿宋"/>
                <w:color w:val="000000"/>
                <w:sz w:val="24"/>
                <w:szCs w:val="24"/>
              </w:rPr>
              <w:t>单价（元/</w:t>
            </w:r>
            <w:r>
              <w:rPr>
                <w:rFonts w:hint="eastAsia" w:ascii="宋体" w:hAnsi="宋体" w:cs="仿宋"/>
                <w:color w:val="000000"/>
                <w:sz w:val="24"/>
                <w:szCs w:val="24"/>
                <w:lang w:val="en-US" w:eastAsia="zh-CN"/>
              </w:rPr>
              <w:t>5L</w:t>
            </w:r>
            <w:r>
              <w:rPr>
                <w:rFonts w:hint="eastAsia" w:ascii="宋体" w:hAnsi="宋体" w:cs="仿宋"/>
                <w:color w:val="000000"/>
                <w:sz w:val="24"/>
                <w:szCs w:val="24"/>
              </w:rPr>
              <w:t>）</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6BDA517">
            <w:pPr>
              <w:spacing w:line="220" w:lineRule="atLeast"/>
              <w:jc w:val="left"/>
              <w:rPr>
                <w:rFonts w:hint="default"/>
                <w:color w:val="000000"/>
                <w:sz w:val="24"/>
                <w:szCs w:val="24"/>
                <w:lang w:val="en-US" w:eastAsia="zh-CN"/>
              </w:rPr>
            </w:pPr>
            <w:r>
              <w:rPr>
                <w:rFonts w:hint="eastAsia" w:ascii="宋体" w:hAnsi="宋体" w:cs="仿宋"/>
                <w:color w:val="000000"/>
                <w:sz w:val="24"/>
                <w:szCs w:val="24"/>
              </w:rPr>
              <w:t>总价（元）</w:t>
            </w:r>
            <w:r>
              <w:rPr>
                <w:rFonts w:hint="eastAsia"/>
                <w:color w:val="000000"/>
                <w:sz w:val="24"/>
                <w:szCs w:val="24"/>
                <w:lang w:val="en-US" w:eastAsia="zh-CN"/>
              </w:rPr>
              <w:t>=数量*单价</w:t>
            </w:r>
          </w:p>
        </w:tc>
      </w:tr>
      <w:tr w14:paraId="05E3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E38CDDD">
            <w:pPr>
              <w:spacing w:line="220" w:lineRule="atLeast"/>
              <w:jc w:val="center"/>
              <w:rPr>
                <w:rFonts w:hint="eastAsia" w:ascii="宋体" w:hAnsi="宋体" w:eastAsia="宋体" w:cs="仿宋"/>
                <w:color w:val="000000"/>
                <w:sz w:val="24"/>
                <w:szCs w:val="24"/>
                <w:lang w:eastAsia="zh-CN"/>
              </w:rPr>
            </w:pPr>
            <w:r>
              <w:rPr>
                <w:rFonts w:hint="eastAsia" w:ascii="宋体" w:hAnsi="宋体" w:cs="仿宋"/>
                <w:color w:val="000000"/>
                <w:sz w:val="24"/>
                <w:szCs w:val="24"/>
                <w:lang w:val="en-US" w:eastAsia="zh-CN"/>
              </w:rPr>
              <w:t>1</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7EC83BA6">
            <w:pPr>
              <w:spacing w:line="360" w:lineRule="auto"/>
              <w:jc w:val="center"/>
              <w:rPr>
                <w:rFonts w:hint="eastAsia" w:ascii="宋体" w:hAnsi="宋体" w:eastAsia="宋体" w:cs="仿宋"/>
                <w:color w:val="000000"/>
                <w:sz w:val="24"/>
                <w:szCs w:val="24"/>
                <w:lang w:eastAsia="zh-CN"/>
              </w:rPr>
            </w:pPr>
            <w:r>
              <w:rPr>
                <w:rFonts w:hint="eastAsia" w:ascii="宋体" w:hAnsi="宋体" w:cs="宋体"/>
                <w:color w:val="000000" w:themeColor="text1"/>
                <w:szCs w:val="21"/>
                <w:lang w:eastAsia="zh-CN"/>
              </w:rPr>
              <w:t>花生油</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14B0AAD">
            <w:pPr>
              <w:spacing w:line="360" w:lineRule="auto"/>
              <w:jc w:val="center"/>
              <w:rPr>
                <w:rFonts w:hint="default" w:ascii="宋体" w:hAnsi="宋体" w:eastAsia="宋体" w:cs="仿宋"/>
                <w:color w:val="000000"/>
                <w:sz w:val="24"/>
                <w:szCs w:val="24"/>
                <w:lang w:val="en-US" w:eastAsia="zh-CN"/>
              </w:rPr>
            </w:pPr>
            <w:r>
              <w:rPr>
                <w:rFonts w:hint="default" w:ascii="宋体" w:hAnsi="宋体" w:eastAsia="宋体" w:cs="仿宋"/>
                <w:color w:val="000000"/>
                <w:sz w:val="24"/>
                <w:szCs w:val="24"/>
                <w:lang w:val="en-US" w:eastAsia="zh-CN"/>
              </w:rPr>
              <w:t>1196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7C2C2BF">
            <w:pPr>
              <w:spacing w:line="220" w:lineRule="atLeast"/>
              <w:jc w:val="center"/>
              <w:rPr>
                <w:rFonts w:hint="eastAsia" w:ascii="宋体" w:hAnsi="宋体" w:cs="仿宋"/>
                <w:color w:val="000000"/>
                <w:sz w:val="24"/>
                <w:szCs w:val="24"/>
              </w:rPr>
            </w:pP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FA0BE9E">
            <w:pPr>
              <w:spacing w:line="220" w:lineRule="atLeast"/>
              <w:jc w:val="center"/>
              <w:rPr>
                <w:rFonts w:hint="eastAsia" w:ascii="宋体" w:hAnsi="宋体" w:cs="仿宋"/>
                <w:color w:val="000000"/>
                <w:sz w:val="24"/>
                <w:szCs w:val="24"/>
              </w:rPr>
            </w:pPr>
          </w:p>
        </w:tc>
      </w:tr>
      <w:tr w14:paraId="153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7A0AFE5E">
            <w:pPr>
              <w:spacing w:line="220" w:lineRule="atLeast"/>
              <w:jc w:val="left"/>
              <w:rPr>
                <w:rFonts w:hint="eastAsia" w:ascii="宋体" w:hAnsi="宋体" w:cs="仿宋"/>
                <w:color w:val="000000"/>
                <w:sz w:val="24"/>
                <w:szCs w:val="24"/>
              </w:rPr>
            </w:pPr>
            <w:r>
              <w:rPr>
                <w:rFonts w:hint="eastAsia" w:ascii="宋体" w:hAnsi="宋体" w:cs="仿宋"/>
                <w:color w:val="000000"/>
                <w:sz w:val="24"/>
                <w:szCs w:val="24"/>
              </w:rPr>
              <w:t>合计</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7095F7A">
            <w:pPr>
              <w:spacing w:line="220" w:lineRule="atLeast"/>
              <w:jc w:val="left"/>
              <w:rPr>
                <w:rFonts w:hint="eastAsia" w:ascii="宋体" w:hAnsi="宋体" w:cs="仿宋"/>
                <w:color w:val="000000"/>
                <w:sz w:val="24"/>
                <w:szCs w:val="24"/>
              </w:rPr>
            </w:pPr>
          </w:p>
        </w:tc>
      </w:tr>
      <w:tr w14:paraId="31F1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16" w:type="dxa"/>
            <w:gridSpan w:val="5"/>
            <w:tcBorders>
              <w:top w:val="single" w:color="auto" w:sz="4" w:space="0"/>
              <w:left w:val="single" w:color="auto" w:sz="4" w:space="0"/>
              <w:bottom w:val="single" w:color="auto" w:sz="4" w:space="0"/>
              <w:right w:val="single" w:color="auto" w:sz="4" w:space="0"/>
            </w:tcBorders>
            <w:noWrap w:val="0"/>
            <w:vAlign w:val="top"/>
          </w:tcPr>
          <w:p w14:paraId="124BD9DC">
            <w:pPr>
              <w:spacing w:line="220" w:lineRule="atLeast"/>
              <w:jc w:val="left"/>
              <w:rPr>
                <w:rFonts w:hint="eastAsia" w:ascii="宋体" w:hAnsi="宋体"/>
                <w:color w:val="000000"/>
                <w:sz w:val="24"/>
                <w:szCs w:val="24"/>
              </w:rPr>
            </w:pPr>
            <w:r>
              <w:rPr>
                <w:rFonts w:hint="eastAsia" w:ascii="宋体" w:hAnsi="宋体" w:cs="仿宋_GB2312"/>
                <w:color w:val="000000"/>
                <w:sz w:val="24"/>
                <w:szCs w:val="24"/>
              </w:rPr>
              <w:t>合计金额大写：人民币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u w:val="single"/>
                <w:lang w:val="en-US" w:eastAsia="zh-CN"/>
              </w:rPr>
              <w:t xml:space="preserve">     </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tc>
      </w:tr>
      <w:tr w14:paraId="2C2E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16" w:type="dxa"/>
            <w:gridSpan w:val="5"/>
            <w:tcBorders>
              <w:top w:val="single" w:color="auto" w:sz="4" w:space="0"/>
              <w:left w:val="single" w:color="auto" w:sz="4" w:space="0"/>
              <w:bottom w:val="single" w:color="auto" w:sz="4" w:space="0"/>
              <w:right w:val="single" w:color="auto" w:sz="4" w:space="0"/>
            </w:tcBorders>
            <w:noWrap w:val="0"/>
            <w:vAlign w:val="top"/>
          </w:tcPr>
          <w:p w14:paraId="50339B47">
            <w:pPr>
              <w:spacing w:line="220" w:lineRule="atLeast"/>
              <w:jc w:val="left"/>
              <w:rPr>
                <w:rFonts w:hint="default" w:ascii="宋体" w:hAnsi="宋体" w:eastAsia="宋体" w:cs="仿宋_GB2312"/>
                <w:color w:val="000000"/>
                <w:sz w:val="24"/>
                <w:szCs w:val="24"/>
                <w:lang w:val="en-US" w:eastAsia="zh-CN"/>
              </w:rPr>
            </w:pPr>
            <w:r>
              <w:rPr>
                <w:rFonts w:hint="eastAsia" w:ascii="宋体" w:hAnsi="宋体" w:cs="仿宋_GB2312"/>
                <w:color w:val="000000"/>
                <w:sz w:val="24"/>
                <w:szCs w:val="24"/>
                <w:lang w:eastAsia="zh-CN"/>
              </w:rPr>
              <w:t>供应商名称：</w:t>
            </w:r>
            <w:r>
              <w:rPr>
                <w:rFonts w:hint="eastAsia" w:ascii="宋体" w:hAnsi="宋体" w:cs="仿宋_GB2312"/>
                <w:color w:val="000000"/>
                <w:sz w:val="24"/>
                <w:szCs w:val="24"/>
                <w:lang w:val="en-US" w:eastAsia="zh-CN"/>
              </w:rPr>
              <w:t>xxx（公章）</w:t>
            </w:r>
          </w:p>
        </w:tc>
      </w:tr>
      <w:tr w14:paraId="370F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16" w:type="dxa"/>
            <w:gridSpan w:val="5"/>
            <w:tcBorders>
              <w:top w:val="single" w:color="auto" w:sz="4" w:space="0"/>
              <w:left w:val="single" w:color="auto" w:sz="4" w:space="0"/>
              <w:bottom w:val="single" w:color="auto" w:sz="4" w:space="0"/>
              <w:right w:val="single" w:color="auto" w:sz="4" w:space="0"/>
            </w:tcBorders>
            <w:noWrap w:val="0"/>
            <w:vAlign w:val="top"/>
          </w:tcPr>
          <w:p w14:paraId="6CE36D34">
            <w:pPr>
              <w:spacing w:line="220" w:lineRule="atLeast"/>
              <w:jc w:val="left"/>
              <w:rPr>
                <w:rFonts w:hint="eastAsia" w:ascii="宋体" w:hAnsi="宋体" w:cs="仿宋_GB2312"/>
                <w:color w:val="000000"/>
                <w:sz w:val="24"/>
                <w:szCs w:val="24"/>
                <w:lang w:eastAsia="zh-CN"/>
              </w:rPr>
            </w:pPr>
            <w:r>
              <w:rPr>
                <w:rFonts w:hint="eastAsia" w:ascii="宋体" w:hAnsi="宋体" w:cs="仿宋_GB2312"/>
                <w:color w:val="000000"/>
                <w:sz w:val="24"/>
                <w:szCs w:val="24"/>
                <w:lang w:eastAsia="zh-CN"/>
              </w:rPr>
              <w:t>备注：</w:t>
            </w:r>
          </w:p>
          <w:p w14:paraId="05DD333A">
            <w:pPr>
              <w:spacing w:line="220" w:lineRule="atLeast"/>
              <w:jc w:val="left"/>
              <w:rPr>
                <w:rFonts w:hint="eastAsia" w:ascii="宋体" w:hAnsi="宋体" w:cs="仿宋_GB2312"/>
                <w:color w:val="000000"/>
                <w:sz w:val="24"/>
                <w:szCs w:val="24"/>
                <w:lang w:eastAsia="zh-CN"/>
              </w:rPr>
            </w:pPr>
            <w:r>
              <w:rPr>
                <w:rFonts w:hint="eastAsia" w:ascii="宋体" w:hAnsi="宋体" w:cs="仿宋_GB2312"/>
                <w:color w:val="000000"/>
                <w:sz w:val="24"/>
                <w:szCs w:val="24"/>
                <w:lang w:eastAsia="zh-CN"/>
              </w:rPr>
              <w:t>有效报价范围：总价≤119600元，不满足则响应无效。</w:t>
            </w:r>
          </w:p>
        </w:tc>
      </w:tr>
    </w:tbl>
    <w:p w14:paraId="2ADCFBD7">
      <w:pPr>
        <w:spacing w:line="360" w:lineRule="auto"/>
        <w:ind w:right="-817" w:rightChars="-389" w:firstLine="2640" w:firstLineChars="1100"/>
        <w:contextualSpacing/>
        <w:rPr>
          <w:rFonts w:ascii="宋体" w:hAnsi="宋体" w:cs="仿宋_GB2312"/>
          <w:color w:val="000000"/>
          <w:sz w:val="24"/>
        </w:rPr>
      </w:pPr>
    </w:p>
    <w:p w14:paraId="1618B262">
      <w:pPr>
        <w:spacing w:line="360" w:lineRule="auto"/>
        <w:ind w:right="-817" w:rightChars="-389"/>
        <w:contextualSpacing/>
        <w:jc w:val="center"/>
        <w:rPr>
          <w:rFonts w:ascii="仿宋_GB2312" w:hAnsi="仿宋_GB2312" w:eastAsia="仿宋_GB2312" w:cs="仿宋_GB2312"/>
          <w:b/>
          <w:color w:val="000000"/>
          <w:sz w:val="32"/>
          <w:szCs w:val="32"/>
        </w:rPr>
      </w:pPr>
      <w:r>
        <w:rPr>
          <w:rFonts w:hint="eastAsia" w:ascii="宋体" w:hAnsi="宋体" w:cs="仿宋_GB2312"/>
          <w:color w:val="000000"/>
          <w:sz w:val="24"/>
          <w:lang w:val="en-US" w:eastAsia="zh-CN"/>
        </w:rPr>
        <w:t xml:space="preserve">       </w:t>
      </w:r>
      <w:r>
        <w:rPr>
          <w:rFonts w:hint="eastAsia" w:ascii="宋体" w:hAnsi="宋体" w:cs="仿宋_GB2312"/>
          <w:color w:val="000000"/>
          <w:sz w:val="24"/>
        </w:rPr>
        <w:t>日期：   年   月   日</w:t>
      </w:r>
    </w:p>
    <w:p w14:paraId="5B598548">
      <w:pPr>
        <w:sectPr>
          <w:pgSz w:w="11906" w:h="16838"/>
          <w:pgMar w:top="1418" w:right="1555" w:bottom="1418" w:left="1531" w:header="851" w:footer="992" w:gutter="0"/>
          <w:pgNumType w:fmt="decimal"/>
          <w:cols w:space="720" w:num="1"/>
          <w:titlePg/>
          <w:docGrid w:type="lines" w:linePitch="312" w:charSpace="0"/>
        </w:sectPr>
      </w:pP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szCs w:val="21"/>
          <w:u w:val="single"/>
          <w:lang w:eastAsia="zh-CN"/>
        </w:rPr>
        <w:t>花生油</w:t>
      </w:r>
      <w:r>
        <w:rPr>
          <w:rFonts w:hint="eastAsia" w:ascii="宋体" w:hAnsi="宋体" w:cs="宋体"/>
          <w:color w:val="000000"/>
          <w:szCs w:val="21"/>
        </w:rPr>
        <w:t>项目的竞标，为便于贵方公正、择优地确定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2A284CAE">
      <w:pPr>
        <w:pStyle w:val="18"/>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18"/>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18"/>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18"/>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18"/>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18"/>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18"/>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18"/>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供应商向采购小组、竞争性谈判小组或者询价小组成员行贿或者提供其他不正当利益。</w:t>
      </w:r>
      <w:r>
        <w:rPr>
          <w:rFonts w:cs="宋体"/>
          <w:color w:val="000000"/>
          <w:sz w:val="21"/>
          <w:szCs w:val="21"/>
        </w:rPr>
        <w:t xml:space="preserve"> </w:t>
      </w:r>
    </w:p>
    <w:p w14:paraId="69CD0740">
      <w:pPr>
        <w:pStyle w:val="18"/>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18"/>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18"/>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18"/>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18"/>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18"/>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18"/>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18"/>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18"/>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18"/>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18"/>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18"/>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18"/>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18"/>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18"/>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18"/>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18"/>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18"/>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18"/>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18"/>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18"/>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rPr>
      </w:pPr>
    </w:p>
    <w:p w14:paraId="670E30E4">
      <w:pPr>
        <w:snapToGrid w:val="0"/>
        <w:spacing w:before="50" w:afterLines="100" w:line="360" w:lineRule="auto"/>
        <w:ind w:left="7428" w:leftChars="2223" w:hanging="2760" w:hangingChars="1150"/>
        <w:jc w:val="left"/>
        <w:rPr>
          <w:rFonts w:ascii="宋体" w:hAnsi="宋体" w:cs="宋体"/>
          <w:color w:val="000000"/>
          <w:sz w:val="24"/>
        </w:rPr>
      </w:pP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08EBB4C">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2BFB2C5E">
      <w:pPr>
        <w:snapToGrid w:val="0"/>
        <w:spacing w:before="50" w:afterLines="50"/>
        <w:jc w:val="right"/>
        <w:rPr>
          <w:rFonts w:ascii="宋体" w:hAnsi="宋体" w:cs="宋体"/>
          <w:color w:val="000000"/>
          <w:szCs w:val="21"/>
        </w:rPr>
      </w:pP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4387A90C">
      <w:pPr>
        <w:snapToGrid w:val="0"/>
        <w:spacing w:before="50" w:afterLines="50"/>
        <w:jc w:val="right"/>
        <w:rPr>
          <w:rFonts w:ascii="宋体" w:hAnsi="宋体" w:cs="宋体"/>
          <w:color w:val="000000"/>
          <w:szCs w:val="21"/>
        </w:rPr>
      </w:pPr>
    </w:p>
    <w:p w14:paraId="6CB5D1C6">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79111611">
      <w:pPr>
        <w:snapToGrid w:val="0"/>
        <w:spacing w:before="50" w:afterLines="50"/>
        <w:jc w:val="right"/>
        <w:rPr>
          <w:rFonts w:ascii="宋体" w:hAnsi="宋体" w:cs="宋体"/>
          <w:color w:val="000000"/>
          <w:szCs w:val="21"/>
        </w:rPr>
      </w:pPr>
    </w:p>
    <w:tbl>
      <w:tblPr>
        <w:tblStyle w:val="21"/>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7070"/>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评分因素</w:t>
            </w:r>
          </w:p>
        </w:tc>
        <w:tc>
          <w:tcPr>
            <w:tcW w:w="7070"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ascii="宋体" w:hAnsi="宋体" w:cs="宋体"/>
                <w:sz w:val="24"/>
                <w:szCs w:val="24"/>
                <w:highlight w:val="none"/>
              </w:rPr>
            </w:pPr>
            <w:r>
              <w:rPr>
                <w:rFonts w:hint="eastAsia" w:ascii="宋体" w:hAnsi="宋体" w:cs="宋体"/>
                <w:sz w:val="24"/>
                <w:szCs w:val="24"/>
                <w:highlight w:val="none"/>
              </w:rPr>
              <w:t>价格分</w:t>
            </w:r>
          </w:p>
          <w:p w14:paraId="18EE9779">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ascii="宋体" w:hAnsi="宋体" w:cs="宋体"/>
                <w:sz w:val="24"/>
                <w:szCs w:val="24"/>
                <w:highlight w:val="none"/>
              </w:rPr>
            </w:pPr>
            <w:r>
              <w:rPr>
                <w:rFonts w:hint="eastAsia" w:ascii="宋体" w:hAnsi="宋体" w:cs="宋体"/>
                <w:sz w:val="24"/>
                <w:szCs w:val="24"/>
                <w:highlight w:val="none"/>
              </w:rPr>
              <w:t>投标报价</w:t>
            </w:r>
          </w:p>
          <w:p w14:paraId="13F1C859">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12B906B8">
            <w:pPr>
              <w:spacing w:line="360" w:lineRule="auto"/>
              <w:jc w:val="left"/>
              <w:rPr>
                <w:rFonts w:ascii="宋体" w:hAnsi="宋体" w:cs="宋体"/>
                <w:sz w:val="24"/>
                <w:szCs w:val="24"/>
                <w:highlight w:val="none"/>
              </w:rPr>
            </w:pPr>
            <w:r>
              <w:rPr>
                <w:rFonts w:hint="eastAsia" w:ascii="宋体" w:hAnsi="宋体" w:cs="宋体"/>
                <w:sz w:val="24"/>
                <w:szCs w:val="24"/>
                <w:highlight w:val="none"/>
              </w:rPr>
              <w:t>价格评分的计算方法如下：</w:t>
            </w:r>
          </w:p>
          <w:p w14:paraId="2D582A73">
            <w:pPr>
              <w:spacing w:line="360" w:lineRule="auto"/>
              <w:jc w:val="left"/>
              <w:rPr>
                <w:rFonts w:ascii="宋体" w:hAnsi="宋体" w:cs="宋体"/>
                <w:sz w:val="24"/>
                <w:szCs w:val="24"/>
                <w:highlight w:val="none"/>
              </w:rPr>
            </w:pPr>
            <w:r>
              <w:rPr>
                <w:rFonts w:hint="eastAsia" w:ascii="宋体" w:hAnsi="宋体" w:cs="宋体"/>
                <w:sz w:val="24"/>
                <w:szCs w:val="24"/>
                <w:highlight w:val="none"/>
              </w:rPr>
              <w:t>1、满足需求要求且报价价格最低的报价为评标基准价，其价格分为满分(</w:t>
            </w:r>
            <w:r>
              <w:rPr>
                <w:rFonts w:hint="eastAsia" w:ascii="宋体" w:hAnsi="宋体" w:cs="宋体"/>
                <w:sz w:val="24"/>
                <w:szCs w:val="24"/>
                <w:highlight w:val="none"/>
                <w:lang w:val="en-US" w:eastAsia="zh-CN"/>
              </w:rPr>
              <w:t>5</w:t>
            </w:r>
            <w:r>
              <w:rPr>
                <w:rFonts w:hint="eastAsia" w:ascii="宋体" w:hAnsi="宋体" w:cs="宋体"/>
                <w:sz w:val="24"/>
                <w:szCs w:val="24"/>
                <w:highlight w:val="none"/>
              </w:rPr>
              <w:t>0分)；</w:t>
            </w:r>
          </w:p>
          <w:p w14:paraId="7DE3E0F9">
            <w:pPr>
              <w:spacing w:line="360" w:lineRule="auto"/>
              <w:jc w:val="left"/>
              <w:rPr>
                <w:rFonts w:ascii="宋体" w:hAnsi="宋体" w:cs="宋体"/>
                <w:sz w:val="24"/>
                <w:szCs w:val="24"/>
                <w:highlight w:val="none"/>
              </w:rPr>
            </w:pPr>
            <w:r>
              <w:rPr>
                <w:rFonts w:hint="eastAsia" w:ascii="宋体" w:hAnsi="宋体" w:cs="宋体"/>
                <w:sz w:val="24"/>
                <w:szCs w:val="24"/>
                <w:highlight w:val="none"/>
              </w:rPr>
              <w:t>2、其他合格供应商的报价得分按如下公式计算：报价得分=（基准价/报价）×</w:t>
            </w:r>
            <w:r>
              <w:rPr>
                <w:rFonts w:hint="eastAsia" w:ascii="宋体" w:hAnsi="宋体" w:cs="宋体"/>
                <w:sz w:val="24"/>
                <w:szCs w:val="24"/>
                <w:highlight w:val="none"/>
                <w:lang w:val="en-US" w:eastAsia="zh-CN"/>
              </w:rPr>
              <w:t>5</w:t>
            </w:r>
            <w:r>
              <w:rPr>
                <w:rFonts w:hint="eastAsia" w:ascii="宋体" w:hAnsi="宋体" w:cs="宋体"/>
                <w:sz w:val="24"/>
                <w:szCs w:val="24"/>
                <w:highlight w:val="non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ascii="宋体" w:hAnsi="宋体" w:cs="宋体"/>
                <w:sz w:val="24"/>
                <w:szCs w:val="24"/>
                <w:highlight w:val="none"/>
              </w:rPr>
            </w:pPr>
            <w:r>
              <w:rPr>
                <w:rFonts w:hint="eastAsia" w:ascii="宋体" w:hAnsi="宋体" w:cs="宋体"/>
                <w:sz w:val="24"/>
                <w:szCs w:val="24"/>
                <w:highlight w:val="none"/>
              </w:rPr>
              <w:t>技术分</w:t>
            </w:r>
          </w:p>
          <w:p w14:paraId="6C7A0623">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40</w:t>
            </w:r>
            <w:r>
              <w:rPr>
                <w:rFonts w:hint="eastAsia" w:ascii="宋体" w:hAnsi="宋体" w:cs="宋体"/>
                <w:sz w:val="24"/>
                <w:szCs w:val="24"/>
                <w:highlight w:val="none"/>
              </w:rPr>
              <w:t>分）</w:t>
            </w:r>
          </w:p>
        </w:tc>
        <w:tc>
          <w:tcPr>
            <w:tcW w:w="2418"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样品分</w:t>
            </w:r>
          </w:p>
          <w:p w14:paraId="185161F3">
            <w:pPr>
              <w:spacing w:line="360" w:lineRule="auto"/>
              <w:jc w:val="center"/>
              <w:rPr>
                <w:rFonts w:hint="eastAsia" w:ascii="宋体"/>
                <w:color w:val="000000"/>
                <w:sz w:val="24"/>
                <w:szCs w:val="24"/>
                <w:highlight w:val="none"/>
              </w:rPr>
            </w:pPr>
            <w:r>
              <w:rPr>
                <w:rFonts w:hint="eastAsia" w:ascii="宋体" w:hAnsi="宋体" w:cs="宋体"/>
                <w:sz w:val="24"/>
                <w:szCs w:val="24"/>
                <w:highlight w:val="none"/>
              </w:rPr>
              <w:t>（满分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7070" w:type="dxa"/>
            <w:tcBorders>
              <w:top w:val="single" w:color="auto" w:sz="4" w:space="0"/>
              <w:left w:val="single" w:color="auto" w:sz="4" w:space="0"/>
              <w:right w:val="single" w:color="auto" w:sz="4" w:space="0"/>
            </w:tcBorders>
            <w:vAlign w:val="center"/>
          </w:tcPr>
          <w:p w14:paraId="12F4EA46">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评审小组对样品进行评审，综合评定外观、厚度、吸水性等因素，共</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个评审因素，每个评审因素</w:t>
            </w:r>
            <w:r>
              <w:rPr>
                <w:rFonts w:hint="eastAsia" w:ascii="宋体" w:hAnsi="宋体" w:cs="宋体"/>
                <w:color w:val="000000"/>
                <w:sz w:val="24"/>
                <w:szCs w:val="24"/>
                <w:highlight w:val="none"/>
                <w:lang w:val="en-US" w:eastAsia="zh-CN"/>
              </w:rPr>
              <w:t>4分，每位评委独立打分</w:t>
            </w:r>
            <w:r>
              <w:rPr>
                <w:rFonts w:hint="eastAsia" w:ascii="宋体" w:hAnsi="宋体" w:cs="宋体"/>
                <w:color w:val="000000"/>
                <w:sz w:val="24"/>
                <w:szCs w:val="24"/>
                <w:highlight w:val="none"/>
                <w:lang w:eastAsia="zh-CN"/>
              </w:rPr>
              <w:t>：</w:t>
            </w:r>
          </w:p>
          <w:p w14:paraId="577E59AB">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1. 外观品质（满分4分）  </w:t>
            </w:r>
          </w:p>
          <w:p w14:paraId="5F2BB054">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色泽：花生油的色泽是否均匀、明亮，有无异常色斑、暗沉或浑浊现象。  </w:t>
            </w:r>
          </w:p>
          <w:p w14:paraId="674A2355">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透明度：油品是否清澈透亮，无明显悬浮物、杂质或分层。  </w:t>
            </w:r>
          </w:p>
          <w:p w14:paraId="0FCCD6A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质地：油品的流动性与粘稠度是否适中，无凝固、结晶或颗粒感。</w:t>
            </w:r>
          </w:p>
          <w:p w14:paraId="22037EA8">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2. 理化性能（满分4分）  </w:t>
            </w:r>
          </w:p>
          <w:p w14:paraId="4F72FBDA">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流动性：常温下油品流动是否顺畅，无凝固、析出或异常粘滞现象。  </w:t>
            </w:r>
          </w:p>
          <w:p w14:paraId="17BAF0D8">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粘度：油品粘度是否均匀，符合产品规格要求。  </w:t>
            </w:r>
          </w:p>
          <w:p w14:paraId="66425F0D">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3. 感官质量（满分4分）  </w:t>
            </w:r>
          </w:p>
          <w:p w14:paraId="3B3997BB">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气味：花生油的香气是否自然浓郁，无哈喇味、酸败味、异味等。  </w:t>
            </w:r>
          </w:p>
          <w:p w14:paraId="31F02A35">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口味：滋味是否纯正，甜润适口，无苦味、涩味或其他杂味。  </w:t>
            </w:r>
          </w:p>
          <w:p w14:paraId="5414F830">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口感：入口滑爽度、油腻感是否合适，无粗糙、刺喉等不适感。  </w:t>
            </w:r>
          </w:p>
          <w:p w14:paraId="31256ED3">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4. 安全与纯度（满分4分）  </w:t>
            </w:r>
          </w:p>
          <w:p w14:paraId="4570BB54">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杂质：油品中是否存在可见杂质（如残渣、异物），经过滤或观察判定。  </w:t>
            </w:r>
          </w:p>
          <w:p w14:paraId="4E938439">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污染物：是否含有重金属、农药残留等有害物质（符合相关安全标准）。  </w:t>
            </w:r>
          </w:p>
          <w:p w14:paraId="2759E414">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5. 质量稳定性（满分4分）  </w:t>
            </w:r>
          </w:p>
          <w:p w14:paraId="76F86B9A">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保质期表现：在规定存储条件下，油品是否保持稳定，未出现氧化、变质、风味变差。  </w:t>
            </w:r>
          </w:p>
          <w:p w14:paraId="377B13A3">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储存变化：开封后或长期储存时，油品是否出现分层、沉淀等异常情况。  </w:t>
            </w:r>
          </w:p>
          <w:p w14:paraId="5F31FD2A">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抗氧化能力：油品抗氧化处理后，延缓酸败的能力是否达标。  </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ascii="宋体" w:hAnsi="宋体" w:cs="宋体"/>
                <w:sz w:val="24"/>
                <w:szCs w:val="24"/>
                <w:highlight w:val="none"/>
              </w:rPr>
            </w:pPr>
            <w:r>
              <w:rPr>
                <w:rFonts w:hint="eastAsia" w:ascii="宋体" w:hAnsi="宋体" w:cs="宋体"/>
                <w:sz w:val="24"/>
                <w:szCs w:val="24"/>
                <w:highlight w:val="none"/>
              </w:rPr>
              <w:t>技术分</w:t>
            </w:r>
          </w:p>
          <w:p w14:paraId="678D7980">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40</w:t>
            </w:r>
            <w:r>
              <w:rPr>
                <w:rFonts w:hint="eastAsia" w:ascii="宋体" w:hAnsi="宋体" w:cs="宋体"/>
                <w:sz w:val="24"/>
                <w:szCs w:val="24"/>
                <w:highlight w:val="none"/>
              </w:rPr>
              <w:t>分）</w:t>
            </w:r>
          </w:p>
        </w:tc>
        <w:tc>
          <w:tcPr>
            <w:tcW w:w="2418" w:type="dxa"/>
            <w:tcBorders>
              <w:top w:val="single" w:color="auto" w:sz="4" w:space="0"/>
              <w:left w:val="single" w:color="auto" w:sz="4" w:space="0"/>
              <w:right w:val="single" w:color="auto" w:sz="4" w:space="0"/>
            </w:tcBorders>
            <w:vAlign w:val="center"/>
          </w:tcPr>
          <w:p w14:paraId="7AB19826">
            <w:pPr>
              <w:adjustRightInd w:val="0"/>
              <w:spacing w:line="360" w:lineRule="exact"/>
              <w:jc w:val="center"/>
              <w:textAlignment w:val="baseline"/>
              <w:rPr>
                <w:rFonts w:hint="eastAsia" w:ascii="宋体"/>
                <w:color w:val="000000"/>
                <w:sz w:val="24"/>
                <w:szCs w:val="24"/>
                <w:highlight w:val="none"/>
              </w:rPr>
            </w:pPr>
            <w:r>
              <w:rPr>
                <w:rFonts w:hint="eastAsia" w:ascii="宋体"/>
                <w:color w:val="000000"/>
                <w:sz w:val="24"/>
                <w:szCs w:val="24"/>
                <w:highlight w:val="none"/>
              </w:rPr>
              <w:t>供货方案</w:t>
            </w:r>
          </w:p>
          <w:p w14:paraId="5EB6C8A0">
            <w:pPr>
              <w:adjustRightInd w:val="0"/>
              <w:spacing w:line="360" w:lineRule="exact"/>
              <w:jc w:val="center"/>
              <w:textAlignment w:val="baseline"/>
              <w:rPr>
                <w:rFonts w:ascii="宋体" w:hAnsi="宋体" w:cs="宋体"/>
                <w:sz w:val="24"/>
                <w:szCs w:val="24"/>
                <w:highlight w:val="none"/>
              </w:rPr>
            </w:pPr>
            <w:r>
              <w:rPr>
                <w:rFonts w:hint="eastAsia" w:ascii="宋体"/>
                <w:color w:val="000000"/>
                <w:sz w:val="24"/>
                <w:szCs w:val="24"/>
                <w:highlight w:val="none"/>
              </w:rPr>
              <w:t>（满分</w:t>
            </w:r>
            <w:r>
              <w:rPr>
                <w:rFonts w:hint="eastAsia" w:ascii="宋体"/>
                <w:color w:val="000000"/>
                <w:sz w:val="24"/>
                <w:szCs w:val="24"/>
                <w:highlight w:val="none"/>
                <w:lang w:val="en-US" w:eastAsia="zh-CN"/>
              </w:rPr>
              <w:t>12</w:t>
            </w:r>
            <w:r>
              <w:rPr>
                <w:rFonts w:hint="eastAsia" w:ascii="宋体"/>
                <w:color w:val="000000"/>
                <w:sz w:val="24"/>
                <w:szCs w:val="24"/>
                <w:highlight w:val="none"/>
              </w:rPr>
              <w:t>分）</w:t>
            </w:r>
          </w:p>
        </w:tc>
        <w:tc>
          <w:tcPr>
            <w:tcW w:w="7070" w:type="dxa"/>
            <w:tcBorders>
              <w:top w:val="single" w:color="auto" w:sz="4" w:space="0"/>
              <w:left w:val="single" w:color="auto" w:sz="4" w:space="0"/>
              <w:right w:val="single" w:color="auto" w:sz="4" w:space="0"/>
            </w:tcBorders>
            <w:vAlign w:val="center"/>
          </w:tcPr>
          <w:p w14:paraId="04718454">
            <w:pPr>
              <w:spacing w:line="380" w:lineRule="exact"/>
              <w:rPr>
                <w:rFonts w:hint="eastAsia" w:hAnsi="宋体"/>
                <w:bCs/>
                <w:color w:val="000000"/>
                <w:sz w:val="24"/>
                <w:szCs w:val="24"/>
                <w:highlight w:val="none"/>
              </w:rPr>
            </w:pPr>
            <w:r>
              <w:rPr>
                <w:rFonts w:hint="eastAsia" w:ascii="宋体"/>
                <w:color w:val="000000"/>
                <w:sz w:val="24"/>
                <w:szCs w:val="24"/>
                <w:highlight w:val="none"/>
              </w:rPr>
              <w:t>一</w:t>
            </w:r>
            <w:r>
              <w:rPr>
                <w:rFonts w:ascii="宋体"/>
                <w:color w:val="000000"/>
                <w:sz w:val="24"/>
                <w:szCs w:val="24"/>
                <w:highlight w:val="none"/>
              </w:rPr>
              <w:t>档（</w:t>
            </w:r>
            <w:r>
              <w:rPr>
                <w:rFonts w:hint="eastAsia" w:ascii="宋体"/>
                <w:color w:val="000000"/>
                <w:sz w:val="24"/>
                <w:szCs w:val="24"/>
                <w:highlight w:val="none"/>
                <w:lang w:val="en-US" w:eastAsia="zh-CN"/>
              </w:rPr>
              <w:t>4</w:t>
            </w:r>
            <w:r>
              <w:rPr>
                <w:rFonts w:ascii="宋体"/>
                <w:color w:val="000000"/>
                <w:sz w:val="24"/>
                <w:szCs w:val="24"/>
                <w:highlight w:val="none"/>
              </w:rPr>
              <w:t>分）：供货方案</w:t>
            </w:r>
            <w:r>
              <w:rPr>
                <w:rFonts w:hint="eastAsia" w:ascii="宋体"/>
                <w:color w:val="000000"/>
                <w:sz w:val="24"/>
                <w:szCs w:val="24"/>
                <w:highlight w:val="none"/>
              </w:rPr>
              <w:t>有基本框架，</w:t>
            </w:r>
            <w:r>
              <w:rPr>
                <w:rFonts w:ascii="宋体"/>
                <w:color w:val="000000"/>
                <w:sz w:val="24"/>
                <w:szCs w:val="24"/>
                <w:highlight w:val="none"/>
              </w:rPr>
              <w:t>有</w:t>
            </w:r>
            <w:r>
              <w:rPr>
                <w:rFonts w:hint="eastAsia" w:ascii="宋体"/>
                <w:color w:val="000000"/>
                <w:sz w:val="24"/>
                <w:szCs w:val="24"/>
                <w:highlight w:val="none"/>
                <w:lang w:eastAsia="zh-CN"/>
              </w:rPr>
              <w:t>货物</w:t>
            </w:r>
            <w:r>
              <w:rPr>
                <w:rFonts w:ascii="宋体"/>
                <w:color w:val="000000"/>
                <w:sz w:val="24"/>
                <w:szCs w:val="24"/>
                <w:highlight w:val="none"/>
              </w:rPr>
              <w:t>的管理及配送进度安排等内容</w:t>
            </w:r>
            <w:r>
              <w:rPr>
                <w:rFonts w:hint="eastAsia" w:ascii="宋体"/>
                <w:color w:val="000000"/>
                <w:sz w:val="24"/>
                <w:szCs w:val="24"/>
                <w:highlight w:val="none"/>
              </w:rPr>
              <w:t>，</w:t>
            </w:r>
            <w:r>
              <w:rPr>
                <w:rFonts w:hint="eastAsia" w:hAnsi="宋体"/>
                <w:bCs/>
                <w:color w:val="000000"/>
                <w:sz w:val="24"/>
                <w:szCs w:val="24"/>
                <w:highlight w:val="none"/>
              </w:rPr>
              <w:t>所有环节步骤清晰，责任人员明确，能确保产品供货；</w:t>
            </w:r>
          </w:p>
          <w:p w14:paraId="6D21B1C5">
            <w:pPr>
              <w:spacing w:line="380" w:lineRule="exact"/>
              <w:rPr>
                <w:rFonts w:hint="eastAsia" w:ascii="宋体"/>
                <w:color w:val="000000"/>
                <w:sz w:val="24"/>
                <w:szCs w:val="24"/>
                <w:highlight w:val="none"/>
              </w:rPr>
            </w:pPr>
            <w:r>
              <w:rPr>
                <w:rFonts w:ascii="宋体"/>
                <w:color w:val="000000"/>
                <w:sz w:val="24"/>
                <w:szCs w:val="24"/>
                <w:highlight w:val="none"/>
              </w:rPr>
              <w:t>二档（</w:t>
            </w:r>
            <w:r>
              <w:rPr>
                <w:rFonts w:hint="eastAsia" w:ascii="宋体"/>
                <w:color w:val="000000"/>
                <w:sz w:val="24"/>
                <w:szCs w:val="24"/>
                <w:highlight w:val="none"/>
                <w:lang w:val="en-US" w:eastAsia="zh-CN"/>
              </w:rPr>
              <w:t>8</w:t>
            </w:r>
            <w:r>
              <w:rPr>
                <w:rFonts w:ascii="宋体"/>
                <w:color w:val="000000"/>
                <w:sz w:val="24"/>
                <w:szCs w:val="24"/>
                <w:highlight w:val="none"/>
              </w:rPr>
              <w:t>分）：供货方案内容完整，制定的</w:t>
            </w:r>
            <w:r>
              <w:rPr>
                <w:rFonts w:hint="eastAsia" w:ascii="宋体"/>
                <w:color w:val="000000"/>
                <w:sz w:val="24"/>
                <w:szCs w:val="24"/>
                <w:highlight w:val="none"/>
                <w:lang w:eastAsia="zh-CN"/>
              </w:rPr>
              <w:t>货物</w:t>
            </w:r>
            <w:r>
              <w:rPr>
                <w:rFonts w:ascii="宋体"/>
                <w:color w:val="000000"/>
                <w:sz w:val="24"/>
                <w:szCs w:val="24"/>
                <w:highlight w:val="none"/>
              </w:rPr>
              <w:t>的管理及配送进度安排</w:t>
            </w:r>
            <w:r>
              <w:rPr>
                <w:rFonts w:hint="eastAsia" w:ascii="宋体"/>
                <w:color w:val="000000"/>
                <w:sz w:val="24"/>
                <w:szCs w:val="24"/>
                <w:highlight w:val="none"/>
              </w:rPr>
              <w:t>合理</w:t>
            </w:r>
            <w:r>
              <w:rPr>
                <w:rFonts w:ascii="宋体"/>
                <w:color w:val="000000"/>
                <w:sz w:val="24"/>
                <w:szCs w:val="24"/>
                <w:highlight w:val="none"/>
              </w:rPr>
              <w:t>，</w:t>
            </w:r>
            <w:r>
              <w:rPr>
                <w:rFonts w:hint="eastAsia" w:hAnsi="宋体"/>
                <w:bCs/>
                <w:color w:val="000000"/>
                <w:sz w:val="24"/>
                <w:szCs w:val="24"/>
                <w:highlight w:val="none"/>
              </w:rPr>
              <w:t>所有环节步骤清晰，责任人员明确，详细列明各实施环节详细的实施办法和保障措施，分析供货流程各环节可能出现的问题并提出解决措施；</w:t>
            </w:r>
          </w:p>
          <w:p w14:paraId="6E75DD55">
            <w:pPr>
              <w:spacing w:line="380" w:lineRule="exact"/>
              <w:rPr>
                <w:rFonts w:ascii="宋体"/>
                <w:color w:val="000000"/>
                <w:sz w:val="24"/>
                <w:szCs w:val="24"/>
                <w:highlight w:val="none"/>
              </w:rPr>
            </w:pPr>
            <w:r>
              <w:rPr>
                <w:rFonts w:hint="eastAsia" w:ascii="宋体"/>
                <w:color w:val="000000"/>
                <w:sz w:val="24"/>
                <w:szCs w:val="24"/>
                <w:highlight w:val="none"/>
              </w:rPr>
              <w:t>三</w:t>
            </w:r>
            <w:r>
              <w:rPr>
                <w:rFonts w:ascii="宋体"/>
                <w:color w:val="000000"/>
                <w:sz w:val="24"/>
                <w:szCs w:val="24"/>
                <w:highlight w:val="none"/>
              </w:rPr>
              <w:t>档（</w:t>
            </w:r>
            <w:r>
              <w:rPr>
                <w:rFonts w:hint="eastAsia" w:ascii="宋体"/>
                <w:color w:val="000000"/>
                <w:sz w:val="24"/>
                <w:szCs w:val="24"/>
                <w:highlight w:val="none"/>
                <w:lang w:val="en-US" w:eastAsia="zh-CN"/>
              </w:rPr>
              <w:t>12</w:t>
            </w:r>
            <w:r>
              <w:rPr>
                <w:rFonts w:ascii="宋体"/>
                <w:color w:val="000000"/>
                <w:sz w:val="24"/>
                <w:szCs w:val="24"/>
                <w:highlight w:val="none"/>
              </w:rPr>
              <w:t>分）：供货方案</w:t>
            </w:r>
            <w:r>
              <w:rPr>
                <w:rFonts w:hint="eastAsia" w:ascii="宋体"/>
                <w:color w:val="000000"/>
                <w:sz w:val="24"/>
                <w:szCs w:val="24"/>
                <w:highlight w:val="none"/>
              </w:rPr>
              <w:t>内容完善可行</w:t>
            </w:r>
            <w:r>
              <w:rPr>
                <w:rFonts w:ascii="宋体"/>
                <w:color w:val="000000"/>
                <w:sz w:val="24"/>
                <w:szCs w:val="24"/>
                <w:highlight w:val="none"/>
              </w:rPr>
              <w:t>，</w:t>
            </w:r>
            <w:r>
              <w:rPr>
                <w:rFonts w:hint="eastAsia" w:ascii="宋体"/>
                <w:color w:val="000000"/>
                <w:sz w:val="24"/>
                <w:szCs w:val="24"/>
                <w:highlight w:val="none"/>
                <w:lang w:eastAsia="zh-CN"/>
              </w:rPr>
              <w:t>货物</w:t>
            </w:r>
            <w:r>
              <w:rPr>
                <w:rFonts w:ascii="宋体"/>
                <w:color w:val="000000"/>
                <w:sz w:val="24"/>
                <w:szCs w:val="24"/>
                <w:highlight w:val="none"/>
              </w:rPr>
              <w:t>的管理及配送进度安排科学合理，有针对性，提供了生产进度时间表、供货进度时间表等，</w:t>
            </w:r>
            <w:r>
              <w:rPr>
                <w:rFonts w:hint="eastAsia" w:hAnsi="宋体"/>
                <w:bCs/>
                <w:color w:val="000000"/>
                <w:sz w:val="24"/>
                <w:szCs w:val="24"/>
                <w:highlight w:val="none"/>
              </w:rPr>
              <w:t>所有环节步骤清晰，责任人员明确，并详细分析本项目的难点重点，提供难重点保障措施和各项应急预案，能够有效保证采购人如期使用。</w:t>
            </w:r>
          </w:p>
          <w:p w14:paraId="1B378695">
            <w:pPr>
              <w:spacing w:line="380" w:lineRule="exact"/>
              <w:rPr>
                <w:rFonts w:ascii="宋体" w:hAnsi="宋体" w:cs="宋体"/>
                <w:sz w:val="24"/>
                <w:szCs w:val="24"/>
                <w:highlight w:val="none"/>
              </w:rPr>
            </w:pPr>
            <w:r>
              <w:rPr>
                <w:rFonts w:hint="eastAsia" w:ascii="宋体" w:hAnsi="宋体" w:cs="宋体"/>
                <w:color w:val="000000"/>
                <w:sz w:val="24"/>
                <w:szCs w:val="24"/>
                <w:highlight w:val="none"/>
              </w:rPr>
              <w:t>注：未提供或不满足入档要求得0分。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宋体" w:hAnsi="宋体" w:cs="宋体"/>
                <w:sz w:val="24"/>
                <w:szCs w:val="24"/>
                <w:highlight w:val="none"/>
              </w:rPr>
            </w:pPr>
          </w:p>
        </w:tc>
        <w:tc>
          <w:tcPr>
            <w:tcW w:w="2418" w:type="dxa"/>
            <w:tcBorders>
              <w:top w:val="single" w:color="auto" w:sz="4" w:space="0"/>
              <w:left w:val="single" w:color="auto" w:sz="4" w:space="0"/>
              <w:right w:val="single" w:color="auto" w:sz="4" w:space="0"/>
            </w:tcBorders>
            <w:vAlign w:val="center"/>
          </w:tcPr>
          <w:p w14:paraId="77A8A6CC">
            <w:pPr>
              <w:spacing w:line="410" w:lineRule="exact"/>
              <w:rPr>
                <w:rFonts w:hint="eastAsia"/>
                <w:bCs/>
                <w:color w:val="000000"/>
                <w:sz w:val="24"/>
                <w:szCs w:val="24"/>
                <w:highlight w:val="none"/>
              </w:rPr>
            </w:pPr>
            <w:r>
              <w:rPr>
                <w:rFonts w:hint="eastAsia"/>
                <w:bCs/>
                <w:color w:val="000000"/>
                <w:sz w:val="24"/>
                <w:szCs w:val="24"/>
                <w:highlight w:val="none"/>
              </w:rPr>
              <w:t>售后服务方案分</w:t>
            </w:r>
          </w:p>
          <w:p w14:paraId="7C041FF4">
            <w:pPr>
              <w:spacing w:line="410" w:lineRule="exact"/>
              <w:rPr>
                <w:rFonts w:hint="eastAsia" w:ascii="宋体" w:hAnsi="宋体" w:cs="宋体"/>
                <w:sz w:val="24"/>
                <w:szCs w:val="24"/>
                <w:highlight w:val="none"/>
              </w:rPr>
            </w:pPr>
            <w:r>
              <w:rPr>
                <w:rFonts w:hint="eastAsia"/>
                <w:bCs/>
                <w:color w:val="000000"/>
                <w:sz w:val="24"/>
                <w:szCs w:val="24"/>
                <w:highlight w:val="none"/>
              </w:rPr>
              <w:t>（满分</w:t>
            </w:r>
            <w:r>
              <w:rPr>
                <w:rFonts w:hint="eastAsia"/>
                <w:bCs/>
                <w:color w:val="000000"/>
                <w:sz w:val="24"/>
                <w:szCs w:val="24"/>
                <w:highlight w:val="none"/>
                <w:lang w:val="en-US" w:eastAsia="zh-CN"/>
              </w:rPr>
              <w:t>8</w:t>
            </w:r>
            <w:r>
              <w:rPr>
                <w:rFonts w:hint="eastAsia"/>
                <w:bCs/>
                <w:color w:val="000000"/>
                <w:sz w:val="24"/>
                <w:szCs w:val="24"/>
                <w:highlight w:val="none"/>
              </w:rPr>
              <w:t>分）</w:t>
            </w:r>
          </w:p>
        </w:tc>
        <w:tc>
          <w:tcPr>
            <w:tcW w:w="7070" w:type="dxa"/>
            <w:tcBorders>
              <w:top w:val="single" w:color="auto" w:sz="4" w:space="0"/>
              <w:left w:val="single" w:color="auto" w:sz="4" w:space="0"/>
              <w:right w:val="single" w:color="auto" w:sz="4" w:space="0"/>
            </w:tcBorders>
            <w:vAlign w:val="center"/>
          </w:tcPr>
          <w:p w14:paraId="58292380">
            <w:pPr>
              <w:spacing w:line="380" w:lineRule="exact"/>
              <w:rPr>
                <w:rFonts w:hint="eastAsia" w:ascii="宋体" w:hAnsi="宋体" w:cs="宋体"/>
                <w:sz w:val="24"/>
                <w:szCs w:val="24"/>
                <w:highlight w:val="none"/>
              </w:rPr>
            </w:pPr>
            <w:r>
              <w:rPr>
                <w:rFonts w:hint="eastAsia" w:ascii="宋体" w:hAnsi="宋体" w:cs="宋体"/>
                <w:color w:val="000000"/>
                <w:kern w:val="0"/>
                <w:sz w:val="24"/>
                <w:szCs w:val="24"/>
                <w:highlight w:val="none"/>
                <w:lang w:eastAsia="zh-CN"/>
              </w:rPr>
              <w:t>供应商</w:t>
            </w:r>
            <w:r>
              <w:rPr>
                <w:rFonts w:hint="eastAsia" w:ascii="宋体" w:hAnsi="宋体" w:cs="宋体"/>
                <w:color w:val="000000"/>
                <w:kern w:val="0"/>
                <w:sz w:val="24"/>
                <w:szCs w:val="24"/>
                <w:highlight w:val="none"/>
              </w:rPr>
              <w:t>在</w:t>
            </w:r>
            <w:r>
              <w:rPr>
                <w:rFonts w:hint="eastAsia" w:ascii="宋体" w:hAnsi="宋体" w:cs="宋体"/>
                <w:color w:val="000000"/>
                <w:kern w:val="0"/>
                <w:sz w:val="24"/>
                <w:szCs w:val="24"/>
                <w:highlight w:val="none"/>
                <w:lang w:eastAsia="zh-CN"/>
              </w:rPr>
              <w:t>响应文件</w:t>
            </w:r>
            <w:r>
              <w:rPr>
                <w:rFonts w:hint="eastAsia" w:ascii="宋体" w:hAnsi="宋体" w:cs="宋体"/>
                <w:color w:val="000000"/>
                <w:kern w:val="0"/>
                <w:sz w:val="24"/>
                <w:szCs w:val="24"/>
                <w:highlight w:val="none"/>
              </w:rPr>
              <w:t>提供售后服务方案，详细说明售后服务的内容和形式</w:t>
            </w:r>
            <w:r>
              <w:rPr>
                <w:rFonts w:hint="eastAsia" w:ascii="宋体" w:hAnsi="宋体" w:cs="宋体"/>
                <w:color w:val="000000"/>
                <w:kern w:val="0"/>
                <w:sz w:val="24"/>
                <w:szCs w:val="24"/>
                <w:highlight w:val="none"/>
                <w:lang w:eastAsia="zh-CN"/>
              </w:rPr>
              <w:t>，包含四个内容：</w:t>
            </w:r>
            <w:r>
              <w:rPr>
                <w:rFonts w:hint="eastAsia" w:ascii="宋体" w:hAnsi="宋体" w:cs="宋体"/>
                <w:color w:val="000000"/>
                <w:sz w:val="24"/>
                <w:szCs w:val="24"/>
                <w:highlight w:val="none"/>
              </w:rPr>
              <w:t>人员配备及保障、</w:t>
            </w:r>
            <w:r>
              <w:rPr>
                <w:rFonts w:hint="eastAsia" w:ascii="宋体" w:hAnsi="宋体" w:cs="宋体"/>
                <w:color w:val="000000"/>
                <w:kern w:val="0"/>
                <w:sz w:val="24"/>
                <w:szCs w:val="24"/>
                <w:highlight w:val="none"/>
              </w:rPr>
              <w:t>解决质量或操作问题的响应时间、解决问题时间、售后质量保证承诺。</w:t>
            </w:r>
            <w:r>
              <w:rPr>
                <w:rFonts w:hint="eastAsia" w:ascii="宋体" w:hAnsi="宋体" w:cs="宋体"/>
                <w:color w:val="000000"/>
                <w:sz w:val="24"/>
                <w:szCs w:val="24"/>
                <w:highlight w:val="none"/>
              </w:rPr>
              <w:t>每有1项内容且</w:t>
            </w:r>
            <w:r>
              <w:rPr>
                <w:rFonts w:hint="eastAsia" w:ascii="宋体" w:hAnsi="宋体" w:cs="宋体"/>
                <w:color w:val="000000"/>
                <w:sz w:val="24"/>
                <w:szCs w:val="24"/>
                <w:highlight w:val="none"/>
                <w:lang w:eastAsia="zh-CN"/>
              </w:rPr>
              <w:t>被评审小组认为</w:t>
            </w:r>
            <w:r>
              <w:rPr>
                <w:rFonts w:hint="eastAsia" w:ascii="宋体" w:hAnsi="宋体" w:cs="宋体"/>
                <w:color w:val="000000"/>
                <w:sz w:val="24"/>
                <w:szCs w:val="24"/>
                <w:highlight w:val="none"/>
              </w:rPr>
              <w:t>可行的得</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分，满分</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分。</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7AD1791C">
            <w:pPr>
              <w:spacing w:line="360" w:lineRule="auto"/>
              <w:jc w:val="left"/>
              <w:rPr>
                <w:rFonts w:ascii="宋体" w:hAnsi="宋体" w:cs="宋体"/>
                <w:sz w:val="24"/>
                <w:szCs w:val="24"/>
                <w:highlight w:val="none"/>
              </w:rPr>
            </w:pPr>
            <w:r>
              <w:rPr>
                <w:rFonts w:hint="eastAsia" w:ascii="宋体" w:hAnsi="宋体" w:cs="宋体"/>
                <w:sz w:val="24"/>
                <w:szCs w:val="24"/>
                <w:highlight w:val="none"/>
              </w:rPr>
              <w:t>商务部分（</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c>
          <w:tcPr>
            <w:tcW w:w="2418"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left"/>
              <w:rPr>
                <w:rFonts w:hint="eastAsia" w:ascii="宋体" w:hAnsi="宋体" w:cs="宋体"/>
                <w:sz w:val="24"/>
                <w:szCs w:val="24"/>
                <w:highlight w:val="none"/>
                <w:lang w:eastAsia="zh-CN"/>
              </w:rPr>
            </w:pPr>
            <w:r>
              <w:rPr>
                <w:rFonts w:hint="eastAsia" w:ascii="宋体" w:hAnsi="宋体" w:cs="宋体"/>
                <w:sz w:val="24"/>
                <w:szCs w:val="24"/>
                <w:highlight w:val="none"/>
              </w:rPr>
              <w:t>业绩</w:t>
            </w:r>
            <w:r>
              <w:rPr>
                <w:rFonts w:hint="eastAsia" w:ascii="宋体" w:hAnsi="宋体" w:cs="宋体"/>
                <w:sz w:val="24"/>
                <w:szCs w:val="24"/>
                <w:highlight w:val="none"/>
                <w:lang w:eastAsia="zh-CN"/>
              </w:rPr>
              <w:t>分</w:t>
            </w:r>
          </w:p>
          <w:p w14:paraId="59A5384C">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（满分</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c>
          <w:tcPr>
            <w:tcW w:w="7070" w:type="dxa"/>
            <w:tcBorders>
              <w:top w:val="single" w:color="auto" w:sz="4" w:space="0"/>
              <w:left w:val="single" w:color="auto" w:sz="4" w:space="0"/>
              <w:bottom w:val="single" w:color="auto" w:sz="4" w:space="0"/>
              <w:right w:val="single" w:color="auto" w:sz="4" w:space="0"/>
            </w:tcBorders>
            <w:vAlign w:val="top"/>
          </w:tcPr>
          <w:p w14:paraId="55E7E89D">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年1月1日至响应文件递交截止时间具有同类项目业绩的，每有1项得</w:t>
            </w:r>
            <w:r>
              <w:rPr>
                <w:rFonts w:hint="eastAsia" w:ascii="宋体" w:hAnsi="宋体" w:cs="宋体"/>
                <w:sz w:val="24"/>
                <w:szCs w:val="24"/>
                <w:highlight w:val="none"/>
                <w:lang w:val="en-US" w:eastAsia="zh-CN"/>
              </w:rPr>
              <w:t>1</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分。响应文件中提供合同复印件并加盖供应商公章。</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sz w:val="24"/>
                <w:szCs w:val="24"/>
                <w:highlight w:val="none"/>
              </w:rPr>
            </w:pPr>
            <w:r>
              <w:rPr>
                <w:rFonts w:hint="eastAsia" w:ascii="宋体" w:hAnsi="宋体" w:cs="宋体"/>
                <w:sz w:val="24"/>
                <w:szCs w:val="24"/>
                <w:highlight w:val="none"/>
              </w:rPr>
              <w:t>总分（100分）</w:t>
            </w:r>
          </w:p>
        </w:tc>
      </w:tr>
    </w:tbl>
    <w:p w14:paraId="15DCCE07">
      <w:pPr>
        <w:pStyle w:val="13"/>
        <w:spacing w:line="400" w:lineRule="exact"/>
        <w:rPr>
          <w:rFonts w:hAnsi="宋体"/>
          <w:bCs/>
        </w:rPr>
      </w:pPr>
      <w:r>
        <w:rPr>
          <w:rFonts w:hint="eastAsia" w:hAnsi="宋体"/>
          <w:bCs/>
        </w:rPr>
        <w:t>注：计分方法按四舍五入取至百分位。</w:t>
      </w:r>
    </w:p>
    <w:p w14:paraId="0A4766C1">
      <w:pPr>
        <w:pStyle w:val="13"/>
        <w:spacing w:line="400" w:lineRule="exact"/>
        <w:rPr>
          <w:rFonts w:hAnsi="宋体"/>
          <w:bCs/>
        </w:rPr>
      </w:pPr>
    </w:p>
    <w:p w14:paraId="7D6CF2A2">
      <w:pPr>
        <w:pStyle w:val="3"/>
      </w:pPr>
      <w:r>
        <w:rPr>
          <w:rFonts w:hint="eastAsia"/>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w:t>
      </w:r>
      <w:r>
        <w:rPr>
          <w:rFonts w:hint="eastAsia"/>
          <w:lang w:eastAsia="zh-CN"/>
        </w:rPr>
        <w:t>供应商</w:t>
      </w:r>
      <w:r>
        <w:rPr>
          <w:rFonts w:hint="eastAsia"/>
        </w:rPr>
        <w:t>为排名第一的中标候选人（另有约定的除外）。</w:t>
      </w:r>
    </w:p>
    <w:p w14:paraId="41295E74">
      <w:pPr>
        <w:widowControl/>
        <w:jc w:val="left"/>
        <w:rPr>
          <w:rFonts w:ascii="仿宋" w:hAnsi="仿宋" w:eastAsia="仿宋" w:cs="仿宋"/>
          <w:bCs/>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C47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5"/>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5"/>
                  <w:jc w:val="center"/>
                </w:pPr>
              </w:p>
            </w:txbxContent>
          </v:textbox>
        </v:shape>
      </w:pict>
    </w:r>
    <w:r>
      <w:rPr>
        <w:rFonts w:hint="eastAsia" w:ascii="Times New Roman" w:hAnsi="Times New Roman" w:eastAsia="仿宋_GB2312"/>
        <w:sz w:val="24"/>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5"/>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D9D69"/>
    <w:multiLevelType w:val="singleLevel"/>
    <w:tmpl w:val="3F4D9D6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A31ABB"/>
    <w:rsid w:val="01A63B7F"/>
    <w:rsid w:val="023B042D"/>
    <w:rsid w:val="029307AF"/>
    <w:rsid w:val="029E4497"/>
    <w:rsid w:val="02B04C50"/>
    <w:rsid w:val="02B56978"/>
    <w:rsid w:val="02D2724D"/>
    <w:rsid w:val="02F2197A"/>
    <w:rsid w:val="02FA082F"/>
    <w:rsid w:val="033B2485"/>
    <w:rsid w:val="03593C27"/>
    <w:rsid w:val="03850F0A"/>
    <w:rsid w:val="03D60954"/>
    <w:rsid w:val="03F10EDE"/>
    <w:rsid w:val="03F139E0"/>
    <w:rsid w:val="043307A6"/>
    <w:rsid w:val="04814D63"/>
    <w:rsid w:val="04D255BF"/>
    <w:rsid w:val="04DD7D0E"/>
    <w:rsid w:val="04EF0EBA"/>
    <w:rsid w:val="05146811"/>
    <w:rsid w:val="05177476"/>
    <w:rsid w:val="05483AD3"/>
    <w:rsid w:val="055A7363"/>
    <w:rsid w:val="05692B22"/>
    <w:rsid w:val="057523EE"/>
    <w:rsid w:val="058332BF"/>
    <w:rsid w:val="05E07758"/>
    <w:rsid w:val="06456716"/>
    <w:rsid w:val="067F6A05"/>
    <w:rsid w:val="069A035E"/>
    <w:rsid w:val="06BC6527"/>
    <w:rsid w:val="06BF03B5"/>
    <w:rsid w:val="06C13B3D"/>
    <w:rsid w:val="0780250D"/>
    <w:rsid w:val="07C531B9"/>
    <w:rsid w:val="085B1D6F"/>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662F05"/>
    <w:rsid w:val="0B7A250D"/>
    <w:rsid w:val="0B7A5D95"/>
    <w:rsid w:val="0B815649"/>
    <w:rsid w:val="0BE5207C"/>
    <w:rsid w:val="0C4A6383"/>
    <w:rsid w:val="0C75118B"/>
    <w:rsid w:val="0C7C6B22"/>
    <w:rsid w:val="0C866740"/>
    <w:rsid w:val="0D192328"/>
    <w:rsid w:val="0D742DF1"/>
    <w:rsid w:val="0D811BCF"/>
    <w:rsid w:val="0DB241E0"/>
    <w:rsid w:val="0DEF3C89"/>
    <w:rsid w:val="0E9F5658"/>
    <w:rsid w:val="0EE303C9"/>
    <w:rsid w:val="0F283D96"/>
    <w:rsid w:val="0F8B2784"/>
    <w:rsid w:val="0FC63F72"/>
    <w:rsid w:val="0FF52AA9"/>
    <w:rsid w:val="105351A2"/>
    <w:rsid w:val="105567E3"/>
    <w:rsid w:val="10577F97"/>
    <w:rsid w:val="10991687"/>
    <w:rsid w:val="11252F1A"/>
    <w:rsid w:val="1154173C"/>
    <w:rsid w:val="11847C41"/>
    <w:rsid w:val="11B85B3D"/>
    <w:rsid w:val="11C25632"/>
    <w:rsid w:val="11D96D94"/>
    <w:rsid w:val="120E7E53"/>
    <w:rsid w:val="122B3102"/>
    <w:rsid w:val="125860AD"/>
    <w:rsid w:val="1266498D"/>
    <w:rsid w:val="12705C37"/>
    <w:rsid w:val="12EA61CA"/>
    <w:rsid w:val="12F069E9"/>
    <w:rsid w:val="12F11027"/>
    <w:rsid w:val="13272F7A"/>
    <w:rsid w:val="13754D82"/>
    <w:rsid w:val="138F09C8"/>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AA3169"/>
    <w:rsid w:val="15FF306C"/>
    <w:rsid w:val="162C6AF9"/>
    <w:rsid w:val="17107B4D"/>
    <w:rsid w:val="176463EC"/>
    <w:rsid w:val="1765105F"/>
    <w:rsid w:val="1767428D"/>
    <w:rsid w:val="17C70110"/>
    <w:rsid w:val="17E92EF4"/>
    <w:rsid w:val="180D7890"/>
    <w:rsid w:val="18AE7C99"/>
    <w:rsid w:val="18C261C8"/>
    <w:rsid w:val="19294C0B"/>
    <w:rsid w:val="19A4072D"/>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2916B9"/>
    <w:rsid w:val="2C2D5207"/>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E204FD"/>
    <w:rsid w:val="2FED67F0"/>
    <w:rsid w:val="30EA695A"/>
    <w:rsid w:val="30FD2F75"/>
    <w:rsid w:val="31086BD1"/>
    <w:rsid w:val="315D0ECD"/>
    <w:rsid w:val="318178A1"/>
    <w:rsid w:val="321A1044"/>
    <w:rsid w:val="32425B98"/>
    <w:rsid w:val="32917FB8"/>
    <w:rsid w:val="32FA1C32"/>
    <w:rsid w:val="330427FC"/>
    <w:rsid w:val="341C5D39"/>
    <w:rsid w:val="342B17CD"/>
    <w:rsid w:val="343D58A1"/>
    <w:rsid w:val="3457130E"/>
    <w:rsid w:val="3458152F"/>
    <w:rsid w:val="346516FC"/>
    <w:rsid w:val="348F22D5"/>
    <w:rsid w:val="34A46413"/>
    <w:rsid w:val="34C53F49"/>
    <w:rsid w:val="34E40873"/>
    <w:rsid w:val="353F2D47"/>
    <w:rsid w:val="35CB53A7"/>
    <w:rsid w:val="35FC7E3E"/>
    <w:rsid w:val="361E6007"/>
    <w:rsid w:val="362829E1"/>
    <w:rsid w:val="365437D6"/>
    <w:rsid w:val="36545AE5"/>
    <w:rsid w:val="369B1405"/>
    <w:rsid w:val="36CE5337"/>
    <w:rsid w:val="37060F75"/>
    <w:rsid w:val="37137350"/>
    <w:rsid w:val="37756AB3"/>
    <w:rsid w:val="37764CBD"/>
    <w:rsid w:val="378C30BB"/>
    <w:rsid w:val="37E170D4"/>
    <w:rsid w:val="38174ADA"/>
    <w:rsid w:val="3841400E"/>
    <w:rsid w:val="384B7486"/>
    <w:rsid w:val="389F5BCA"/>
    <w:rsid w:val="394F0490"/>
    <w:rsid w:val="396957EB"/>
    <w:rsid w:val="39DA2245"/>
    <w:rsid w:val="39E9692C"/>
    <w:rsid w:val="3A0073A2"/>
    <w:rsid w:val="3A3C784F"/>
    <w:rsid w:val="3ABC7B9C"/>
    <w:rsid w:val="3AE710BD"/>
    <w:rsid w:val="3B2229CC"/>
    <w:rsid w:val="3B6A75F8"/>
    <w:rsid w:val="3BB571BF"/>
    <w:rsid w:val="3BC56053"/>
    <w:rsid w:val="3BD80A06"/>
    <w:rsid w:val="3BF55114"/>
    <w:rsid w:val="3C30228F"/>
    <w:rsid w:val="3C6957BF"/>
    <w:rsid w:val="3CA50EEA"/>
    <w:rsid w:val="3CF47533"/>
    <w:rsid w:val="3D605157"/>
    <w:rsid w:val="3D6E6BA4"/>
    <w:rsid w:val="3D6F7148"/>
    <w:rsid w:val="3DAD3FBE"/>
    <w:rsid w:val="3DD142BB"/>
    <w:rsid w:val="3E6D7B0C"/>
    <w:rsid w:val="3E950E30"/>
    <w:rsid w:val="3F0B4C4E"/>
    <w:rsid w:val="3F0E7575"/>
    <w:rsid w:val="3F2C7B93"/>
    <w:rsid w:val="3F5E2DF9"/>
    <w:rsid w:val="3F815008"/>
    <w:rsid w:val="3F9D1D4A"/>
    <w:rsid w:val="40147B22"/>
    <w:rsid w:val="408353E4"/>
    <w:rsid w:val="409B1A96"/>
    <w:rsid w:val="415B1B90"/>
    <w:rsid w:val="4168282C"/>
    <w:rsid w:val="41742367"/>
    <w:rsid w:val="41CE6B33"/>
    <w:rsid w:val="41D1217F"/>
    <w:rsid w:val="421D2F00"/>
    <w:rsid w:val="42254279"/>
    <w:rsid w:val="425B0980"/>
    <w:rsid w:val="4283791D"/>
    <w:rsid w:val="42BE5066"/>
    <w:rsid w:val="42F36125"/>
    <w:rsid w:val="43115D2A"/>
    <w:rsid w:val="43394480"/>
    <w:rsid w:val="433D7A78"/>
    <w:rsid w:val="4349216B"/>
    <w:rsid w:val="435757B2"/>
    <w:rsid w:val="438C790B"/>
    <w:rsid w:val="43B64C47"/>
    <w:rsid w:val="43CE2297"/>
    <w:rsid w:val="445D419E"/>
    <w:rsid w:val="446217B4"/>
    <w:rsid w:val="44BF09B5"/>
    <w:rsid w:val="44D97CC8"/>
    <w:rsid w:val="4504461A"/>
    <w:rsid w:val="45D16BF2"/>
    <w:rsid w:val="460D4257"/>
    <w:rsid w:val="463336E0"/>
    <w:rsid w:val="46A240EA"/>
    <w:rsid w:val="46C16C66"/>
    <w:rsid w:val="46D04693"/>
    <w:rsid w:val="478D6A3C"/>
    <w:rsid w:val="47E744AA"/>
    <w:rsid w:val="48086415"/>
    <w:rsid w:val="482336B0"/>
    <w:rsid w:val="482B4558"/>
    <w:rsid w:val="487526CC"/>
    <w:rsid w:val="48B545A9"/>
    <w:rsid w:val="48B84099"/>
    <w:rsid w:val="48F13107"/>
    <w:rsid w:val="49521DF7"/>
    <w:rsid w:val="495F27A1"/>
    <w:rsid w:val="49C34D17"/>
    <w:rsid w:val="49D81443"/>
    <w:rsid w:val="4A805944"/>
    <w:rsid w:val="4A8915B8"/>
    <w:rsid w:val="4A944A26"/>
    <w:rsid w:val="4A995804"/>
    <w:rsid w:val="4AB64F82"/>
    <w:rsid w:val="4AEC627C"/>
    <w:rsid w:val="4AF018C8"/>
    <w:rsid w:val="4B101774"/>
    <w:rsid w:val="4B5C5D43"/>
    <w:rsid w:val="4B975426"/>
    <w:rsid w:val="4BDA4326"/>
    <w:rsid w:val="4C312198"/>
    <w:rsid w:val="4C343A36"/>
    <w:rsid w:val="4C397865"/>
    <w:rsid w:val="4C5C608F"/>
    <w:rsid w:val="4CCC3B4A"/>
    <w:rsid w:val="4CE40F83"/>
    <w:rsid w:val="4D3D4B6D"/>
    <w:rsid w:val="4D622825"/>
    <w:rsid w:val="4D81330C"/>
    <w:rsid w:val="4DAD6D49"/>
    <w:rsid w:val="4DDD4E6D"/>
    <w:rsid w:val="4E2A50F1"/>
    <w:rsid w:val="4E594465"/>
    <w:rsid w:val="4E5B79A0"/>
    <w:rsid w:val="4E93713A"/>
    <w:rsid w:val="4EDD6607"/>
    <w:rsid w:val="4F464194"/>
    <w:rsid w:val="4F510757"/>
    <w:rsid w:val="4F946E6D"/>
    <w:rsid w:val="4FDB37F4"/>
    <w:rsid w:val="50141B8D"/>
    <w:rsid w:val="502649D0"/>
    <w:rsid w:val="502D4D98"/>
    <w:rsid w:val="50940112"/>
    <w:rsid w:val="50B603AB"/>
    <w:rsid w:val="50BC5616"/>
    <w:rsid w:val="50FA67BE"/>
    <w:rsid w:val="511144D8"/>
    <w:rsid w:val="51FF6894"/>
    <w:rsid w:val="5215447D"/>
    <w:rsid w:val="522474FD"/>
    <w:rsid w:val="52956034"/>
    <w:rsid w:val="537E0443"/>
    <w:rsid w:val="53AE0572"/>
    <w:rsid w:val="53C33A31"/>
    <w:rsid w:val="53E72A96"/>
    <w:rsid w:val="545D5AF4"/>
    <w:rsid w:val="54A232F5"/>
    <w:rsid w:val="55844554"/>
    <w:rsid w:val="564C7BCE"/>
    <w:rsid w:val="56633896"/>
    <w:rsid w:val="56A833F9"/>
    <w:rsid w:val="56E542AB"/>
    <w:rsid w:val="575104C8"/>
    <w:rsid w:val="57B554F4"/>
    <w:rsid w:val="57E04A72"/>
    <w:rsid w:val="57FF75EE"/>
    <w:rsid w:val="58354DBE"/>
    <w:rsid w:val="5870229A"/>
    <w:rsid w:val="58715890"/>
    <w:rsid w:val="5987789B"/>
    <w:rsid w:val="59A33A0D"/>
    <w:rsid w:val="59AA4DF7"/>
    <w:rsid w:val="5A0507C0"/>
    <w:rsid w:val="5A43263C"/>
    <w:rsid w:val="5AB77983"/>
    <w:rsid w:val="5ABB5323"/>
    <w:rsid w:val="5B2335F4"/>
    <w:rsid w:val="5B694D7F"/>
    <w:rsid w:val="5B745BFD"/>
    <w:rsid w:val="5B9A4115"/>
    <w:rsid w:val="5B9F1982"/>
    <w:rsid w:val="5BBD57F6"/>
    <w:rsid w:val="5C003935"/>
    <w:rsid w:val="5C1473E0"/>
    <w:rsid w:val="5C3435DF"/>
    <w:rsid w:val="5CB12E81"/>
    <w:rsid w:val="5D0B4EFB"/>
    <w:rsid w:val="5D1C0BD9"/>
    <w:rsid w:val="5D373C4B"/>
    <w:rsid w:val="5D447903"/>
    <w:rsid w:val="5D75771C"/>
    <w:rsid w:val="5D9702C9"/>
    <w:rsid w:val="5DAB1E3A"/>
    <w:rsid w:val="5DD24E5D"/>
    <w:rsid w:val="5E070FAB"/>
    <w:rsid w:val="5E135B5A"/>
    <w:rsid w:val="5E4F4700"/>
    <w:rsid w:val="5E68756F"/>
    <w:rsid w:val="5EA8533D"/>
    <w:rsid w:val="5F805BD9"/>
    <w:rsid w:val="5F8454CE"/>
    <w:rsid w:val="5FC07EA8"/>
    <w:rsid w:val="5FE115EF"/>
    <w:rsid w:val="602216B9"/>
    <w:rsid w:val="60367B2B"/>
    <w:rsid w:val="603F34D8"/>
    <w:rsid w:val="604F14EC"/>
    <w:rsid w:val="60A70B88"/>
    <w:rsid w:val="61090336"/>
    <w:rsid w:val="61181721"/>
    <w:rsid w:val="61500960"/>
    <w:rsid w:val="618621F4"/>
    <w:rsid w:val="61B722C3"/>
    <w:rsid w:val="61D01DD2"/>
    <w:rsid w:val="62046A6B"/>
    <w:rsid w:val="62257D7B"/>
    <w:rsid w:val="627604AD"/>
    <w:rsid w:val="627B4EDA"/>
    <w:rsid w:val="62886CB8"/>
    <w:rsid w:val="629923ED"/>
    <w:rsid w:val="62B64D4D"/>
    <w:rsid w:val="62BC60DF"/>
    <w:rsid w:val="62C2643F"/>
    <w:rsid w:val="631A4D27"/>
    <w:rsid w:val="631D6B7A"/>
    <w:rsid w:val="634E142A"/>
    <w:rsid w:val="636C2D76"/>
    <w:rsid w:val="63DA020D"/>
    <w:rsid w:val="63E105CA"/>
    <w:rsid w:val="64077B7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32293D"/>
    <w:rsid w:val="6686173D"/>
    <w:rsid w:val="669E7FD2"/>
    <w:rsid w:val="66D11982"/>
    <w:rsid w:val="66EA3218"/>
    <w:rsid w:val="67386806"/>
    <w:rsid w:val="675D094C"/>
    <w:rsid w:val="6776587D"/>
    <w:rsid w:val="678F223E"/>
    <w:rsid w:val="67B61CC7"/>
    <w:rsid w:val="68142FE1"/>
    <w:rsid w:val="68792AA5"/>
    <w:rsid w:val="68B91D73"/>
    <w:rsid w:val="690B4321"/>
    <w:rsid w:val="692D388F"/>
    <w:rsid w:val="69961435"/>
    <w:rsid w:val="699A7177"/>
    <w:rsid w:val="69AD6A82"/>
    <w:rsid w:val="6A162A44"/>
    <w:rsid w:val="6A243D68"/>
    <w:rsid w:val="6A455DFD"/>
    <w:rsid w:val="6A48378D"/>
    <w:rsid w:val="6A8219B9"/>
    <w:rsid w:val="6AFF300A"/>
    <w:rsid w:val="6B091F05"/>
    <w:rsid w:val="6B1A1459"/>
    <w:rsid w:val="6B39435F"/>
    <w:rsid w:val="6B87372B"/>
    <w:rsid w:val="6BB81B36"/>
    <w:rsid w:val="6BD7028F"/>
    <w:rsid w:val="6BF80717"/>
    <w:rsid w:val="6BF85B87"/>
    <w:rsid w:val="6C1D55C6"/>
    <w:rsid w:val="6C6E4D5C"/>
    <w:rsid w:val="6C8D2FC3"/>
    <w:rsid w:val="6C9652DB"/>
    <w:rsid w:val="6CCC5F78"/>
    <w:rsid w:val="6CF71342"/>
    <w:rsid w:val="6D26555E"/>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22001CA"/>
    <w:rsid w:val="724C2FD8"/>
    <w:rsid w:val="7251239D"/>
    <w:rsid w:val="729C4BB7"/>
    <w:rsid w:val="73921146"/>
    <w:rsid w:val="73DB4E1F"/>
    <w:rsid w:val="740B13C3"/>
    <w:rsid w:val="743B50B2"/>
    <w:rsid w:val="7443371B"/>
    <w:rsid w:val="745C422F"/>
    <w:rsid w:val="74A751D7"/>
    <w:rsid w:val="74A83D3F"/>
    <w:rsid w:val="74AE1D28"/>
    <w:rsid w:val="74B9039C"/>
    <w:rsid w:val="75497CA3"/>
    <w:rsid w:val="75705230"/>
    <w:rsid w:val="757575F0"/>
    <w:rsid w:val="757C43AA"/>
    <w:rsid w:val="75B66837"/>
    <w:rsid w:val="761A7171"/>
    <w:rsid w:val="762F4835"/>
    <w:rsid w:val="763D3A86"/>
    <w:rsid w:val="76780840"/>
    <w:rsid w:val="767F254D"/>
    <w:rsid w:val="76954F28"/>
    <w:rsid w:val="76E210CD"/>
    <w:rsid w:val="770519A8"/>
    <w:rsid w:val="770E2F52"/>
    <w:rsid w:val="771C1E27"/>
    <w:rsid w:val="77333B9D"/>
    <w:rsid w:val="777059BB"/>
    <w:rsid w:val="77737AF1"/>
    <w:rsid w:val="77923326"/>
    <w:rsid w:val="77F35E7A"/>
    <w:rsid w:val="781A3F3B"/>
    <w:rsid w:val="7863107C"/>
    <w:rsid w:val="78B418D7"/>
    <w:rsid w:val="78C132E5"/>
    <w:rsid w:val="792E7917"/>
    <w:rsid w:val="793F363C"/>
    <w:rsid w:val="797252E7"/>
    <w:rsid w:val="79731FBB"/>
    <w:rsid w:val="79A90D10"/>
    <w:rsid w:val="79B86B21"/>
    <w:rsid w:val="79C46A79"/>
    <w:rsid w:val="79EC1FD7"/>
    <w:rsid w:val="7A2B12FD"/>
    <w:rsid w:val="7A644B7F"/>
    <w:rsid w:val="7AF0727B"/>
    <w:rsid w:val="7AFD1314"/>
    <w:rsid w:val="7B900A0A"/>
    <w:rsid w:val="7BC41E31"/>
    <w:rsid w:val="7C0526B8"/>
    <w:rsid w:val="7C617072"/>
    <w:rsid w:val="7CE5463C"/>
    <w:rsid w:val="7CFE5817"/>
    <w:rsid w:val="7D0C5A4B"/>
    <w:rsid w:val="7D2124A7"/>
    <w:rsid w:val="7D627B54"/>
    <w:rsid w:val="7D6A4C5A"/>
    <w:rsid w:val="7D6F41A2"/>
    <w:rsid w:val="7D7653AD"/>
    <w:rsid w:val="7DC52EA5"/>
    <w:rsid w:val="7DF02012"/>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3">
    <w:name w:val="heading 3"/>
    <w:basedOn w:val="1"/>
    <w:autoRedefine/>
    <w:qFormat/>
    <w:uiPriority w:val="0"/>
    <w:pPr>
      <w:spacing w:line="413" w:lineRule="auto"/>
      <w:ind w:firstLine="480" w:firstLineChars="200"/>
      <w:jc w:val="left"/>
      <w:outlineLvl w:val="2"/>
    </w:pPr>
    <w:rPr>
      <w:bCs/>
      <w:sz w:val="24"/>
      <w:szCs w:val="24"/>
    </w:rPr>
  </w:style>
  <w:style w:type="paragraph" w:styleId="4">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5">
    <w:name w:val="heading 5"/>
    <w:basedOn w:val="1"/>
    <w:autoRedefine/>
    <w:qFormat/>
    <w:uiPriority w:val="0"/>
    <w:pPr>
      <w:keepNext/>
      <w:keepLines/>
      <w:spacing w:line="372" w:lineRule="auto"/>
      <w:outlineLvl w:val="4"/>
    </w:pPr>
    <w:rPr>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Normal Indent"/>
    <w:basedOn w:val="1"/>
    <w:next w:val="1"/>
    <w:qFormat/>
    <w:uiPriority w:val="0"/>
    <w:pPr>
      <w:ind w:firstLine="420"/>
    </w:pPr>
    <w:rPr>
      <w:szCs w:val="20"/>
    </w:rPr>
  </w:style>
  <w:style w:type="paragraph" w:styleId="8">
    <w:name w:val="annotation text"/>
    <w:basedOn w:val="1"/>
    <w:link w:val="31"/>
    <w:autoRedefine/>
    <w:qFormat/>
    <w:uiPriority w:val="0"/>
    <w:pPr>
      <w:jc w:val="left"/>
    </w:pPr>
  </w:style>
  <w:style w:type="paragraph" w:styleId="9">
    <w:name w:val="Body Text"/>
    <w:basedOn w:val="1"/>
    <w:next w:val="10"/>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0">
    <w:name w:val="Body Text Indent"/>
    <w:basedOn w:val="1"/>
    <w:link w:val="36"/>
    <w:autoRedefine/>
    <w:qFormat/>
    <w:uiPriority w:val="0"/>
    <w:pPr>
      <w:ind w:firstLine="830" w:firstLineChars="352"/>
    </w:pPr>
    <w:rPr>
      <w:rFonts w:ascii="仿宋_GB2312" w:eastAsia="仿宋_GB2312"/>
      <w:kern w:val="0"/>
      <w:sz w:val="32"/>
      <w:szCs w:val="20"/>
    </w:rPr>
  </w:style>
  <w:style w:type="paragraph" w:styleId="11">
    <w:name w:val="toc 5"/>
    <w:basedOn w:val="1"/>
    <w:autoRedefine/>
    <w:qFormat/>
    <w:uiPriority w:val="0"/>
    <w:pPr>
      <w:tabs>
        <w:tab w:val="right" w:leader="dot" w:pos="8296"/>
      </w:tabs>
      <w:ind w:left="1050" w:leftChars="500"/>
    </w:pPr>
  </w:style>
  <w:style w:type="paragraph" w:styleId="12">
    <w:name w:val="toc 3"/>
    <w:basedOn w:val="1"/>
    <w:autoRedefine/>
    <w:qFormat/>
    <w:uiPriority w:val="0"/>
    <w:pPr>
      <w:ind w:left="840" w:leftChars="400"/>
    </w:pPr>
  </w:style>
  <w:style w:type="paragraph" w:styleId="13">
    <w:name w:val="Plain Text"/>
    <w:basedOn w:val="1"/>
    <w:link w:val="39"/>
    <w:autoRedefine/>
    <w:qFormat/>
    <w:uiPriority w:val="99"/>
    <w:rPr>
      <w:rFonts w:ascii="宋体" w:hAnsi="Courier New" w:cs="Courier New"/>
      <w:szCs w:val="21"/>
    </w:rPr>
  </w:style>
  <w:style w:type="paragraph" w:styleId="14">
    <w:name w:val="Balloon Text"/>
    <w:basedOn w:val="1"/>
    <w:link w:val="33"/>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4"/>
    <w:basedOn w:val="1"/>
    <w:autoRedefine/>
    <w:qFormat/>
    <w:uiPriority w:val="0"/>
    <w:pPr>
      <w:tabs>
        <w:tab w:val="left" w:pos="1890"/>
        <w:tab w:val="right" w:leader="dot" w:pos="8296"/>
      </w:tabs>
      <w:ind w:left="630" w:leftChars="3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annotation subject"/>
    <w:basedOn w:val="8"/>
    <w:link w:val="32"/>
    <w:autoRedefine/>
    <w:qFormat/>
    <w:uiPriority w:val="0"/>
    <w:rPr>
      <w:b/>
      <w:bCs/>
    </w:rPr>
  </w:style>
  <w:style w:type="paragraph" w:styleId="20">
    <w:name w:val="Body Text First Indent 2"/>
    <w:basedOn w:val="10"/>
    <w:link w:val="37"/>
    <w:autoRedefine/>
    <w:qFormat/>
    <w:uiPriority w:val="0"/>
    <w:pPr>
      <w:spacing w:after="120"/>
      <w:ind w:left="420" w:leftChars="200" w:firstLine="210" w:firstLineChars="200"/>
    </w:pPr>
    <w:rPr>
      <w:rFonts w:ascii="宋体" w:hAnsi="宋体"/>
      <w:kern w:val="2"/>
      <w:sz w:val="28"/>
    </w:rPr>
  </w:style>
  <w:style w:type="character" w:styleId="23">
    <w:name w:val="Strong"/>
    <w:basedOn w:val="22"/>
    <w:qFormat/>
    <w:uiPriority w:val="99"/>
    <w:rPr>
      <w:b/>
    </w:rPr>
  </w:style>
  <w:style w:type="character" w:styleId="24">
    <w:name w:val="Hyperlink"/>
    <w:qFormat/>
    <w:uiPriority w:val="0"/>
    <w:rPr>
      <w:rFonts w:cs="Times New Roman"/>
      <w:color w:val="0000FF"/>
      <w:u w:val="single"/>
    </w:rPr>
  </w:style>
  <w:style w:type="character" w:styleId="25">
    <w:name w:val="annotation reference"/>
    <w:basedOn w:val="22"/>
    <w:qFormat/>
    <w:uiPriority w:val="0"/>
    <w:rPr>
      <w:sz w:val="21"/>
      <w:szCs w:val="21"/>
    </w:rPr>
  </w:style>
  <w:style w:type="paragraph" w:customStyle="1" w:styleId="26">
    <w:name w:val="正文1"/>
    <w:qFormat/>
    <w:uiPriority w:val="0"/>
    <w:rPr>
      <w:rFonts w:ascii="Times New Roman" w:hAnsi="Times New Roman" w:eastAsia="Times New Roman" w:cs="Times New Roman"/>
      <w:sz w:val="24"/>
      <w:szCs w:val="24"/>
      <w:lang w:val="en-US" w:eastAsia="zh-CN" w:bidi="ar-SA"/>
    </w:rPr>
  </w:style>
  <w:style w:type="paragraph" w:customStyle="1" w:styleId="27">
    <w:name w:val="Div_MsoNormal ParagraphIndent"/>
    <w:basedOn w:val="26"/>
    <w:qFormat/>
    <w:uiPriority w:val="0"/>
    <w:rPr>
      <w:rFonts w:ascii="宋体" w:hAnsi="宋体" w:eastAsia="宋体" w:cs="宋体"/>
      <w:sz w:val="21"/>
    </w:rPr>
  </w:style>
  <w:style w:type="paragraph" w:customStyle="1" w:styleId="28">
    <w:name w:val="Div_MsoNormal  ParagraphIndent"/>
    <w:basedOn w:val="26"/>
    <w:qFormat/>
    <w:uiPriority w:val="0"/>
    <w:rPr>
      <w:rFonts w:ascii="宋体" w:hAnsi="宋体" w:eastAsia="宋体" w:cs="宋体"/>
      <w:sz w:val="21"/>
    </w:rPr>
  </w:style>
  <w:style w:type="paragraph" w:customStyle="1" w:styleId="29">
    <w:name w:val="_Style 6"/>
    <w:basedOn w:val="2"/>
    <w:autoRedefine/>
    <w:qFormat/>
    <w:uiPriority w:val="0"/>
    <w:pPr>
      <w:outlineLvl w:val="9"/>
    </w:pPr>
  </w:style>
  <w:style w:type="paragraph" w:customStyle="1" w:styleId="30">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1">
    <w:name w:val="批注文字 Char"/>
    <w:basedOn w:val="22"/>
    <w:link w:val="8"/>
    <w:qFormat/>
    <w:uiPriority w:val="0"/>
    <w:rPr>
      <w:rFonts w:ascii="Calibri" w:hAnsi="Calibri"/>
      <w:kern w:val="2"/>
      <w:sz w:val="21"/>
      <w:szCs w:val="22"/>
    </w:rPr>
  </w:style>
  <w:style w:type="character" w:customStyle="1" w:styleId="32">
    <w:name w:val="批注主题 Char"/>
    <w:basedOn w:val="31"/>
    <w:link w:val="19"/>
    <w:qFormat/>
    <w:uiPriority w:val="0"/>
    <w:rPr>
      <w:rFonts w:ascii="Calibri" w:hAnsi="Calibri"/>
      <w:kern w:val="2"/>
      <w:sz w:val="21"/>
      <w:szCs w:val="22"/>
    </w:rPr>
  </w:style>
  <w:style w:type="character" w:customStyle="1" w:styleId="33">
    <w:name w:val="批注框文本 Char"/>
    <w:basedOn w:val="22"/>
    <w:link w:val="14"/>
    <w:qFormat/>
    <w:uiPriority w:val="0"/>
    <w:rPr>
      <w:rFonts w:ascii="Calibri" w:hAnsi="Calibri"/>
      <w:kern w:val="2"/>
      <w:sz w:val="18"/>
      <w:szCs w:val="18"/>
    </w:rPr>
  </w:style>
  <w:style w:type="paragraph" w:styleId="34">
    <w:name w:val="List Paragraph"/>
    <w:basedOn w:val="1"/>
    <w:unhideWhenUsed/>
    <w:qFormat/>
    <w:uiPriority w:val="99"/>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正文文本缩进 Char"/>
    <w:basedOn w:val="22"/>
    <w:link w:val="10"/>
    <w:qFormat/>
    <w:uiPriority w:val="0"/>
    <w:rPr>
      <w:rFonts w:hint="default" w:ascii="Calibri" w:hAnsi="Calibri" w:cs="Calibri"/>
      <w:kern w:val="2"/>
      <w:sz w:val="21"/>
      <w:szCs w:val="22"/>
    </w:rPr>
  </w:style>
  <w:style w:type="character" w:customStyle="1" w:styleId="37">
    <w:name w:val="正文首行缩进 2 Char"/>
    <w:basedOn w:val="36"/>
    <w:link w:val="20"/>
    <w:qFormat/>
    <w:uiPriority w:val="0"/>
    <w:rPr>
      <w:rFonts w:hint="default" w:ascii="Calibri" w:hAnsi="Calibri" w:cs="Calibri"/>
      <w:kern w:val="2"/>
      <w:sz w:val="21"/>
      <w:szCs w:val="22"/>
    </w:rPr>
  </w:style>
  <w:style w:type="paragraph" w:customStyle="1" w:styleId="38">
    <w:name w:val="_Style 1"/>
    <w:basedOn w:val="1"/>
    <w:qFormat/>
    <w:uiPriority w:val="99"/>
    <w:pPr>
      <w:ind w:firstLine="420" w:firstLineChars="200"/>
    </w:pPr>
    <w:rPr>
      <w:rFonts w:ascii="Times New Roman" w:hAnsi="Times New Roman"/>
      <w:szCs w:val="20"/>
    </w:rPr>
  </w:style>
  <w:style w:type="character" w:customStyle="1" w:styleId="39">
    <w:name w:val="纯文本 Char"/>
    <w:link w:val="13"/>
    <w:qFormat/>
    <w:uiPriority w:val="99"/>
    <w:rPr>
      <w:rFonts w:ascii="宋体" w:hAnsi="Courier New" w:cs="Courier New"/>
      <w:kern w:val="2"/>
      <w:sz w:val="21"/>
      <w:szCs w:val="21"/>
    </w:rPr>
  </w:style>
  <w:style w:type="character" w:customStyle="1" w:styleId="40">
    <w:name w:val="font71"/>
    <w:basedOn w:val="22"/>
    <w:qFormat/>
    <w:uiPriority w:val="0"/>
    <w:rPr>
      <w:rFonts w:hint="eastAsia" w:ascii="宋体" w:hAnsi="宋体" w:eastAsia="宋体" w:cs="宋体"/>
      <w:color w:val="000000"/>
      <w:sz w:val="24"/>
      <w:szCs w:val="24"/>
      <w:u w:val="none"/>
    </w:rPr>
  </w:style>
  <w:style w:type="paragraph" w:customStyle="1" w:styleId="41">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2">
    <w:name w:val="font1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2307</Words>
  <Characters>2476</Characters>
  <Lines>29</Lines>
  <Paragraphs>8</Paragraphs>
  <TotalTime>1</TotalTime>
  <ScaleCrop>false</ScaleCrop>
  <LinksUpToDate>false</LinksUpToDate>
  <CharactersWithSpaces>2631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2025-09-24T02:29:31Z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