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7328">
      <w:pPr>
        <w:spacing w:before="156" w:beforeLines="50" w:line="360" w:lineRule="auto"/>
        <w:ind w:firstLine="560" w:firstLineChars="100"/>
        <w:jc w:val="both"/>
        <w:rPr>
          <w:rFonts w:hint="eastAsia" w:asciiTheme="minorEastAsia" w:hAnsiTheme="minorEastAsia" w:eastAsiaTheme="minorEastAsia" w:cstheme="minorEastAsia"/>
          <w:sz w:val="56"/>
          <w:szCs w:val="56"/>
          <w:lang w:val="en-US" w:eastAsia="zh-CN"/>
        </w:rPr>
      </w:pPr>
    </w:p>
    <w:p w14:paraId="0B1A3139">
      <w:pPr>
        <w:spacing w:before="156" w:beforeLines="50" w:line="360" w:lineRule="auto"/>
        <w:ind w:firstLine="560" w:firstLineChars="100"/>
        <w:jc w:val="both"/>
        <w:rPr>
          <w:rFonts w:hint="eastAsia" w:asciiTheme="minorEastAsia" w:hAnsiTheme="minorEastAsia" w:eastAsiaTheme="minorEastAsia" w:cstheme="minorEastAsia"/>
          <w:sz w:val="56"/>
          <w:szCs w:val="56"/>
          <w:lang w:val="en-US" w:eastAsia="zh-CN"/>
        </w:rPr>
      </w:pPr>
    </w:p>
    <w:p w14:paraId="240682F0">
      <w:pPr>
        <w:spacing w:before="156" w:beforeLines="50" w:line="360" w:lineRule="auto"/>
        <w:ind w:firstLine="2240" w:firstLineChars="400"/>
        <w:jc w:val="both"/>
        <w:rPr>
          <w:rFonts w:hint="eastAsia" w:asciiTheme="minorEastAsia" w:hAnsiTheme="minorEastAsia" w:eastAsiaTheme="minorEastAsia" w:cstheme="minorEastAsia"/>
          <w:sz w:val="56"/>
          <w:szCs w:val="56"/>
          <w:lang w:val="en-US" w:eastAsia="zh-CN"/>
        </w:rPr>
      </w:pPr>
      <w:r>
        <w:rPr>
          <w:rFonts w:hint="eastAsia" w:asciiTheme="minorEastAsia" w:hAnsiTheme="minorEastAsia" w:eastAsiaTheme="minorEastAsia" w:cstheme="minorEastAsia"/>
          <w:sz w:val="56"/>
          <w:szCs w:val="56"/>
          <w:lang w:val="en-US" w:eastAsia="zh-CN"/>
        </w:rPr>
        <w:t>广西医科大学第一附属医院</w:t>
      </w:r>
    </w:p>
    <w:p w14:paraId="51347274">
      <w:pPr>
        <w:spacing w:before="312" w:beforeLines="100" w:after="156" w:afterLines="50" w:line="600" w:lineRule="exact"/>
        <w:jc w:val="both"/>
        <w:rPr>
          <w:rFonts w:hint="eastAsia" w:asciiTheme="minorEastAsia" w:hAnsiTheme="minorEastAsia" w:eastAsiaTheme="minorEastAsia" w:cstheme="minorEastAsia"/>
          <w:b/>
          <w:sz w:val="44"/>
          <w:szCs w:val="44"/>
        </w:rPr>
      </w:pPr>
    </w:p>
    <w:p w14:paraId="6FAB6E7B">
      <w:pPr>
        <w:spacing w:before="312" w:beforeLines="100" w:after="156" w:afterLines="50" w:line="600" w:lineRule="exact"/>
        <w:jc w:val="center"/>
        <w:rPr>
          <w:rFonts w:hint="eastAsia" w:asciiTheme="minorEastAsia" w:hAnsiTheme="minorEastAsia" w:eastAsiaTheme="minorEastAsia" w:cstheme="minorEastAsia"/>
          <w:b/>
          <w:sz w:val="44"/>
          <w:szCs w:val="44"/>
        </w:rPr>
      </w:pPr>
    </w:p>
    <w:p w14:paraId="12AF926E">
      <w:pPr>
        <w:snapToGrid w:val="0"/>
        <w:spacing w:before="156" w:beforeLines="50" w:line="360" w:lineRule="auto"/>
        <w:jc w:val="center"/>
        <w:rPr>
          <w:rFonts w:hint="eastAsia" w:asciiTheme="minorEastAsia" w:hAnsiTheme="minorEastAsia" w:eastAsiaTheme="minorEastAsia" w:cstheme="minorEastAsia"/>
          <w:sz w:val="60"/>
          <w:szCs w:val="60"/>
          <w:lang w:val="en-US" w:eastAsia="zh-CN"/>
        </w:rPr>
      </w:pPr>
      <w:r>
        <w:rPr>
          <w:rFonts w:hint="eastAsia" w:asciiTheme="minorEastAsia" w:hAnsiTheme="minorEastAsia" w:eastAsiaTheme="minorEastAsia" w:cstheme="minorEastAsia"/>
          <w:sz w:val="60"/>
          <w:szCs w:val="60"/>
          <w:lang w:val="en-US" w:eastAsia="zh-CN"/>
        </w:rPr>
        <w:t>电子卖场-在线询价</w:t>
      </w:r>
    </w:p>
    <w:p w14:paraId="59B9B9C6">
      <w:pPr>
        <w:snapToGrid w:val="0"/>
        <w:spacing w:before="156" w:beforeLines="50"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60"/>
          <w:szCs w:val="60"/>
          <w:lang w:val="en-US" w:eastAsia="zh-CN"/>
        </w:rPr>
        <w:t>采购</w:t>
      </w:r>
      <w:r>
        <w:rPr>
          <w:rFonts w:hint="eastAsia" w:asciiTheme="minorEastAsia" w:hAnsiTheme="minorEastAsia" w:eastAsiaTheme="minorEastAsia" w:cstheme="minorEastAsia"/>
          <w:sz w:val="60"/>
          <w:szCs w:val="60"/>
        </w:rPr>
        <w:t>文件</w:t>
      </w:r>
    </w:p>
    <w:p w14:paraId="4C464C67">
      <w:pPr>
        <w:pStyle w:val="8"/>
        <w:snapToGrid w:val="0"/>
        <w:spacing w:before="50" w:after="120" w:line="360" w:lineRule="auto"/>
        <w:ind w:firstLine="1272" w:firstLineChars="396"/>
        <w:jc w:val="both"/>
        <w:rPr>
          <w:rFonts w:hint="eastAsia" w:asciiTheme="minorEastAsia" w:hAnsiTheme="minorEastAsia" w:eastAsiaTheme="minorEastAsia" w:cstheme="minorEastAsia"/>
          <w:b/>
          <w:bCs/>
          <w:sz w:val="32"/>
          <w:szCs w:val="32"/>
        </w:rPr>
      </w:pPr>
    </w:p>
    <w:p w14:paraId="481B28EC">
      <w:pPr>
        <w:pStyle w:val="8"/>
        <w:snapToGrid w:val="0"/>
        <w:spacing w:before="50" w:after="120" w:line="360" w:lineRule="auto"/>
        <w:ind w:firstLine="2570" w:firstLineChars="800"/>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w:t>
      </w:r>
      <w:r>
        <w:rPr>
          <w:rFonts w:hint="eastAsia" w:asciiTheme="minorEastAsia" w:hAnsiTheme="minorEastAsia" w:eastAsiaTheme="minorEastAsia" w:cstheme="minorEastAsia"/>
          <w:b/>
          <w:bCs/>
          <w:w w:val="95"/>
          <w:sz w:val="32"/>
          <w:szCs w:val="32"/>
        </w:rPr>
        <w:t>名称</w:t>
      </w:r>
      <w:r>
        <w:rPr>
          <w:rFonts w:hint="eastAsia" w:asciiTheme="minorEastAsia" w:hAnsiTheme="minorEastAsia" w:eastAsiaTheme="minorEastAsia" w:cstheme="minorEastAsia"/>
          <w:b/>
          <w:bCs/>
          <w:sz w:val="32"/>
          <w:szCs w:val="32"/>
        </w:rPr>
        <w:t>：1G互联网静态IP专线宽带采购</w:t>
      </w:r>
    </w:p>
    <w:p w14:paraId="3E15ED52">
      <w:pPr>
        <w:snapToGrid w:val="0"/>
        <w:spacing w:before="156" w:beforeLines="50" w:line="360" w:lineRule="auto"/>
        <w:ind w:firstLine="2570" w:firstLineChars="800"/>
        <w:jc w:val="both"/>
        <w:rPr>
          <w:rFonts w:hint="default" w:asciiTheme="minorEastAsia" w:hAnsiTheme="minorEastAsia" w:eastAsiaTheme="minorEastAsia" w:cstheme="minorEastAsia"/>
          <w:sz w:val="32"/>
          <w:szCs w:val="96"/>
          <w:lang w:val="en-US" w:eastAsia="zh-CN"/>
        </w:rPr>
      </w:pPr>
      <w:r>
        <w:rPr>
          <w:rFonts w:hint="eastAsia" w:asciiTheme="minorEastAsia" w:hAnsiTheme="minorEastAsia" w:eastAsiaTheme="minorEastAsia" w:cstheme="minorEastAsia"/>
          <w:b/>
          <w:bCs/>
          <w:sz w:val="32"/>
          <w:szCs w:val="32"/>
        </w:rPr>
        <w:t>项</w:t>
      </w:r>
      <w:r>
        <w:rPr>
          <w:rFonts w:hint="eastAsia" w:asciiTheme="minorEastAsia" w:hAnsiTheme="minorEastAsia" w:eastAsiaTheme="minorEastAsia" w:cstheme="minorEastAsia"/>
          <w:b/>
          <w:bCs/>
          <w:w w:val="95"/>
          <w:sz w:val="32"/>
          <w:szCs w:val="32"/>
        </w:rPr>
        <w:t>目</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w w:val="95"/>
          <w:sz w:val="32"/>
          <w:szCs w:val="32"/>
        </w:rPr>
        <w:t>：</w:t>
      </w:r>
      <w:r>
        <w:rPr>
          <w:rFonts w:hint="eastAsia" w:asciiTheme="minorEastAsia" w:hAnsiTheme="minorEastAsia" w:eastAsiaTheme="minorEastAsia" w:cstheme="minorEastAsia"/>
          <w:b/>
          <w:bCs/>
          <w:w w:val="95"/>
          <w:sz w:val="32"/>
          <w:szCs w:val="32"/>
          <w:lang w:val="en-US" w:eastAsia="zh-CN"/>
        </w:rPr>
        <w:t>XM2025057</w:t>
      </w:r>
    </w:p>
    <w:p w14:paraId="221F9F55"/>
    <w:p w14:paraId="5BC7278D"/>
    <w:p w14:paraId="0E23DDF1"/>
    <w:p w14:paraId="4977EEA9"/>
    <w:p w14:paraId="7F83E498"/>
    <w:p w14:paraId="3A5C3739"/>
    <w:p w14:paraId="37888BBC"/>
    <w:p w14:paraId="5BF0AF9D"/>
    <w:p w14:paraId="1D4BED8D"/>
    <w:p w14:paraId="304A2177"/>
    <w:p w14:paraId="735ADB75"/>
    <w:p w14:paraId="5716BE81"/>
    <w:sdt>
      <w:sdtPr>
        <w:rPr>
          <w:rFonts w:ascii="宋体" w:hAnsi="宋体" w:eastAsia="宋体" w:cs="Times New Roman"/>
          <w:sz w:val="21"/>
          <w:szCs w:val="22"/>
          <w:lang w:val="en-US" w:eastAsia="zh-CN" w:bidi="ar-SA"/>
        </w:rPr>
        <w:id w:val="147457396"/>
        <w15:color w:val="DBDBDB"/>
        <w:docPartObj>
          <w:docPartGallery w:val="Table of Contents"/>
          <w:docPartUnique/>
        </w:docPartObj>
      </w:sdtPr>
      <w:sdtEndPr>
        <w:rPr>
          <w:rFonts w:ascii="宋体" w:hAnsi="宋体" w:eastAsia="宋体" w:cs="Times New Roman"/>
          <w:sz w:val="22"/>
          <w:szCs w:val="22"/>
          <w:lang w:val="en-US" w:eastAsia="zh-CN" w:bidi="ar-SA"/>
        </w:rPr>
      </w:sdtEndPr>
      <w:sdtContent>
        <w:p w14:paraId="5A74DC4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CCB6CF9">
          <w:pPr>
            <w:pStyle w:val="11"/>
            <w:tabs>
              <w:tab w:val="right" w:leader="dot" w:pos="10658"/>
            </w:tabs>
          </w:pPr>
          <w:r>
            <w:rPr>
              <w:rFonts w:ascii="宋体" w:hAnsi="宋体" w:eastAsia="宋体" w:cs="Times New Roman"/>
              <w:sz w:val="21"/>
              <w:szCs w:val="22"/>
              <w:lang w:val="en-US" w:eastAsia="zh-CN" w:bidi="ar-SA"/>
            </w:rPr>
            <w:fldChar w:fldCharType="begin"/>
          </w:r>
          <w:r>
            <w:rPr>
              <w:rFonts w:ascii="宋体" w:hAnsi="宋体" w:eastAsia="宋体" w:cs="Times New Roman"/>
              <w:sz w:val="21"/>
              <w:szCs w:val="22"/>
              <w:lang w:val="en-US" w:eastAsia="zh-CN" w:bidi="ar-SA"/>
            </w:rPr>
            <w:instrText xml:space="preserve">TOC \o "1-1" \h \u </w:instrText>
          </w:r>
          <w:r>
            <w:rPr>
              <w:rFonts w:ascii="宋体" w:hAnsi="宋体" w:eastAsia="宋体" w:cs="Times New Roman"/>
              <w:sz w:val="21"/>
              <w:szCs w:val="22"/>
              <w:lang w:val="en-US" w:eastAsia="zh-CN" w:bidi="ar-SA"/>
            </w:rPr>
            <w:fldChar w:fldCharType="separate"/>
          </w:r>
          <w:r>
            <w:rPr>
              <w:rFonts w:ascii="宋体" w:hAnsi="宋体" w:eastAsia="宋体" w:cs="Times New Roman"/>
              <w:szCs w:val="22"/>
              <w:lang w:val="en-US" w:eastAsia="zh-CN" w:bidi="ar-SA"/>
            </w:rPr>
            <w:fldChar w:fldCharType="begin"/>
          </w:r>
          <w:r>
            <w:rPr>
              <w:rFonts w:ascii="宋体" w:hAnsi="宋体" w:eastAsia="宋体" w:cs="Times New Roman"/>
              <w:szCs w:val="22"/>
              <w:lang w:val="en-US" w:eastAsia="zh-CN" w:bidi="ar-SA"/>
            </w:rPr>
            <w:instrText xml:space="preserve"> HYPERLINK \l _Toc13764 </w:instrText>
          </w:r>
          <w:r>
            <w:rPr>
              <w:rFonts w:ascii="宋体" w:hAnsi="宋体" w:eastAsia="宋体" w:cs="Times New Roman"/>
              <w:szCs w:val="22"/>
              <w:lang w:val="en-US" w:eastAsia="zh-CN" w:bidi="ar-SA"/>
            </w:rPr>
            <w:fldChar w:fldCharType="separate"/>
          </w:r>
          <w:r>
            <w:rPr>
              <w:rFonts w:hint="eastAsia"/>
              <w:lang w:val="en-US" w:eastAsia="zh-CN"/>
            </w:rPr>
            <w:t>第一章 采购需求</w:t>
          </w:r>
          <w:r>
            <w:tab/>
          </w:r>
          <w:r>
            <w:fldChar w:fldCharType="begin"/>
          </w:r>
          <w:r>
            <w:instrText xml:space="preserve"> PAGEREF _Toc13764 \h </w:instrText>
          </w:r>
          <w:r>
            <w:fldChar w:fldCharType="separate"/>
          </w:r>
          <w:r>
            <w:t>3</w:t>
          </w:r>
          <w:r>
            <w:fldChar w:fldCharType="end"/>
          </w:r>
          <w:r>
            <w:rPr>
              <w:rFonts w:ascii="宋体" w:hAnsi="宋体" w:eastAsia="宋体" w:cs="Times New Roman"/>
              <w:szCs w:val="22"/>
              <w:lang w:val="en-US" w:eastAsia="zh-CN" w:bidi="ar-SA"/>
            </w:rPr>
            <w:fldChar w:fldCharType="end"/>
          </w:r>
        </w:p>
        <w:p w14:paraId="557B1F55">
          <w:pPr>
            <w:pStyle w:val="11"/>
            <w:tabs>
              <w:tab w:val="right" w:leader="dot" w:pos="10658"/>
            </w:tabs>
          </w:pPr>
          <w:r>
            <w:rPr>
              <w:rFonts w:ascii="宋体" w:hAnsi="宋体" w:eastAsia="宋体" w:cs="Times New Roman"/>
              <w:szCs w:val="22"/>
              <w:lang w:val="en-US" w:eastAsia="zh-CN" w:bidi="ar-SA"/>
            </w:rPr>
            <w:fldChar w:fldCharType="begin"/>
          </w:r>
          <w:r>
            <w:rPr>
              <w:rFonts w:ascii="宋体" w:hAnsi="宋体" w:eastAsia="宋体" w:cs="Times New Roman"/>
              <w:szCs w:val="22"/>
              <w:lang w:val="en-US" w:eastAsia="zh-CN" w:bidi="ar-SA"/>
            </w:rPr>
            <w:instrText xml:space="preserve"> HYPERLINK \l _Toc12861 </w:instrText>
          </w:r>
          <w:r>
            <w:rPr>
              <w:rFonts w:ascii="宋体" w:hAnsi="宋体" w:eastAsia="宋体" w:cs="Times New Roman"/>
              <w:szCs w:val="22"/>
              <w:lang w:val="en-US" w:eastAsia="zh-CN" w:bidi="ar-SA"/>
            </w:rPr>
            <w:fldChar w:fldCharType="separate"/>
          </w:r>
          <w:r>
            <w:rPr>
              <w:rFonts w:hint="eastAsia" w:cs="Times New Roman"/>
              <w:lang w:val="en-US" w:eastAsia="zh-CN"/>
            </w:rPr>
            <w:t>第二章 供应商须知</w:t>
          </w:r>
          <w:r>
            <w:tab/>
          </w:r>
          <w:r>
            <w:fldChar w:fldCharType="begin"/>
          </w:r>
          <w:r>
            <w:instrText xml:space="preserve"> PAGEREF _Toc12861 \h </w:instrText>
          </w:r>
          <w:r>
            <w:fldChar w:fldCharType="separate"/>
          </w:r>
          <w:r>
            <w:t>8</w:t>
          </w:r>
          <w:r>
            <w:fldChar w:fldCharType="end"/>
          </w:r>
          <w:r>
            <w:rPr>
              <w:rFonts w:ascii="宋体" w:hAnsi="宋体" w:eastAsia="宋体" w:cs="Times New Roman"/>
              <w:szCs w:val="22"/>
              <w:lang w:val="en-US" w:eastAsia="zh-CN" w:bidi="ar-SA"/>
            </w:rPr>
            <w:fldChar w:fldCharType="end"/>
          </w:r>
        </w:p>
        <w:p w14:paraId="047A9629">
          <w:pPr>
            <w:pStyle w:val="11"/>
            <w:tabs>
              <w:tab w:val="right" w:leader="dot" w:pos="10658"/>
            </w:tabs>
          </w:pPr>
          <w:r>
            <w:rPr>
              <w:rFonts w:ascii="宋体" w:hAnsi="宋体" w:eastAsia="宋体" w:cs="Times New Roman"/>
              <w:szCs w:val="22"/>
              <w:lang w:val="en-US" w:eastAsia="zh-CN" w:bidi="ar-SA"/>
            </w:rPr>
            <w:fldChar w:fldCharType="begin"/>
          </w:r>
          <w:r>
            <w:rPr>
              <w:rFonts w:ascii="宋体" w:hAnsi="宋体" w:eastAsia="宋体" w:cs="Times New Roman"/>
              <w:szCs w:val="22"/>
              <w:lang w:val="en-US" w:eastAsia="zh-CN" w:bidi="ar-SA"/>
            </w:rPr>
            <w:instrText xml:space="preserve"> HYPERLINK \l _Toc20581 </w:instrText>
          </w:r>
          <w:r>
            <w:rPr>
              <w:rFonts w:ascii="宋体" w:hAnsi="宋体" w:eastAsia="宋体" w:cs="Times New Roman"/>
              <w:szCs w:val="22"/>
              <w:lang w:val="en-US" w:eastAsia="zh-CN" w:bidi="ar-SA"/>
            </w:rPr>
            <w:fldChar w:fldCharType="separate"/>
          </w:r>
          <w:r>
            <w:rPr>
              <w:rFonts w:hint="eastAsia" w:cs="Times New Roman"/>
              <w:lang w:val="en-US" w:eastAsia="zh-CN"/>
            </w:rPr>
            <w:t>第三章 评审方法及评审标准</w:t>
          </w:r>
          <w:r>
            <w:tab/>
          </w:r>
          <w:r>
            <w:fldChar w:fldCharType="begin"/>
          </w:r>
          <w:r>
            <w:instrText xml:space="preserve"> PAGEREF _Toc20581 \h </w:instrText>
          </w:r>
          <w:r>
            <w:fldChar w:fldCharType="separate"/>
          </w:r>
          <w:r>
            <w:t>10</w:t>
          </w:r>
          <w:r>
            <w:fldChar w:fldCharType="end"/>
          </w:r>
          <w:r>
            <w:rPr>
              <w:rFonts w:ascii="宋体" w:hAnsi="宋体" w:eastAsia="宋体" w:cs="Times New Roman"/>
              <w:szCs w:val="22"/>
              <w:lang w:val="en-US" w:eastAsia="zh-CN" w:bidi="ar-SA"/>
            </w:rPr>
            <w:fldChar w:fldCharType="end"/>
          </w:r>
        </w:p>
        <w:p w14:paraId="3CF1A68F">
          <w:pPr>
            <w:pStyle w:val="11"/>
            <w:tabs>
              <w:tab w:val="right" w:leader="dot" w:pos="10658"/>
            </w:tabs>
          </w:pPr>
          <w:r>
            <w:rPr>
              <w:rFonts w:ascii="宋体" w:hAnsi="宋体" w:eastAsia="宋体" w:cs="Times New Roman"/>
              <w:szCs w:val="22"/>
              <w:lang w:val="en-US" w:eastAsia="zh-CN" w:bidi="ar-SA"/>
            </w:rPr>
            <w:fldChar w:fldCharType="begin"/>
          </w:r>
          <w:r>
            <w:rPr>
              <w:rFonts w:ascii="宋体" w:hAnsi="宋体" w:eastAsia="宋体" w:cs="Times New Roman"/>
              <w:szCs w:val="22"/>
              <w:lang w:val="en-US" w:eastAsia="zh-CN" w:bidi="ar-SA"/>
            </w:rPr>
            <w:instrText xml:space="preserve"> HYPERLINK \l _Toc24632 </w:instrText>
          </w:r>
          <w:r>
            <w:rPr>
              <w:rFonts w:ascii="宋体" w:hAnsi="宋体" w:eastAsia="宋体" w:cs="Times New Roman"/>
              <w:szCs w:val="22"/>
              <w:lang w:val="en-US" w:eastAsia="zh-CN" w:bidi="ar-SA"/>
            </w:rPr>
            <w:fldChar w:fldCharType="separate"/>
          </w:r>
          <w:r>
            <w:rPr>
              <w:rFonts w:hint="eastAsia"/>
              <w:lang w:val="en-US" w:eastAsia="zh-CN"/>
            </w:rPr>
            <w:t>第三章 响应文件格式</w:t>
          </w:r>
          <w:r>
            <w:tab/>
          </w:r>
          <w:r>
            <w:fldChar w:fldCharType="begin"/>
          </w:r>
          <w:r>
            <w:instrText xml:space="preserve"> PAGEREF _Toc24632 \h </w:instrText>
          </w:r>
          <w:r>
            <w:fldChar w:fldCharType="separate"/>
          </w:r>
          <w:r>
            <w:t>14</w:t>
          </w:r>
          <w:r>
            <w:fldChar w:fldCharType="end"/>
          </w:r>
          <w:r>
            <w:rPr>
              <w:rFonts w:ascii="宋体" w:hAnsi="宋体" w:eastAsia="宋体" w:cs="Times New Roman"/>
              <w:szCs w:val="22"/>
              <w:lang w:val="en-US" w:eastAsia="zh-CN" w:bidi="ar-SA"/>
            </w:rPr>
            <w:fldChar w:fldCharType="end"/>
          </w:r>
        </w:p>
        <w:p w14:paraId="601FF9CE">
          <w:pPr>
            <w:pStyle w:val="11"/>
            <w:tabs>
              <w:tab w:val="right" w:leader="dot" w:pos="10658"/>
            </w:tabs>
          </w:pPr>
          <w:r>
            <w:rPr>
              <w:rFonts w:ascii="宋体" w:hAnsi="宋体" w:eastAsia="宋体" w:cs="Times New Roman"/>
              <w:szCs w:val="22"/>
              <w:lang w:val="en-US" w:eastAsia="zh-CN" w:bidi="ar-SA"/>
            </w:rPr>
            <w:fldChar w:fldCharType="begin"/>
          </w:r>
          <w:r>
            <w:rPr>
              <w:rFonts w:ascii="宋体" w:hAnsi="宋体" w:eastAsia="宋体" w:cs="Times New Roman"/>
              <w:szCs w:val="22"/>
              <w:lang w:val="en-US" w:eastAsia="zh-CN" w:bidi="ar-SA"/>
            </w:rPr>
            <w:instrText xml:space="preserve"> HYPERLINK \l _Toc32076 </w:instrText>
          </w:r>
          <w:r>
            <w:rPr>
              <w:rFonts w:ascii="宋体" w:hAnsi="宋体" w:eastAsia="宋体" w:cs="Times New Roman"/>
              <w:szCs w:val="22"/>
              <w:lang w:val="en-US" w:eastAsia="zh-CN" w:bidi="ar-SA"/>
            </w:rPr>
            <w:fldChar w:fldCharType="separate"/>
          </w:r>
          <w:r>
            <w:rPr>
              <w:rFonts w:hint="eastAsia"/>
            </w:rPr>
            <w:t>第</w:t>
          </w:r>
          <w:r>
            <w:rPr>
              <w:rFonts w:hint="eastAsia"/>
              <w:lang w:val="en-US" w:eastAsia="zh-CN"/>
            </w:rPr>
            <w:t>四</w:t>
          </w:r>
          <w:r>
            <w:rPr>
              <w:rFonts w:hint="eastAsia"/>
            </w:rPr>
            <w:t>章 合同文本</w:t>
          </w:r>
          <w:r>
            <w:tab/>
          </w:r>
          <w:r>
            <w:fldChar w:fldCharType="begin"/>
          </w:r>
          <w:r>
            <w:instrText xml:space="preserve"> PAGEREF _Toc32076 \h </w:instrText>
          </w:r>
          <w:r>
            <w:fldChar w:fldCharType="separate"/>
          </w:r>
          <w:r>
            <w:t>2</w:t>
          </w:r>
          <w:r>
            <w:rPr>
              <w:rFonts w:hint="eastAsia"/>
              <w:lang w:val="en-US" w:eastAsia="zh-CN"/>
            </w:rPr>
            <w:t>6</w:t>
          </w:r>
          <w:r>
            <w:fldChar w:fldCharType="end"/>
          </w:r>
          <w:r>
            <w:rPr>
              <w:rFonts w:ascii="宋体" w:hAnsi="宋体" w:eastAsia="宋体" w:cs="Times New Roman"/>
              <w:szCs w:val="22"/>
              <w:lang w:val="en-US" w:eastAsia="zh-CN" w:bidi="ar-SA"/>
            </w:rPr>
            <w:fldChar w:fldCharType="end"/>
          </w:r>
        </w:p>
        <w:p w14:paraId="0041C975">
          <w:pPr>
            <w:rPr>
              <w:rFonts w:ascii="宋体" w:hAnsi="宋体" w:eastAsia="宋体" w:cs="Times New Roman"/>
              <w:sz w:val="22"/>
              <w:szCs w:val="22"/>
              <w:lang w:val="en-US" w:eastAsia="zh-CN" w:bidi="ar-SA"/>
            </w:rPr>
          </w:pPr>
          <w:r>
            <w:rPr>
              <w:rFonts w:ascii="宋体" w:hAnsi="宋体" w:eastAsia="宋体" w:cs="Times New Roman"/>
              <w:szCs w:val="22"/>
              <w:lang w:val="en-US" w:eastAsia="zh-CN" w:bidi="ar-SA"/>
            </w:rPr>
            <w:fldChar w:fldCharType="end"/>
          </w:r>
        </w:p>
      </w:sdtContent>
    </w:sdt>
    <w:p w14:paraId="04C41A34">
      <w:pPr>
        <w:rPr>
          <w:rFonts w:ascii="宋体" w:hAnsi="宋体" w:eastAsia="宋体" w:cs="Times New Roman"/>
          <w:sz w:val="22"/>
          <w:szCs w:val="22"/>
          <w:lang w:val="en-US" w:eastAsia="zh-CN" w:bidi="ar-SA"/>
        </w:rPr>
      </w:pPr>
    </w:p>
    <w:p w14:paraId="7856D0A6">
      <w:pPr>
        <w:rPr>
          <w:rFonts w:ascii="宋体" w:hAnsi="宋体" w:eastAsia="宋体" w:cs="Times New Roman"/>
          <w:sz w:val="21"/>
          <w:szCs w:val="22"/>
          <w:lang w:val="en-US" w:eastAsia="zh-CN" w:bidi="ar-SA"/>
        </w:rPr>
      </w:pPr>
    </w:p>
    <w:p w14:paraId="3B43A0F6">
      <w:pPr>
        <w:rPr>
          <w:rFonts w:ascii="宋体" w:hAnsi="宋体" w:eastAsia="宋体" w:cs="Times New Roman"/>
          <w:sz w:val="21"/>
          <w:szCs w:val="22"/>
          <w:lang w:val="en-US" w:eastAsia="zh-CN" w:bidi="ar-SA"/>
        </w:rPr>
      </w:pPr>
    </w:p>
    <w:p w14:paraId="5FE54CE1">
      <w:pPr>
        <w:rPr>
          <w:rFonts w:ascii="宋体" w:hAnsi="宋体" w:eastAsia="宋体" w:cs="Times New Roman"/>
          <w:sz w:val="21"/>
          <w:szCs w:val="22"/>
          <w:lang w:val="en-US" w:eastAsia="zh-CN" w:bidi="ar-SA"/>
        </w:rPr>
      </w:pPr>
    </w:p>
    <w:p w14:paraId="76044E84">
      <w:pPr>
        <w:rPr>
          <w:rFonts w:ascii="宋体" w:hAnsi="宋体" w:eastAsia="宋体" w:cs="Times New Roman"/>
          <w:sz w:val="21"/>
          <w:szCs w:val="22"/>
          <w:lang w:val="en-US" w:eastAsia="zh-CN" w:bidi="ar-SA"/>
        </w:rPr>
      </w:pPr>
    </w:p>
    <w:p w14:paraId="2C960503">
      <w:pPr>
        <w:rPr>
          <w:rFonts w:ascii="宋体" w:hAnsi="宋体" w:eastAsia="宋体" w:cs="Times New Roman"/>
          <w:sz w:val="21"/>
          <w:szCs w:val="22"/>
          <w:lang w:val="en-US" w:eastAsia="zh-CN" w:bidi="ar-SA"/>
        </w:rPr>
      </w:pPr>
    </w:p>
    <w:p w14:paraId="3A5B9587">
      <w:pPr>
        <w:rPr>
          <w:rFonts w:ascii="宋体" w:hAnsi="宋体" w:eastAsia="宋体" w:cs="Times New Roman"/>
          <w:sz w:val="21"/>
          <w:szCs w:val="22"/>
          <w:lang w:val="en-US" w:eastAsia="zh-CN" w:bidi="ar-SA"/>
        </w:rPr>
      </w:pPr>
    </w:p>
    <w:p w14:paraId="446C6E2E">
      <w:pPr>
        <w:rPr>
          <w:rFonts w:ascii="宋体" w:hAnsi="宋体" w:eastAsia="宋体" w:cs="Times New Roman"/>
          <w:sz w:val="21"/>
          <w:szCs w:val="22"/>
          <w:lang w:val="en-US" w:eastAsia="zh-CN" w:bidi="ar-SA"/>
        </w:rPr>
      </w:pPr>
    </w:p>
    <w:p w14:paraId="6C64B002">
      <w:pPr>
        <w:rPr>
          <w:rFonts w:ascii="宋体" w:hAnsi="宋体" w:eastAsia="宋体" w:cs="Times New Roman"/>
          <w:sz w:val="21"/>
          <w:szCs w:val="22"/>
          <w:lang w:val="en-US" w:eastAsia="zh-CN" w:bidi="ar-SA"/>
        </w:rPr>
      </w:pPr>
    </w:p>
    <w:p w14:paraId="397C8DC5">
      <w:pPr>
        <w:rPr>
          <w:rFonts w:ascii="宋体" w:hAnsi="宋体" w:eastAsia="宋体" w:cs="Times New Roman"/>
          <w:sz w:val="21"/>
          <w:szCs w:val="22"/>
          <w:lang w:val="en-US" w:eastAsia="zh-CN" w:bidi="ar-SA"/>
        </w:rPr>
      </w:pPr>
    </w:p>
    <w:p w14:paraId="036F561D">
      <w:pPr>
        <w:rPr>
          <w:rFonts w:ascii="宋体" w:hAnsi="宋体" w:eastAsia="宋体" w:cs="Times New Roman"/>
          <w:sz w:val="21"/>
          <w:szCs w:val="22"/>
          <w:lang w:val="en-US" w:eastAsia="zh-CN" w:bidi="ar-SA"/>
        </w:rPr>
      </w:pPr>
    </w:p>
    <w:p w14:paraId="262BEE63">
      <w:pPr>
        <w:rPr>
          <w:rFonts w:ascii="宋体" w:hAnsi="宋体" w:eastAsia="宋体" w:cs="Times New Roman"/>
          <w:sz w:val="21"/>
          <w:szCs w:val="22"/>
          <w:lang w:val="en-US" w:eastAsia="zh-CN" w:bidi="ar-SA"/>
        </w:rPr>
      </w:pPr>
    </w:p>
    <w:p w14:paraId="1C292B72">
      <w:pPr>
        <w:rPr>
          <w:rFonts w:ascii="宋体" w:hAnsi="宋体" w:eastAsia="宋体" w:cs="Times New Roman"/>
          <w:sz w:val="21"/>
          <w:szCs w:val="22"/>
          <w:lang w:val="en-US" w:eastAsia="zh-CN" w:bidi="ar-SA"/>
        </w:rPr>
      </w:pPr>
    </w:p>
    <w:p w14:paraId="12350F95">
      <w:pPr>
        <w:rPr>
          <w:rFonts w:ascii="宋体" w:hAnsi="宋体" w:eastAsia="宋体" w:cs="Times New Roman"/>
          <w:sz w:val="21"/>
          <w:szCs w:val="22"/>
          <w:lang w:val="en-US" w:eastAsia="zh-CN" w:bidi="ar-SA"/>
        </w:rPr>
      </w:pPr>
    </w:p>
    <w:p w14:paraId="6557640F">
      <w:pPr>
        <w:rPr>
          <w:rFonts w:ascii="宋体" w:hAnsi="宋体" w:eastAsia="宋体" w:cs="Times New Roman"/>
          <w:sz w:val="21"/>
          <w:szCs w:val="22"/>
          <w:lang w:val="en-US" w:eastAsia="zh-CN" w:bidi="ar-SA"/>
        </w:rPr>
      </w:pPr>
    </w:p>
    <w:p w14:paraId="18924A00">
      <w:pPr>
        <w:rPr>
          <w:rFonts w:ascii="宋体" w:hAnsi="宋体" w:eastAsia="宋体" w:cs="Times New Roman"/>
          <w:sz w:val="21"/>
          <w:szCs w:val="22"/>
          <w:lang w:val="en-US" w:eastAsia="zh-CN" w:bidi="ar-SA"/>
        </w:rPr>
      </w:pPr>
    </w:p>
    <w:p w14:paraId="337FDD10">
      <w:pPr>
        <w:rPr>
          <w:rFonts w:ascii="宋体" w:hAnsi="宋体" w:eastAsia="宋体" w:cs="Times New Roman"/>
          <w:sz w:val="21"/>
          <w:szCs w:val="22"/>
          <w:lang w:val="en-US" w:eastAsia="zh-CN" w:bidi="ar-SA"/>
        </w:rPr>
      </w:pPr>
    </w:p>
    <w:p w14:paraId="6CA04EA1">
      <w:pPr>
        <w:rPr>
          <w:rFonts w:ascii="宋体" w:hAnsi="宋体" w:eastAsia="宋体" w:cs="Times New Roman"/>
          <w:sz w:val="21"/>
          <w:szCs w:val="22"/>
          <w:lang w:val="en-US" w:eastAsia="zh-CN" w:bidi="ar-SA"/>
        </w:rPr>
      </w:pPr>
    </w:p>
    <w:p w14:paraId="582B90F6">
      <w:pPr>
        <w:rPr>
          <w:rFonts w:ascii="宋体" w:hAnsi="宋体" w:eastAsia="宋体" w:cs="Times New Roman"/>
          <w:sz w:val="21"/>
          <w:szCs w:val="22"/>
          <w:lang w:val="en-US" w:eastAsia="zh-CN" w:bidi="ar-SA"/>
        </w:rPr>
      </w:pPr>
    </w:p>
    <w:p w14:paraId="2B4D36B7">
      <w:pPr>
        <w:rPr>
          <w:rFonts w:ascii="宋体" w:hAnsi="宋体" w:eastAsia="宋体" w:cs="Times New Roman"/>
          <w:sz w:val="21"/>
          <w:szCs w:val="22"/>
          <w:lang w:val="en-US" w:eastAsia="zh-CN" w:bidi="ar-SA"/>
        </w:rPr>
      </w:pPr>
    </w:p>
    <w:p w14:paraId="3B8EED2E">
      <w:pPr>
        <w:rPr>
          <w:rFonts w:ascii="宋体" w:hAnsi="宋体" w:eastAsia="宋体" w:cs="Times New Roman"/>
          <w:sz w:val="21"/>
          <w:szCs w:val="22"/>
          <w:lang w:val="en-US" w:eastAsia="zh-CN" w:bidi="ar-SA"/>
        </w:rPr>
      </w:pPr>
    </w:p>
    <w:p w14:paraId="475989AA">
      <w:pPr>
        <w:rPr>
          <w:rFonts w:ascii="宋体" w:hAnsi="宋体" w:eastAsia="宋体" w:cs="Times New Roman"/>
          <w:sz w:val="21"/>
          <w:szCs w:val="22"/>
          <w:lang w:val="en-US" w:eastAsia="zh-CN" w:bidi="ar-SA"/>
        </w:rPr>
      </w:pPr>
    </w:p>
    <w:p w14:paraId="57D64B07">
      <w:pPr>
        <w:rPr>
          <w:rFonts w:ascii="宋体" w:hAnsi="宋体" w:eastAsia="宋体" w:cs="Times New Roman"/>
          <w:sz w:val="21"/>
          <w:szCs w:val="22"/>
          <w:lang w:val="en-US" w:eastAsia="zh-CN" w:bidi="ar-SA"/>
        </w:rPr>
      </w:pPr>
    </w:p>
    <w:p w14:paraId="13606780">
      <w:pPr>
        <w:rPr>
          <w:rFonts w:ascii="宋体" w:hAnsi="宋体" w:eastAsia="宋体" w:cs="Times New Roman"/>
          <w:sz w:val="21"/>
          <w:szCs w:val="22"/>
          <w:lang w:val="en-US" w:eastAsia="zh-CN" w:bidi="ar-SA"/>
        </w:rPr>
      </w:pPr>
    </w:p>
    <w:p w14:paraId="46F08EDD">
      <w:pPr>
        <w:rPr>
          <w:rFonts w:ascii="宋体" w:hAnsi="宋体" w:eastAsia="宋体" w:cs="Times New Roman"/>
          <w:sz w:val="21"/>
          <w:szCs w:val="22"/>
          <w:lang w:val="en-US" w:eastAsia="zh-CN" w:bidi="ar-SA"/>
        </w:rPr>
      </w:pPr>
    </w:p>
    <w:p w14:paraId="707EA859">
      <w:pPr>
        <w:rPr>
          <w:rFonts w:ascii="宋体" w:hAnsi="宋体" w:eastAsia="宋体" w:cs="Times New Roman"/>
          <w:sz w:val="21"/>
          <w:szCs w:val="22"/>
          <w:lang w:val="en-US" w:eastAsia="zh-CN" w:bidi="ar-SA"/>
        </w:rPr>
      </w:pPr>
    </w:p>
    <w:p w14:paraId="4FC38230">
      <w:pPr>
        <w:pStyle w:val="2"/>
        <w:bidi w:val="0"/>
        <w:jc w:val="center"/>
        <w:outlineLvl w:val="0"/>
        <w:rPr>
          <w:rFonts w:hint="default"/>
          <w:lang w:val="en-US" w:eastAsia="zh-CN"/>
        </w:rPr>
      </w:pPr>
      <w:bookmarkStart w:id="0" w:name="_Toc13764"/>
      <w:r>
        <w:rPr>
          <w:rFonts w:hint="eastAsia"/>
          <w:lang w:val="en-US" w:eastAsia="zh-CN"/>
        </w:rPr>
        <w:t>第一章 采购需求</w:t>
      </w:r>
      <w:bookmarkEnd w:id="0"/>
    </w:p>
    <w:p w14:paraId="740B52B9">
      <w:pPr>
        <w:rPr>
          <w:rFonts w:ascii="宋体" w:hAnsi="宋体" w:eastAsia="宋体" w:cs="Times New Roman"/>
          <w:sz w:val="21"/>
          <w:szCs w:val="22"/>
          <w:lang w:val="en-US" w:eastAsia="zh-CN" w:bidi="ar-SA"/>
        </w:rPr>
      </w:pPr>
    </w:p>
    <w:tbl>
      <w:tblPr>
        <w:tblStyle w:val="14"/>
        <w:tblpPr w:leftFromText="180" w:rightFromText="180" w:vertAnchor="text" w:horzAnchor="page" w:tblpX="826" w:tblpY="134"/>
        <w:tblOverlap w:val="never"/>
        <w:tblW w:w="9720" w:type="dxa"/>
        <w:tblInd w:w="0" w:type="dxa"/>
        <w:tblLayout w:type="fixed"/>
        <w:tblCellMar>
          <w:top w:w="0" w:type="dxa"/>
          <w:left w:w="108" w:type="dxa"/>
          <w:bottom w:w="0" w:type="dxa"/>
          <w:right w:w="108" w:type="dxa"/>
        </w:tblCellMar>
      </w:tblPr>
      <w:tblGrid>
        <w:gridCol w:w="9720"/>
      </w:tblGrid>
      <w:tr w14:paraId="6FA555FB">
        <w:tblPrEx>
          <w:tblCellMar>
            <w:top w:w="0" w:type="dxa"/>
            <w:left w:w="108" w:type="dxa"/>
            <w:bottom w:w="0" w:type="dxa"/>
            <w:right w:w="108" w:type="dxa"/>
          </w:tblCellMar>
        </w:tblPrEx>
        <w:trPr>
          <w:trHeight w:val="510" w:hRule="atLeast"/>
        </w:trPr>
        <w:tc>
          <w:tcPr>
            <w:tcW w:w="9720" w:type="dxa"/>
            <w:tcBorders>
              <w:top w:val="single" w:color="000000" w:sz="4" w:space="0"/>
              <w:left w:val="single" w:color="000000" w:sz="4" w:space="0"/>
              <w:bottom w:val="single" w:color="000000" w:sz="4" w:space="0"/>
              <w:right w:val="single" w:color="000000" w:sz="4" w:space="0"/>
            </w:tcBorders>
            <w:noWrap w:val="0"/>
            <w:vAlign w:val="center"/>
          </w:tcPr>
          <w:p w14:paraId="1BD2A9E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1G互联网静态IP专线带宽</w:t>
            </w:r>
          </w:p>
        </w:tc>
      </w:tr>
      <w:tr w14:paraId="45C9609E">
        <w:tblPrEx>
          <w:tblCellMar>
            <w:top w:w="0" w:type="dxa"/>
            <w:left w:w="108" w:type="dxa"/>
            <w:bottom w:w="0" w:type="dxa"/>
            <w:right w:w="108" w:type="dxa"/>
          </w:tblCellMar>
        </w:tblPrEx>
        <w:trPr>
          <w:trHeight w:val="510" w:hRule="atLeast"/>
        </w:trPr>
        <w:tc>
          <w:tcPr>
            <w:tcW w:w="9720" w:type="dxa"/>
            <w:tcBorders>
              <w:top w:val="single" w:color="000000" w:sz="4" w:space="0"/>
              <w:left w:val="single" w:color="000000" w:sz="4" w:space="0"/>
              <w:bottom w:val="single" w:color="000000" w:sz="4" w:space="0"/>
              <w:right w:val="single" w:color="000000" w:sz="4" w:space="0"/>
            </w:tcBorders>
            <w:noWrap w:val="0"/>
            <w:vAlign w:val="center"/>
          </w:tcPr>
          <w:p w14:paraId="677DCEA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w:t>
            </w:r>
          </w:p>
          <w:p w14:paraId="185A2229">
            <w:pPr>
              <w:keepNext w:val="0"/>
              <w:keepLines w:val="0"/>
              <w:widowControl/>
              <w:suppressLineNumbers w:val="0"/>
              <w:spacing w:before="0" w:beforeAutospacing="0" w:afterAutospacing="0" w:line="400" w:lineRule="exact"/>
              <w:ind w:left="0" w:right="0" w:firstLine="484" w:firstLineChars="202"/>
              <w:jc w:val="left"/>
              <w:rPr>
                <w:rStyle w:val="18"/>
                <w:rFonts w:hint="eastAsia" w:ascii="宋体" w:hAnsi="宋体" w:eastAsia="宋体" w:cs="宋体"/>
                <w:b/>
                <w:bCs/>
                <w:sz w:val="18"/>
                <w:szCs w:val="18"/>
                <w:highlight w:val="none"/>
              </w:rPr>
            </w:pPr>
            <w:r>
              <w:rPr>
                <w:rFonts w:hint="eastAsia" w:ascii="宋体" w:hAnsi="宋体" w:eastAsia="宋体" w:cs="宋体"/>
                <w:i w:val="0"/>
                <w:iCs w:val="0"/>
                <w:color w:val="000000"/>
                <w:kern w:val="0"/>
                <w:sz w:val="24"/>
                <w:szCs w:val="24"/>
                <w:highlight w:val="none"/>
                <w:u w:val="none"/>
                <w:lang w:val="en-US" w:eastAsia="zh-CN" w:bidi="ar"/>
              </w:rPr>
              <w:t>1、采购需求中带“▲”的条款或要求为实质性要求，不允许任何负偏离，实质性要求负偏离响应视为竞标无效。采购需求中“技术参数及性能（配置）要求”未标记“▲”条款或要求允许负偏离数为</w:t>
            </w:r>
            <w:r>
              <w:rPr>
                <w:rFonts w:hint="eastAsia" w:ascii="宋体" w:hAnsi="宋体" w:eastAsia="宋体" w:cs="宋体"/>
                <w:i w:val="0"/>
                <w:iCs w:val="0"/>
                <w:color w:val="0000FF"/>
                <w:kern w:val="0"/>
                <w:sz w:val="24"/>
                <w:szCs w:val="24"/>
                <w:highlight w:val="none"/>
                <w:u w:val="none"/>
                <w:lang w:val="en-US" w:eastAsia="zh-CN" w:bidi="ar"/>
              </w:rPr>
              <w:t xml:space="preserve"> 1 </w:t>
            </w:r>
            <w:r>
              <w:rPr>
                <w:rFonts w:hint="eastAsia" w:ascii="宋体" w:hAnsi="宋体" w:eastAsia="宋体" w:cs="宋体"/>
                <w:i w:val="0"/>
                <w:iCs w:val="0"/>
                <w:color w:val="000000"/>
                <w:kern w:val="0"/>
                <w:sz w:val="24"/>
                <w:szCs w:val="24"/>
                <w:highlight w:val="none"/>
                <w:u w:val="none"/>
                <w:lang w:val="en-US" w:eastAsia="zh-CN" w:bidi="ar"/>
              </w:rPr>
              <w:t>项。</w:t>
            </w:r>
          </w:p>
        </w:tc>
      </w:tr>
      <w:tr w14:paraId="79D0688E">
        <w:tblPrEx>
          <w:tblCellMar>
            <w:top w:w="0" w:type="dxa"/>
            <w:left w:w="108" w:type="dxa"/>
            <w:bottom w:w="0" w:type="dxa"/>
            <w:right w:w="108" w:type="dxa"/>
          </w:tblCellMar>
        </w:tblPrEx>
        <w:trPr>
          <w:trHeight w:val="690" w:hRule="atLeast"/>
        </w:trPr>
        <w:tc>
          <w:tcPr>
            <w:tcW w:w="9720" w:type="dxa"/>
            <w:tcBorders>
              <w:top w:val="single" w:color="000000" w:sz="4" w:space="0"/>
              <w:left w:val="single" w:color="000000" w:sz="4" w:space="0"/>
              <w:bottom w:val="single" w:color="000000" w:sz="4" w:space="0"/>
              <w:right w:val="single" w:color="000000" w:sz="4" w:space="0"/>
            </w:tcBorders>
            <w:noWrap w:val="0"/>
            <w:vAlign w:val="center"/>
          </w:tcPr>
          <w:p w14:paraId="61029304">
            <w:pPr>
              <w:keepNext w:val="0"/>
              <w:keepLines w:val="0"/>
              <w:widowControl/>
              <w:suppressLineNumbers w:val="0"/>
              <w:spacing w:before="0" w:beforeAutospacing="0" w:afterAutospacing="0" w:line="400" w:lineRule="exact"/>
              <w:ind w:left="0" w:right="0" w:firstLine="487" w:firstLineChars="202"/>
              <w:jc w:val="left"/>
              <w:rPr>
                <w:rFonts w:hint="eastAsia" w:ascii="宋体" w:hAnsi="宋体" w:eastAsia="宋体" w:cs="宋体"/>
                <w:i w:val="0"/>
                <w:iCs w:val="0"/>
                <w:color w:val="000000"/>
                <w:kern w:val="0"/>
                <w:sz w:val="24"/>
                <w:szCs w:val="24"/>
                <w:highlight w:val="none"/>
                <w:u w:val="none"/>
                <w:lang w:val="en-US" w:eastAsia="zh-CN" w:bidi="ar"/>
              </w:rPr>
            </w:pPr>
            <w:r>
              <w:rPr>
                <w:rStyle w:val="18"/>
                <w:rFonts w:hint="eastAsia" w:ascii="宋体" w:hAnsi="宋体" w:eastAsia="宋体" w:cs="宋体"/>
                <w:b/>
                <w:bCs/>
                <w:sz w:val="24"/>
                <w:szCs w:val="24"/>
                <w:highlight w:val="none"/>
              </w:rPr>
              <w:t>一、项目要求及技术需求</w:t>
            </w:r>
          </w:p>
        </w:tc>
      </w:tr>
    </w:tbl>
    <w:p w14:paraId="48475936">
      <w:pPr>
        <w:rPr>
          <w:rFonts w:ascii="宋体" w:hAnsi="宋体" w:eastAsia="宋体" w:cs="Times New Roman"/>
          <w:sz w:val="21"/>
          <w:szCs w:val="22"/>
          <w:lang w:val="en-US" w:eastAsia="zh-CN" w:bidi="ar-SA"/>
        </w:rPr>
      </w:pPr>
    </w:p>
    <w:p w14:paraId="2AEF303C">
      <w:pPr>
        <w:rPr>
          <w:rFonts w:ascii="宋体" w:hAnsi="宋体" w:eastAsia="宋体" w:cs="Times New Roman"/>
          <w:sz w:val="21"/>
          <w:szCs w:val="22"/>
          <w:lang w:val="en-US" w:eastAsia="zh-CN" w:bidi="ar-SA"/>
        </w:rPr>
      </w:pPr>
    </w:p>
    <w:tbl>
      <w:tblPr>
        <w:tblStyle w:val="14"/>
        <w:tblpPr w:leftFromText="180" w:rightFromText="180" w:vertAnchor="text" w:horzAnchor="page" w:tblpX="826" w:tblpY="2297"/>
        <w:tblOverlap w:val="never"/>
        <w:tblW w:w="9720" w:type="dxa"/>
        <w:tblInd w:w="0" w:type="dxa"/>
        <w:tblLayout w:type="fixed"/>
        <w:tblCellMar>
          <w:top w:w="0" w:type="dxa"/>
          <w:left w:w="108" w:type="dxa"/>
          <w:bottom w:w="0" w:type="dxa"/>
          <w:right w:w="108" w:type="dxa"/>
        </w:tblCellMar>
      </w:tblPr>
      <w:tblGrid>
        <w:gridCol w:w="9720"/>
      </w:tblGrid>
      <w:tr w14:paraId="3C58255E">
        <w:tblPrEx>
          <w:tblCellMar>
            <w:top w:w="0" w:type="dxa"/>
            <w:left w:w="108" w:type="dxa"/>
            <w:bottom w:w="0" w:type="dxa"/>
            <w:right w:w="108" w:type="dxa"/>
          </w:tblCellMar>
        </w:tblPrEx>
        <w:trPr>
          <w:trHeight w:val="90" w:hRule="atLeast"/>
        </w:trPr>
        <w:tc>
          <w:tcPr>
            <w:tcW w:w="9720" w:type="dxa"/>
            <w:tcBorders>
              <w:top w:val="single" w:color="000000" w:sz="4" w:space="0"/>
              <w:left w:val="single" w:color="000000" w:sz="4" w:space="0"/>
              <w:bottom w:val="single" w:color="000000" w:sz="4" w:space="0"/>
              <w:right w:val="single" w:color="000000" w:sz="4" w:space="0"/>
            </w:tcBorders>
            <w:noWrap w:val="0"/>
            <w:vAlign w:val="center"/>
          </w:tcPr>
          <w:p w14:paraId="61BD6C76">
            <w:pPr>
              <w:keepNext w:val="0"/>
              <w:keepLines w:val="0"/>
              <w:widowControl/>
              <w:suppressLineNumbers w:val="0"/>
              <w:spacing w:before="0" w:beforeAutospacing="0" w:afterAutospacing="0" w:line="400" w:lineRule="exact"/>
              <w:ind w:left="0" w:right="0" w:firstLine="487" w:firstLineChars="202"/>
              <w:jc w:val="left"/>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w:t>
            </w:r>
            <w:r>
              <w:rPr>
                <w:rFonts w:hint="default" w:ascii="宋体" w:hAnsi="宋体" w:eastAsia="宋体" w:cs="宋体"/>
                <w:b/>
                <w:bCs/>
                <w:i w:val="0"/>
                <w:iCs w:val="0"/>
                <w:color w:val="000000"/>
                <w:kern w:val="0"/>
                <w:sz w:val="24"/>
                <w:szCs w:val="24"/>
                <w:highlight w:val="none"/>
                <w:u w:val="none"/>
                <w:lang w:val="en-US" w:eastAsia="zh-CN" w:bidi="ar"/>
              </w:rPr>
              <w:t>互联网静态IP专线带宽服务</w:t>
            </w:r>
          </w:p>
          <w:p w14:paraId="56CB3873">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▲1、提供1条1000M光纤宽带，要求光纤接入方式，提供接入设备（设备费用包含在响应报价中）；</w:t>
            </w:r>
          </w:p>
          <w:p w14:paraId="54E7E775">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2、裸机测试，下行速率达到1000Mbit/s为合格；</w:t>
            </w:r>
          </w:p>
          <w:p w14:paraId="6D6FA51C">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3、提供公网IPv4地址、IPV6地址（64段）；</w:t>
            </w:r>
          </w:p>
          <w:p w14:paraId="5DE69552">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4、汇聚层、核心层全网采用双路由的备份保护，保证整个城域网的安全、可靠、快速；</w:t>
            </w:r>
          </w:p>
          <w:p w14:paraId="0C833B3A">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5、专线具有双方向路由保护，出口带宽具有优势性、可靠性及保障性，具有全程可网管能力，具有自愈环，具有故障自动倒换功能，能保证传输线路不因光缆的意外阻断和部分设备故障而中断；</w:t>
            </w:r>
          </w:p>
          <w:p w14:paraId="3203778C">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6、供应商或其所提供的互联网光纤服务机构拥有的互联网骨干网络国际出口带宽不少于4000000Mbps，提供可查询链接和证明材料并加盖投标人公章。</w:t>
            </w:r>
          </w:p>
          <w:p w14:paraId="66257042">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7、提供抗DDOS服务，在服务期限内为单位互联网出口提供近源的流量清洗服务，提供清洗能力1Gbps（流量峰值），在DDoS攻击发生时，可利用国内清洗节点资源在近攻击源处完成流量清洗，支持使用 BGP 进行全网牵引清洗或长牵引清洗，无需修改 DNS 配置和 IP 地址，服务要求：</w:t>
            </w:r>
          </w:p>
          <w:p w14:paraId="7202C143">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（1）服务支持对攻击状态进行实时监控，一旦发生攻击，即刻发出攻击告警通知，攻击结束后发出结束通知。告警通知包含攻击目标，攻击类型及攻击大小信息；</w:t>
            </w:r>
          </w:p>
          <w:p w14:paraId="3CDDBB3F">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（2）服务采用基于管道侧的清洗中心，使用BGP对单个目标IP进行全网牵引，并支持基于需防护目的IP地址的可实现国际流量、国内运营商分方向的流量压制功能，无需修改 DNS 配置和 IP 地址，仅需提供防护目标对象即可进行防护（需提供具有 CNAS 认可的三方测试证明文件加盖投标人公章）；</w:t>
            </w:r>
          </w:p>
          <w:p w14:paraId="7529D1D1">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（3）服务采用近源式清洗、分布式清洗，具有全国调动防护能力,具有城域网近目的清洗、城域网、骨干网二级协同联动能力；</w:t>
            </w:r>
          </w:p>
          <w:p w14:paraId="46AB2431">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（4）服务方在全球部署有清洗中心，全球清洗中心数量≥50个（需提供清洗中心能力需提供节点测试截图，具有CNAS 认可的三方测试证明文件加盖投标人公章）；</w:t>
            </w:r>
          </w:p>
          <w:p w14:paraId="32814671">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（5）可防御DDDoS攻击类型要求：</w:t>
            </w:r>
          </w:p>
          <w:p w14:paraId="08B35F93">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(a)可抵御OSI三层网络层攻击，同时可以有效抵御各种反射攻击和僵尸网络攻击；</w:t>
            </w:r>
          </w:p>
          <w:p w14:paraId="1EB7A581">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(b)可抵御TCP类流量攻击，例如TCP SYN+ACK、TCP FIN、TCP RESET、TCP ACK、TCP ACK+PSH、TCP Fragment等；</w:t>
            </w:r>
          </w:p>
          <w:p w14:paraId="7F16AE4D">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(c)可抵御其他Flood类攻击，例如UDP、ICMP、IGMP等 Flood攻击，DNS flood、混合SYN+UDP or ICMP+UDP flood等；</w:t>
            </w:r>
          </w:p>
          <w:p w14:paraId="794395AC">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(d)可抵御反射类攻击，例如Smurf、UDP反射、NTP反射、DNS反射攻击等。</w:t>
            </w:r>
          </w:p>
          <w:p w14:paraId="66B4FA63">
            <w:pPr>
              <w:keepNext w:val="0"/>
              <w:keepLines w:val="0"/>
              <w:widowControl/>
              <w:suppressLineNumbers w:val="0"/>
              <w:spacing w:before="0" w:beforeAutospacing="0" w:afterAutospacing="0" w:line="400" w:lineRule="exact"/>
              <w:ind w:left="0" w:right="0" w:firstLine="487" w:firstLineChars="202"/>
              <w:jc w:val="left"/>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w:t>
            </w:r>
            <w:r>
              <w:rPr>
                <w:rFonts w:hint="default" w:ascii="宋体" w:hAnsi="宋体" w:eastAsia="宋体" w:cs="宋体"/>
                <w:b/>
                <w:bCs/>
                <w:i w:val="0"/>
                <w:iCs w:val="0"/>
                <w:color w:val="000000"/>
                <w:kern w:val="0"/>
                <w:sz w:val="24"/>
                <w:szCs w:val="24"/>
                <w:highlight w:val="none"/>
                <w:u w:val="none"/>
                <w:lang w:val="en-US" w:eastAsia="zh-CN" w:bidi="ar"/>
              </w:rPr>
              <w:t>IDC资源服务</w:t>
            </w:r>
          </w:p>
          <w:p w14:paraId="7C5A38BC">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1、提供3个服务器机架，机架规格为600*1200*2000mm，网格双开门，前后可开门的标准钣金网络机架，符合 GB/T4054- 2008 中规定外观等级的三级要求；</w:t>
            </w:r>
          </w:p>
          <w:p w14:paraId="2CB23D74">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2、每个机架电源总功率达到8KW，并需配备有2路PDU模块（1路市电、1路UPS）；</w:t>
            </w:r>
          </w:p>
          <w:p w14:paraId="1A6A8CB9">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3、机架所在建筑物要求为供应商自有机房，建筑物安全等级不低于二级，设计使用年限不少于50年，地震进行抗震设防不低于7度；</w:t>
            </w:r>
          </w:p>
          <w:p w14:paraId="56D773FF">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4、机房场地不设在建筑物高层或地下室，以及用水设备的下层或隔壁，机房配备环境监控系统、安防监控系统、防雷接地系统、消防系统、空气调节系统及发电机供电系统并符合电子信息系统机房设计规范的B级及以上标准；</w:t>
            </w:r>
          </w:p>
          <w:p w14:paraId="5B845577">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5、机房所在地需具备双路10KV电力供电系统接入保障电力供应，需提供供电公司合同复印件证明材料；</w:t>
            </w:r>
          </w:p>
          <w:p w14:paraId="4B000894">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6、所提供的机房需符合数据中心场地基础设施认证增强级(GB50174-2017 A级)数据中心,提供证明材料；</w:t>
            </w:r>
          </w:p>
          <w:p w14:paraId="7A7B4614">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7、供应商具有数据安全能力成熟度等级证书(GB/T 37988)2级及以上能力，提供证书复印件</w:t>
            </w:r>
            <w:r>
              <w:rPr>
                <w:rFonts w:hint="eastAsia" w:ascii="宋体" w:hAnsi="宋体" w:eastAsia="宋体" w:cs="宋体"/>
                <w:i w:val="0"/>
                <w:iCs w:val="0"/>
                <w:color w:val="000000"/>
                <w:kern w:val="0"/>
                <w:sz w:val="24"/>
                <w:szCs w:val="24"/>
                <w:highlight w:val="none"/>
                <w:u w:val="none"/>
                <w:lang w:val="en-US" w:eastAsia="zh-CN" w:bidi="ar"/>
              </w:rPr>
              <w:t>。</w:t>
            </w:r>
          </w:p>
          <w:tbl>
            <w:tblPr>
              <w:tblStyle w:val="14"/>
              <w:tblpPr w:leftFromText="180" w:rightFromText="180" w:vertAnchor="text" w:horzAnchor="page" w:tblpX="76" w:tblpY="1868"/>
              <w:tblOverlap w:val="never"/>
              <w:tblW w:w="97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0"/>
              <w:gridCol w:w="7614"/>
            </w:tblGrid>
            <w:tr w14:paraId="74657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4" w:type="dxa"/>
                  <w:gridSpan w:val="2"/>
                  <w:tcBorders>
                    <w:top w:val="single" w:color="auto" w:sz="4" w:space="0"/>
                    <w:left w:val="single" w:color="auto" w:sz="4" w:space="0"/>
                    <w:bottom w:val="single" w:color="auto" w:sz="4" w:space="0"/>
                    <w:right w:val="single" w:color="auto" w:sz="4" w:space="0"/>
                  </w:tcBorders>
                  <w:noWrap w:val="0"/>
                  <w:vAlign w:val="center"/>
                </w:tcPr>
                <w:p w14:paraId="716FE67A">
                  <w:pPr>
                    <w:pStyle w:val="8"/>
                    <w:snapToGrid w:val="0"/>
                    <w:spacing w:line="360" w:lineRule="exact"/>
                    <w:outlineLvl w:val="0"/>
                    <w:rPr>
                      <w:rFonts w:hint="eastAsia" w:hAnsi="宋体" w:cs="宋体"/>
                      <w:color w:val="auto"/>
                      <w:sz w:val="21"/>
                      <w:highlight w:val="none"/>
                    </w:rPr>
                  </w:pPr>
                  <w:bookmarkStart w:id="1" w:name="_Toc27668"/>
                  <w:r>
                    <w:rPr>
                      <w:rFonts w:hint="eastAsia" w:hAnsi="宋体" w:cs="宋体"/>
                      <w:b/>
                      <w:color w:val="auto"/>
                      <w:szCs w:val="21"/>
                      <w:highlight w:val="none"/>
                      <w:lang w:val="en-US" w:eastAsia="zh-CN"/>
                    </w:rPr>
                    <w:t>二</w:t>
                  </w:r>
                  <w:r>
                    <w:rPr>
                      <w:rFonts w:hint="eastAsia" w:ascii="宋体" w:hAnsi="宋体" w:cs="宋体"/>
                      <w:b/>
                      <w:color w:val="auto"/>
                      <w:szCs w:val="21"/>
                      <w:highlight w:val="none"/>
                    </w:rPr>
                    <w:t>、商务要求</w:t>
                  </w:r>
                  <w:bookmarkEnd w:id="1"/>
                </w:p>
              </w:tc>
            </w:tr>
            <w:tr w14:paraId="52D34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6E4A3EAE">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合同签订</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67EAD7FE">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合同签订期：自成交通知书发出之日起25日内。</w:t>
                  </w:r>
                </w:p>
              </w:tc>
            </w:tr>
            <w:tr w14:paraId="405C6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280EFD83">
                  <w:pPr>
                    <w:keepNext w:val="0"/>
                    <w:keepLines w:val="0"/>
                    <w:widowControl/>
                    <w:suppressLineNumbers w:val="0"/>
                    <w:spacing w:before="0" w:beforeAutospacing="0" w:afterAutospacing="0" w:line="400" w:lineRule="exact"/>
                    <w:ind w:right="0"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服务时间</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45ADF7F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1.交付时间：自合同签订之日起30日内完成调试并交付使用。</w:t>
                  </w:r>
                </w:p>
                <w:p w14:paraId="057631D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2.交付地点：广西南宁市双拥路6号。</w:t>
                  </w:r>
                </w:p>
              </w:tc>
            </w:tr>
            <w:tr w14:paraId="0120A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48446159">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服务期限</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3B7E7CB1">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服务期：自合同签订之日起1年。</w:t>
                  </w:r>
                </w:p>
              </w:tc>
            </w:tr>
            <w:tr w14:paraId="7E6A1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49B9A346">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报价要求</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0A7399B1">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次报价须为人民币报价，包含服务、备品备件、标准附件、专用工具、人员薪酬、交通费、安装、调试、技术支持、检测检验、培训、验收、必要的保费、各项税费及本文件未列明而供应商认为必需的费用等各项费用的总和。合同实施时，采购人将不予支付供应商没有列入的项目费用，并认为此项目的费用已包括在总报价中，采购人在合同履行期间不再支付其他额外的费用。</w:t>
                  </w:r>
                </w:p>
              </w:tc>
            </w:tr>
            <w:tr w14:paraId="10DAB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740F6FE5">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付款条件</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5E533DB5">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本项目无预付款，合同款分两期等额支付。合同签订后，每半年服务期满验收合格后支付当期服务费。成交供应商凭开具的当期合法、有效的发票及书面服务报告、维修记录、验收单等材料向采购人提出付费申请，自材料审核完成之日起10个工作日内采购人完成支付。</w:t>
                  </w:r>
                </w:p>
                <w:p w14:paraId="50D53175">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付款前成交供应商必须提供真实、有效、合法的正式发票，如提供假发票的，成交供应商除须向采购人重开合法发票外，还须按发票票面金额一倍的赔偿违约金给采购人，与此相关的行政处罚、刑事责任亦由成交供应商承担，且采购人有权终止合同，成交供应商不得提出异议，因终止合同而产生的一切损失均由成交供应商承担。</w:t>
                  </w:r>
                </w:p>
              </w:tc>
            </w:tr>
            <w:tr w14:paraId="21095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6A93094C">
                  <w:pPr>
                    <w:keepNext w:val="0"/>
                    <w:keepLines w:val="0"/>
                    <w:widowControl/>
                    <w:suppressLineNumbers w:val="0"/>
                    <w:spacing w:before="0" w:beforeAutospacing="0" w:afterAutospacing="0" w:line="400" w:lineRule="exact"/>
                    <w:ind w:left="0" w:right="0" w:firstLine="484" w:firstLineChars="202"/>
                    <w:jc w:val="left"/>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验收标准</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1C61737D">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1、采购人可以根据采购项目具体情况自行组织验收，或者委托第三方机构或部门开展采购项目履约验收工作，验收过程中所产生的费用均由成交供应商承担，供应商在竞标报价时应考虑相关费用。</w:t>
                  </w:r>
                </w:p>
                <w:p w14:paraId="5E71359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2、验收依据：采购文件、成交供应商响应文件、国家标准、地方标准、行业标准等。</w:t>
                  </w:r>
                </w:p>
                <w:p w14:paraId="2B8A8161">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在项目验收过程中，如项目验收不合格，有关返工、再行验收产生相关成本费用，以及给采购人造成的损失等费用由成交供应商承担。连续两次项目验收不合格的，或弄虚作假的行为，采购人有权不予验收，采购人有权解除合同，并追究成交供应商的责任，由此带来的一切责任由成交供应商自行承担。</w:t>
                  </w:r>
                </w:p>
                <w:p w14:paraId="6BA4171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当项目完成后，由成交供应商向采购单位提出项目交付测试申请，并于验收前向采购单位提供一切有关技术文件、资料、图纸和相关记录等交付材料，并在交付前7个工作日通知采购单位及有关部门准备验收。拟交付项目的实施总体功能、性能符合采购单位认可的技术设计方案及合同规定的，予以验收，并作出验收结果报告。供需双方签署项目终验验收证书，并自正式交付使用之日起，整体项目才视为接受，并开始计算维保期。</w:t>
                  </w:r>
                </w:p>
                <w:p w14:paraId="022D6A17">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5、验收标准：</w:t>
                  </w:r>
                </w:p>
                <w:p w14:paraId="1DFB9483">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（1）项目采购文件及成交供应商响应文件中的“技术要求偏离表”，逐条验收；</w:t>
                  </w:r>
                </w:p>
                <w:p w14:paraId="7EF09937">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（2）项目采购文件及成交供应商响应文件中的“商务条款偏离表”，逐条验收；</w:t>
                  </w:r>
                </w:p>
                <w:p w14:paraId="451CC729">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（3）成交供应商响应文件中其他技术、服务、商务性的说明、承诺事项，逐条验收。</w:t>
                  </w:r>
                </w:p>
                <w:p w14:paraId="14BAC71A">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（4）国家相关法律、法规、标准和规范等。</w:t>
                  </w:r>
                </w:p>
              </w:tc>
            </w:tr>
            <w:tr w14:paraId="4B63F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5519ED8A">
                  <w:pPr>
                    <w:keepNext w:val="0"/>
                    <w:keepLines w:val="0"/>
                    <w:widowControl/>
                    <w:suppressLineNumbers w:val="0"/>
                    <w:spacing w:before="0" w:beforeAutospacing="0" w:afterAutospacing="0" w:line="400" w:lineRule="exact"/>
                    <w:ind w:right="0"/>
                    <w:jc w:val="left"/>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售后服务要求</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0D3F90A0">
                  <w:pPr>
                    <w:keepNext w:val="0"/>
                    <w:keepLines w:val="0"/>
                    <w:widowControl/>
                    <w:numPr>
                      <w:ilvl w:val="0"/>
                      <w:numId w:val="2"/>
                    </w:numPr>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提供的所有产品必须是具备厂家合法渠道的全新的原装正品，设备按厂家承诺实行“三包”，服务期内成交供应商必须免费提供维修服务：必须提供7×24小时电话支持服务，服务期内设备出现故障，要求30分钟内做出响应，2个小时内赶往现场，12小时内解决问题。24小时内无法修复的，成交供应商必须提供必要的零配件或备件进行替换，以免影响整套系统的正常运行，</w:t>
                  </w:r>
                </w:p>
                <w:p w14:paraId="00EAF788">
                  <w:pPr>
                    <w:keepNext w:val="0"/>
                    <w:keepLines w:val="0"/>
                    <w:widowControl/>
                    <w:numPr>
                      <w:ilvl w:val="0"/>
                      <w:numId w:val="0"/>
                    </w:numPr>
                    <w:suppressLineNumbers w:val="0"/>
                    <w:spacing w:before="0" w:beforeAutospacing="0" w:afterAutospacing="0" w:line="400" w:lineRule="exact"/>
                    <w:ind w:leftChars="202" w:right="0" w:right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2.在服务期内，成交供应商应严格遵守《中华人民共和国电信条例》，维护双方权益，按工信部颁布的《电信服务标准》的电路质量要求，保证采购人系统畅通及安全使用。为保证采购人网络的连续稳定运行。</w:t>
                  </w:r>
                </w:p>
                <w:p w14:paraId="4B0F684C">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3.免费提供完善的操作培训或技术培训方案，免费现场培训技术员2名以上,保证熟练掌握全部功能为止。</w:t>
                  </w:r>
                </w:p>
                <w:p w14:paraId="6FE9A52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4.提供多个故障申告途径及绿色通道，做到全方位响应，并指定专人负责上门受理调试日常维护及平时协助采购人维护检测等工作。</w:t>
                  </w:r>
                </w:p>
                <w:p w14:paraId="31A1C1FB">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5因成交供应商施工、网络割接等原因影响宽带网络运行的，应当提前一天通知采购人，并且尽快消除故障、恢复通信线路；</w:t>
                  </w:r>
                </w:p>
                <w:p w14:paraId="5A62E74D">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6.供应商询价时必须提供详细的技术方案、项目实施方案、售后服务承诺书、售后服务机构及联系人名单。</w:t>
                  </w:r>
                </w:p>
                <w:p w14:paraId="4F430293">
                  <w:pPr>
                    <w:ind w:firstLine="480" w:firstLineChars="200"/>
                    <w:rPr>
                      <w:rFonts w:hint="eastAsia"/>
                      <w:lang w:val="en-US" w:eastAsia="zh-CN"/>
                    </w:rPr>
                  </w:pPr>
                  <w:r>
                    <w:rPr>
                      <w:rFonts w:hint="eastAsia" w:ascii="宋体" w:hAnsi="宋体" w:eastAsia="宋体" w:cs="宋体"/>
                      <w:i w:val="0"/>
                      <w:iCs w:val="0"/>
                      <w:color w:val="000000"/>
                      <w:kern w:val="0"/>
                      <w:sz w:val="24"/>
                      <w:szCs w:val="24"/>
                      <w:highlight w:val="none"/>
                      <w:u w:val="none"/>
                      <w:lang w:val="en-US" w:eastAsia="zh-CN" w:bidi="ar"/>
                    </w:rPr>
                    <w:t>7、提供重要会议和重要业务窗口期的线路质量保障服务。</w:t>
                  </w:r>
                </w:p>
              </w:tc>
            </w:tr>
            <w:tr w14:paraId="77095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4" w:space="0"/>
                    <w:left w:val="single" w:color="auto" w:sz="4" w:space="0"/>
                    <w:bottom w:val="single" w:color="auto" w:sz="4" w:space="0"/>
                    <w:right w:val="single" w:color="auto" w:sz="4" w:space="0"/>
                  </w:tcBorders>
                  <w:noWrap w:val="0"/>
                  <w:vAlign w:val="center"/>
                </w:tcPr>
                <w:p w14:paraId="06B921DB">
                  <w:pPr>
                    <w:keepNext w:val="0"/>
                    <w:keepLines w:val="0"/>
                    <w:widowControl/>
                    <w:suppressLineNumbers w:val="0"/>
                    <w:spacing w:before="0" w:beforeAutospacing="0" w:afterAutospacing="0"/>
                    <w:ind w:left="0" w:leftChars="0" w:right="0" w:right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▲履约保证金收取与退付</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1879BE10">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签订合同前，成交供应商按合同金额的2%向采购人支付履约保证金或银行、担保机构出具的同等额度的履约保函。成交供应商供货至服务期结束，通过采购人验收合格后，如无质量纠纷，经供应商申请，采购人于三十个工作日内无息退回履约保证金（按合同约定被扣除的除外）。成交供应商在服务期内如有违约事项，采购人有权直接从履约保证金中扣减违约金并要求成交供应商补足。履约保证金不足以赔偿损失的，超出部分由成交供应商另行赔偿。</w:t>
                  </w:r>
                </w:p>
                <w:p w14:paraId="1CCF27C3">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履约保证金指定账户： </w:t>
                  </w:r>
                </w:p>
                <w:p w14:paraId="04CAE2C3">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开户名：广西医科大学第一附属医院</w:t>
                  </w:r>
                </w:p>
                <w:p w14:paraId="7167FCD0">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账号：45001604560050501061</w:t>
                  </w:r>
                </w:p>
                <w:p w14:paraId="3597D0EF">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color w:val="0000FF"/>
                      <w:szCs w:val="21"/>
                      <w:lang w:val="en-US" w:eastAsia="zh-CN"/>
                    </w:rPr>
                  </w:pPr>
                  <w:r>
                    <w:rPr>
                      <w:rFonts w:hint="eastAsia" w:ascii="宋体" w:hAnsi="宋体" w:eastAsia="宋体" w:cs="宋体"/>
                      <w:i w:val="0"/>
                      <w:iCs w:val="0"/>
                      <w:color w:val="000000"/>
                      <w:kern w:val="0"/>
                      <w:sz w:val="24"/>
                      <w:szCs w:val="24"/>
                      <w:highlight w:val="none"/>
                      <w:u w:val="none"/>
                      <w:lang w:val="en-US" w:eastAsia="zh-CN" w:bidi="ar"/>
                    </w:rPr>
                    <w:t>开户行：广西南宁</w:t>
                  </w:r>
                  <w:r>
                    <w:rPr>
                      <w:rFonts w:hint="default" w:ascii="宋体" w:hAnsi="宋体" w:eastAsia="宋体" w:cs="宋体"/>
                      <w:i w:val="0"/>
                      <w:iCs w:val="0"/>
                      <w:color w:val="000000"/>
                      <w:kern w:val="0"/>
                      <w:sz w:val="24"/>
                      <w:szCs w:val="24"/>
                      <w:highlight w:val="none"/>
                      <w:u w:val="none"/>
                      <w:lang w:val="en-US" w:eastAsia="zh-CN" w:bidi="ar"/>
                    </w:rPr>
                    <w:t>建行</w:t>
                  </w:r>
                  <w:r>
                    <w:rPr>
                      <w:rFonts w:hint="eastAsia" w:ascii="宋体" w:hAnsi="宋体" w:eastAsia="宋体" w:cs="宋体"/>
                      <w:i w:val="0"/>
                      <w:iCs w:val="0"/>
                      <w:color w:val="000000"/>
                      <w:kern w:val="0"/>
                      <w:sz w:val="24"/>
                      <w:szCs w:val="24"/>
                      <w:highlight w:val="none"/>
                      <w:u w:val="none"/>
                      <w:lang w:val="en-US" w:eastAsia="zh-CN" w:bidi="ar"/>
                    </w:rPr>
                    <w:t>医科大支行</w:t>
                  </w:r>
                </w:p>
              </w:tc>
            </w:tr>
          </w:tbl>
          <w:p w14:paraId="0983A393">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p>
        </w:tc>
      </w:tr>
    </w:tbl>
    <w:p w14:paraId="41881573">
      <w:pPr>
        <w:rPr>
          <w:rFonts w:ascii="宋体" w:hAnsi="宋体" w:eastAsia="宋体" w:cs="Times New Roman"/>
          <w:sz w:val="21"/>
          <w:szCs w:val="22"/>
          <w:lang w:val="en-US" w:eastAsia="zh-CN" w:bidi="ar-SA"/>
        </w:rPr>
      </w:pPr>
    </w:p>
    <w:p w14:paraId="16F2C783"/>
    <w:p w14:paraId="1C58120A">
      <w:pPr>
        <w:jc w:val="left"/>
        <w:rPr>
          <w:rFonts w:hint="eastAsia"/>
          <w:lang w:val="en-US" w:eastAsia="zh-CN"/>
        </w:rPr>
      </w:pPr>
      <w:r>
        <w:rPr>
          <w:rFonts w:hint="eastAsia"/>
        </w:rPr>
        <w:br w:type="page"/>
      </w:r>
      <w:bookmarkStart w:id="2" w:name="_Toc31237"/>
    </w:p>
    <w:p w14:paraId="2D809D8B">
      <w:pPr>
        <w:pStyle w:val="2"/>
        <w:bidi w:val="0"/>
        <w:jc w:val="center"/>
        <w:outlineLvl w:val="0"/>
        <w:rPr>
          <w:rFonts w:hint="eastAsia" w:cs="Times New Roman"/>
          <w:lang w:val="en-US" w:eastAsia="zh-CN"/>
        </w:rPr>
      </w:pPr>
      <w:bookmarkStart w:id="3" w:name="_Toc12861"/>
      <w:r>
        <w:rPr>
          <w:rFonts w:hint="eastAsia" w:cs="Times New Roman"/>
          <w:lang w:val="en-US" w:eastAsia="zh-CN"/>
        </w:rPr>
        <w:t>第二章 供应商须知</w:t>
      </w:r>
      <w:bookmarkEnd w:id="3"/>
      <w:bookmarkStart w:id="4" w:name="_投标人须知前附表"/>
      <w:bookmarkEnd w:id="4"/>
    </w:p>
    <w:tbl>
      <w:tblPr>
        <w:tblStyle w:val="14"/>
        <w:tblpPr w:leftFromText="180" w:rightFromText="180" w:vertAnchor="text" w:horzAnchor="page" w:tblpX="1531" w:tblpY="880"/>
        <w:tblOverlap w:val="never"/>
        <w:tblW w:w="92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7"/>
        <w:gridCol w:w="7228"/>
      </w:tblGrid>
      <w:tr w14:paraId="60C24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013799F4">
            <w:pPr>
              <w:widowControl/>
              <w:jc w:val="center"/>
              <w:textAlignment w:val="baseline"/>
              <w:rPr>
                <w:rFonts w:eastAsia="宋体"/>
                <w:b/>
                <w:sz w:val="24"/>
                <w:szCs w:val="24"/>
              </w:rPr>
            </w:pPr>
            <w:r>
              <w:rPr>
                <w:rFonts w:eastAsia="宋体"/>
                <w:b/>
                <w:sz w:val="24"/>
                <w:szCs w:val="24"/>
              </w:rPr>
              <w:t>条款号</w:t>
            </w:r>
          </w:p>
        </w:tc>
        <w:tc>
          <w:tcPr>
            <w:tcW w:w="1277" w:type="dxa"/>
            <w:tcBorders>
              <w:top w:val="single" w:color="auto" w:sz="4" w:space="0"/>
              <w:left w:val="single" w:color="auto" w:sz="4" w:space="0"/>
              <w:bottom w:val="single" w:color="auto" w:sz="4" w:space="0"/>
              <w:right w:val="single" w:color="auto" w:sz="4" w:space="0"/>
            </w:tcBorders>
            <w:vAlign w:val="center"/>
          </w:tcPr>
          <w:p w14:paraId="7430BB7C">
            <w:pPr>
              <w:widowControl/>
              <w:jc w:val="center"/>
              <w:textAlignment w:val="baseline"/>
              <w:rPr>
                <w:rFonts w:eastAsia="宋体"/>
                <w:b/>
                <w:sz w:val="24"/>
                <w:szCs w:val="24"/>
              </w:rPr>
            </w:pPr>
            <w:r>
              <w:rPr>
                <w:rFonts w:eastAsia="宋体"/>
                <w:b/>
                <w:sz w:val="24"/>
                <w:szCs w:val="24"/>
              </w:rPr>
              <w:t>要点</w:t>
            </w:r>
          </w:p>
        </w:tc>
        <w:tc>
          <w:tcPr>
            <w:tcW w:w="7228" w:type="dxa"/>
            <w:tcBorders>
              <w:top w:val="single" w:color="auto" w:sz="4" w:space="0"/>
              <w:left w:val="single" w:color="auto" w:sz="4" w:space="0"/>
              <w:bottom w:val="single" w:color="auto" w:sz="4" w:space="0"/>
              <w:right w:val="single" w:color="auto" w:sz="4" w:space="0"/>
            </w:tcBorders>
            <w:vAlign w:val="center"/>
          </w:tcPr>
          <w:p w14:paraId="490FBF07">
            <w:pPr>
              <w:widowControl/>
              <w:jc w:val="center"/>
              <w:textAlignment w:val="baseline"/>
              <w:rPr>
                <w:rFonts w:eastAsia="宋体"/>
                <w:b/>
                <w:sz w:val="24"/>
                <w:szCs w:val="24"/>
              </w:rPr>
            </w:pPr>
            <w:r>
              <w:rPr>
                <w:rFonts w:eastAsia="宋体"/>
                <w:b/>
                <w:sz w:val="24"/>
                <w:szCs w:val="24"/>
              </w:rPr>
              <w:t>内容、要求</w:t>
            </w:r>
          </w:p>
        </w:tc>
      </w:tr>
      <w:tr w14:paraId="0263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9" w:type="dxa"/>
            <w:tcBorders>
              <w:top w:val="single" w:color="auto" w:sz="4" w:space="0"/>
              <w:left w:val="single" w:color="auto" w:sz="4" w:space="0"/>
              <w:bottom w:val="single" w:color="auto" w:sz="4" w:space="0"/>
              <w:right w:val="single" w:color="auto" w:sz="4" w:space="0"/>
            </w:tcBorders>
            <w:vAlign w:val="center"/>
          </w:tcPr>
          <w:p w14:paraId="2FA02791">
            <w:pPr>
              <w:widowControl/>
              <w:spacing w:line="300" w:lineRule="exact"/>
              <w:jc w:val="center"/>
              <w:textAlignment w:val="baseline"/>
              <w:rPr>
                <w:rFonts w:eastAsia="宋体"/>
                <w:b/>
                <w:sz w:val="24"/>
                <w:szCs w:val="24"/>
              </w:rPr>
            </w:pPr>
            <w:r>
              <w:rPr>
                <w:rFonts w:hint="eastAsia" w:eastAsia="宋体"/>
                <w:b/>
                <w:sz w:val="24"/>
                <w:szCs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5C4EDC67">
            <w:pPr>
              <w:widowControl/>
              <w:spacing w:line="300" w:lineRule="exact"/>
              <w:jc w:val="center"/>
              <w:textAlignment w:val="baseline"/>
              <w:rPr>
                <w:rFonts w:eastAsia="宋体"/>
                <w:sz w:val="24"/>
                <w:szCs w:val="24"/>
              </w:rPr>
            </w:pPr>
            <w:r>
              <w:rPr>
                <w:rFonts w:eastAsia="宋体"/>
                <w:sz w:val="24"/>
                <w:szCs w:val="24"/>
              </w:rPr>
              <w:t>项目基本信息</w:t>
            </w:r>
          </w:p>
        </w:tc>
        <w:tc>
          <w:tcPr>
            <w:tcW w:w="7228" w:type="dxa"/>
            <w:tcBorders>
              <w:top w:val="single" w:color="auto" w:sz="4" w:space="0"/>
              <w:left w:val="single" w:color="auto" w:sz="4" w:space="0"/>
              <w:bottom w:val="single" w:color="auto" w:sz="4" w:space="0"/>
              <w:right w:val="single" w:color="auto" w:sz="4" w:space="0"/>
            </w:tcBorders>
            <w:vAlign w:val="center"/>
          </w:tcPr>
          <w:p w14:paraId="6AE5CD91">
            <w:pPr>
              <w:widowControl/>
              <w:spacing w:line="300" w:lineRule="exact"/>
              <w:jc w:val="left"/>
              <w:textAlignment w:val="baseline"/>
              <w:rPr>
                <w:rFonts w:eastAsia="宋体"/>
                <w:color w:val="4472C4"/>
                <w:sz w:val="24"/>
                <w:szCs w:val="24"/>
              </w:rPr>
            </w:pPr>
            <w:r>
              <w:rPr>
                <w:rFonts w:eastAsia="宋体"/>
                <w:sz w:val="24"/>
                <w:szCs w:val="24"/>
              </w:rPr>
              <w:t>项目名称：</w:t>
            </w:r>
            <w:r>
              <w:rPr>
                <w:rFonts w:hint="eastAsia" w:eastAsia="宋体"/>
                <w:sz w:val="24"/>
                <w:szCs w:val="24"/>
              </w:rPr>
              <w:t>1G互联网静态IP专线宽带采购</w:t>
            </w:r>
          </w:p>
          <w:p w14:paraId="129FC0A5">
            <w:pPr>
              <w:widowControl/>
              <w:spacing w:line="300" w:lineRule="exact"/>
              <w:jc w:val="left"/>
              <w:textAlignment w:val="baseline"/>
              <w:rPr>
                <w:rFonts w:hint="eastAsia" w:eastAsia="宋体"/>
                <w:sz w:val="24"/>
                <w:szCs w:val="24"/>
                <w:lang w:val="en-US" w:eastAsia="zh"/>
              </w:rPr>
            </w:pPr>
            <w:r>
              <w:rPr>
                <w:rFonts w:eastAsia="宋体"/>
                <w:sz w:val="24"/>
                <w:szCs w:val="24"/>
              </w:rPr>
              <w:t>项目编号：</w:t>
            </w:r>
            <w:r>
              <w:rPr>
                <w:rFonts w:hint="eastAsia" w:eastAsia="宋体"/>
                <w:sz w:val="24"/>
                <w:szCs w:val="24"/>
                <w:lang w:val="en-US" w:eastAsia="zh-CN"/>
              </w:rPr>
              <w:t>XM202505</w:t>
            </w:r>
            <w:r>
              <w:rPr>
                <w:rFonts w:hint="eastAsia" w:eastAsia="宋体"/>
                <w:sz w:val="24"/>
                <w:szCs w:val="24"/>
                <w:lang w:val="en-US" w:eastAsia="zh"/>
              </w:rPr>
              <w:t>7</w:t>
            </w:r>
          </w:p>
        </w:tc>
      </w:tr>
      <w:tr w14:paraId="4F3FA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2911282E">
            <w:pPr>
              <w:widowControl/>
              <w:spacing w:line="300" w:lineRule="exact"/>
              <w:jc w:val="center"/>
              <w:textAlignment w:val="baseline"/>
              <w:rPr>
                <w:rFonts w:hint="eastAsia" w:eastAsia="宋体"/>
                <w:b/>
                <w:sz w:val="24"/>
                <w:szCs w:val="24"/>
                <w:lang w:eastAsia="zh-CN"/>
              </w:rPr>
            </w:pPr>
            <w:r>
              <w:rPr>
                <w:rFonts w:hint="eastAsia" w:eastAsia="宋体"/>
                <w:b/>
                <w:sz w:val="24"/>
                <w:szCs w:val="24"/>
                <w:lang w:val="en-US" w:eastAsia="zh-CN"/>
              </w:rPr>
              <w:t>2</w:t>
            </w:r>
          </w:p>
        </w:tc>
        <w:tc>
          <w:tcPr>
            <w:tcW w:w="1277" w:type="dxa"/>
            <w:tcBorders>
              <w:top w:val="single" w:color="auto" w:sz="4" w:space="0"/>
              <w:left w:val="single" w:color="auto" w:sz="4" w:space="0"/>
              <w:bottom w:val="single" w:color="auto" w:sz="4" w:space="0"/>
              <w:right w:val="single" w:color="auto" w:sz="4" w:space="0"/>
            </w:tcBorders>
            <w:vAlign w:val="center"/>
          </w:tcPr>
          <w:p w14:paraId="492F694E">
            <w:pPr>
              <w:widowControl/>
              <w:spacing w:line="300" w:lineRule="exact"/>
              <w:jc w:val="center"/>
              <w:textAlignment w:val="baseline"/>
              <w:rPr>
                <w:rFonts w:eastAsia="宋体"/>
                <w:sz w:val="24"/>
                <w:szCs w:val="24"/>
              </w:rPr>
            </w:pPr>
            <w:r>
              <w:rPr>
                <w:rFonts w:eastAsia="宋体"/>
                <w:sz w:val="24"/>
                <w:szCs w:val="24"/>
                <w:lang w:val="zh-CN"/>
              </w:rPr>
              <w:t>供应商资格条件</w:t>
            </w:r>
          </w:p>
        </w:tc>
        <w:tc>
          <w:tcPr>
            <w:tcW w:w="7228" w:type="dxa"/>
            <w:tcBorders>
              <w:top w:val="single" w:color="auto" w:sz="4" w:space="0"/>
              <w:left w:val="single" w:color="auto" w:sz="4" w:space="0"/>
              <w:bottom w:val="single" w:color="auto" w:sz="4" w:space="0"/>
              <w:right w:val="single" w:color="auto" w:sz="4" w:space="0"/>
            </w:tcBorders>
            <w:vAlign w:val="center"/>
          </w:tcPr>
          <w:p w14:paraId="747617E0">
            <w:pPr>
              <w:widowControl/>
              <w:spacing w:line="300" w:lineRule="exact"/>
              <w:jc w:val="left"/>
              <w:textAlignment w:val="baseline"/>
              <w:rPr>
                <w:rFonts w:eastAsia="宋体"/>
                <w:sz w:val="24"/>
                <w:szCs w:val="24"/>
              </w:rPr>
            </w:pPr>
            <w:r>
              <w:rPr>
                <w:rFonts w:hint="eastAsia" w:eastAsia="宋体"/>
                <w:sz w:val="24"/>
                <w:szCs w:val="24"/>
              </w:rPr>
              <w:t>详</w:t>
            </w:r>
            <w:r>
              <w:rPr>
                <w:rFonts w:eastAsia="宋体"/>
                <w:sz w:val="24"/>
                <w:szCs w:val="24"/>
              </w:rPr>
              <w:t>见</w:t>
            </w:r>
            <w:r>
              <w:rPr>
                <w:rFonts w:hint="eastAsia" w:eastAsia="宋体"/>
                <w:sz w:val="24"/>
                <w:szCs w:val="24"/>
                <w:lang w:val="en-US" w:eastAsia="zh-CN"/>
              </w:rPr>
              <w:t>在线</w:t>
            </w:r>
            <w:r>
              <w:rPr>
                <w:rFonts w:hint="eastAsia" w:eastAsia="宋体"/>
                <w:sz w:val="24"/>
                <w:szCs w:val="24"/>
              </w:rPr>
              <w:t>询价</w:t>
            </w:r>
            <w:r>
              <w:rPr>
                <w:rFonts w:eastAsia="宋体"/>
                <w:sz w:val="24"/>
                <w:szCs w:val="24"/>
              </w:rPr>
              <w:t>公告</w:t>
            </w:r>
            <w:r>
              <w:rPr>
                <w:rFonts w:hint="eastAsia" w:eastAsia="宋体"/>
                <w:sz w:val="24"/>
                <w:szCs w:val="24"/>
              </w:rPr>
              <w:t>。</w:t>
            </w:r>
          </w:p>
        </w:tc>
      </w:tr>
      <w:tr w14:paraId="0B8AF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62580F98">
            <w:pPr>
              <w:widowControl/>
              <w:spacing w:line="300" w:lineRule="exact"/>
              <w:jc w:val="center"/>
              <w:textAlignment w:val="baseline"/>
              <w:rPr>
                <w:rFonts w:hint="eastAsia" w:eastAsia="宋体"/>
                <w:b/>
                <w:sz w:val="24"/>
                <w:szCs w:val="24"/>
                <w:lang w:eastAsia="zh-CN"/>
              </w:rPr>
            </w:pPr>
            <w:r>
              <w:rPr>
                <w:rFonts w:hint="eastAsia" w:eastAsia="宋体"/>
                <w:b/>
                <w:sz w:val="24"/>
                <w:szCs w:val="24"/>
                <w:lang w:val="en-US" w:eastAsia="zh-CN"/>
              </w:rPr>
              <w:t>3</w:t>
            </w:r>
          </w:p>
        </w:tc>
        <w:tc>
          <w:tcPr>
            <w:tcW w:w="1277" w:type="dxa"/>
            <w:tcBorders>
              <w:top w:val="single" w:color="auto" w:sz="4" w:space="0"/>
              <w:left w:val="single" w:color="auto" w:sz="4" w:space="0"/>
              <w:bottom w:val="single" w:color="auto" w:sz="4" w:space="0"/>
              <w:right w:val="single" w:color="auto" w:sz="4" w:space="0"/>
            </w:tcBorders>
            <w:vAlign w:val="center"/>
          </w:tcPr>
          <w:p w14:paraId="780D4BE1">
            <w:pPr>
              <w:widowControl/>
              <w:spacing w:line="300" w:lineRule="exact"/>
              <w:jc w:val="center"/>
              <w:textAlignment w:val="baseline"/>
              <w:rPr>
                <w:rFonts w:eastAsia="宋体"/>
                <w:sz w:val="24"/>
                <w:szCs w:val="24"/>
              </w:rPr>
            </w:pPr>
            <w:r>
              <w:rPr>
                <w:rFonts w:eastAsia="宋体"/>
                <w:sz w:val="24"/>
                <w:szCs w:val="24"/>
              </w:rPr>
              <w:t>现场踏勘</w:t>
            </w:r>
          </w:p>
        </w:tc>
        <w:tc>
          <w:tcPr>
            <w:tcW w:w="7228" w:type="dxa"/>
            <w:tcBorders>
              <w:top w:val="single" w:color="auto" w:sz="4" w:space="0"/>
              <w:left w:val="single" w:color="auto" w:sz="4" w:space="0"/>
              <w:bottom w:val="single" w:color="auto" w:sz="4" w:space="0"/>
              <w:right w:val="single" w:color="auto" w:sz="4" w:space="0"/>
            </w:tcBorders>
            <w:vAlign w:val="center"/>
          </w:tcPr>
          <w:p w14:paraId="37F084CC">
            <w:pPr>
              <w:widowControl/>
              <w:spacing w:line="300" w:lineRule="exact"/>
              <w:jc w:val="left"/>
              <w:textAlignment w:val="baseline"/>
              <w:rPr>
                <w:rFonts w:eastAsia="宋体"/>
                <w:sz w:val="24"/>
                <w:szCs w:val="24"/>
                <w:u w:val="single"/>
              </w:rPr>
            </w:pPr>
            <w:r>
              <w:rPr>
                <w:rFonts w:hint="eastAsia" w:eastAsia="宋体"/>
                <w:color w:val="auto"/>
                <w:sz w:val="24"/>
                <w:szCs w:val="24"/>
              </w:rPr>
              <w:t>不组织。</w:t>
            </w:r>
          </w:p>
        </w:tc>
      </w:tr>
      <w:tr w14:paraId="4A808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5E0AA832">
            <w:pPr>
              <w:widowControl/>
              <w:spacing w:line="300" w:lineRule="exact"/>
              <w:jc w:val="center"/>
              <w:textAlignment w:val="baseline"/>
              <w:rPr>
                <w:rFonts w:hint="eastAsia" w:eastAsia="宋体"/>
                <w:b/>
                <w:sz w:val="24"/>
                <w:szCs w:val="24"/>
                <w:lang w:eastAsia="zh-CN"/>
              </w:rPr>
            </w:pPr>
            <w:r>
              <w:rPr>
                <w:rFonts w:hint="eastAsia" w:eastAsia="宋体"/>
                <w:b/>
                <w:sz w:val="24"/>
                <w:szCs w:val="24"/>
                <w:lang w:val="en-US" w:eastAsia="zh-CN"/>
              </w:rPr>
              <w:t>4</w:t>
            </w:r>
          </w:p>
        </w:tc>
        <w:tc>
          <w:tcPr>
            <w:tcW w:w="1277" w:type="dxa"/>
            <w:tcBorders>
              <w:top w:val="single" w:color="auto" w:sz="4" w:space="0"/>
              <w:left w:val="single" w:color="auto" w:sz="4" w:space="0"/>
              <w:bottom w:val="single" w:color="auto" w:sz="4" w:space="0"/>
              <w:right w:val="single" w:color="auto" w:sz="4" w:space="0"/>
            </w:tcBorders>
            <w:vAlign w:val="center"/>
          </w:tcPr>
          <w:p w14:paraId="36E1053E">
            <w:pPr>
              <w:widowControl/>
              <w:spacing w:line="300" w:lineRule="exact"/>
              <w:jc w:val="center"/>
              <w:textAlignment w:val="baseline"/>
              <w:rPr>
                <w:rFonts w:hint="eastAsia" w:eastAsia="宋体"/>
                <w:sz w:val="24"/>
                <w:szCs w:val="24"/>
                <w:lang w:val="en-US" w:eastAsia="zh-CN"/>
              </w:rPr>
            </w:pPr>
            <w:r>
              <w:rPr>
                <w:rFonts w:eastAsia="宋体"/>
                <w:sz w:val="24"/>
                <w:szCs w:val="24"/>
              </w:rPr>
              <w:t>转包</w:t>
            </w:r>
          </w:p>
        </w:tc>
        <w:tc>
          <w:tcPr>
            <w:tcW w:w="7228" w:type="dxa"/>
            <w:tcBorders>
              <w:top w:val="single" w:color="auto" w:sz="4" w:space="0"/>
              <w:left w:val="single" w:color="auto" w:sz="4" w:space="0"/>
              <w:bottom w:val="single" w:color="auto" w:sz="4" w:space="0"/>
              <w:right w:val="single" w:color="auto" w:sz="4" w:space="0"/>
            </w:tcBorders>
            <w:vAlign w:val="center"/>
          </w:tcPr>
          <w:p w14:paraId="389D1880">
            <w:pPr>
              <w:widowControl/>
              <w:spacing w:line="300" w:lineRule="exact"/>
              <w:jc w:val="left"/>
              <w:textAlignment w:val="baseline"/>
              <w:rPr>
                <w:rFonts w:hint="eastAsia" w:eastAsia="宋体"/>
                <w:sz w:val="24"/>
                <w:szCs w:val="24"/>
                <w:lang w:eastAsia="zh-CN"/>
              </w:rPr>
            </w:pPr>
            <w:r>
              <w:rPr>
                <w:rFonts w:eastAsia="宋体"/>
                <w:sz w:val="24"/>
                <w:szCs w:val="24"/>
              </w:rPr>
              <w:t>本项目</w:t>
            </w:r>
            <w:r>
              <w:rPr>
                <w:rFonts w:eastAsia="宋体"/>
                <w:color w:val="auto"/>
                <w:sz w:val="24"/>
                <w:szCs w:val="24"/>
              </w:rPr>
              <w:t>不允许转包</w:t>
            </w:r>
            <w:r>
              <w:rPr>
                <w:rFonts w:hint="eastAsia"/>
                <w:color w:val="auto"/>
                <w:sz w:val="24"/>
                <w:szCs w:val="24"/>
                <w:lang w:eastAsia="zh-CN"/>
              </w:rPr>
              <w:t>。</w:t>
            </w:r>
          </w:p>
        </w:tc>
      </w:tr>
      <w:tr w14:paraId="77611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7D42EA28">
            <w:pPr>
              <w:widowControl/>
              <w:spacing w:line="300" w:lineRule="exact"/>
              <w:jc w:val="center"/>
              <w:textAlignment w:val="baseline"/>
              <w:rPr>
                <w:rFonts w:hint="eastAsia" w:eastAsia="宋体"/>
                <w:b/>
                <w:sz w:val="24"/>
                <w:szCs w:val="24"/>
                <w:lang w:eastAsia="zh-CN"/>
              </w:rPr>
            </w:pPr>
            <w:r>
              <w:rPr>
                <w:rFonts w:hint="eastAsia" w:eastAsia="宋体"/>
                <w:b/>
                <w:sz w:val="24"/>
                <w:szCs w:val="24"/>
                <w:lang w:val="en-US" w:eastAsia="zh-CN"/>
              </w:rPr>
              <w:t>5</w:t>
            </w:r>
          </w:p>
        </w:tc>
        <w:tc>
          <w:tcPr>
            <w:tcW w:w="1277" w:type="dxa"/>
            <w:tcBorders>
              <w:top w:val="single" w:color="auto" w:sz="4" w:space="0"/>
              <w:left w:val="single" w:color="auto" w:sz="4" w:space="0"/>
              <w:bottom w:val="single" w:color="auto" w:sz="4" w:space="0"/>
              <w:right w:val="single" w:color="auto" w:sz="4" w:space="0"/>
            </w:tcBorders>
            <w:vAlign w:val="center"/>
          </w:tcPr>
          <w:p w14:paraId="3A90D642">
            <w:pPr>
              <w:widowControl/>
              <w:spacing w:line="300" w:lineRule="exact"/>
              <w:jc w:val="center"/>
              <w:textAlignment w:val="baseline"/>
              <w:rPr>
                <w:rFonts w:eastAsia="宋体"/>
                <w:color w:val="auto"/>
                <w:sz w:val="24"/>
                <w:szCs w:val="24"/>
              </w:rPr>
            </w:pPr>
            <w:r>
              <w:rPr>
                <w:rFonts w:eastAsia="宋体"/>
                <w:color w:val="auto"/>
                <w:sz w:val="24"/>
                <w:szCs w:val="24"/>
              </w:rPr>
              <w:t>分包</w:t>
            </w:r>
          </w:p>
        </w:tc>
        <w:tc>
          <w:tcPr>
            <w:tcW w:w="7228" w:type="dxa"/>
            <w:tcBorders>
              <w:top w:val="single" w:color="auto" w:sz="4" w:space="0"/>
              <w:left w:val="single" w:color="auto" w:sz="4" w:space="0"/>
              <w:bottom w:val="single" w:color="auto" w:sz="4" w:space="0"/>
              <w:right w:val="single" w:color="auto" w:sz="4" w:space="0"/>
            </w:tcBorders>
            <w:vAlign w:val="center"/>
          </w:tcPr>
          <w:p w14:paraId="3C9F6AA0">
            <w:pPr>
              <w:widowControl/>
              <w:spacing w:line="300" w:lineRule="exact"/>
              <w:jc w:val="left"/>
              <w:textAlignment w:val="baseline"/>
              <w:rPr>
                <w:rFonts w:eastAsia="宋体"/>
                <w:color w:val="auto"/>
                <w:sz w:val="24"/>
                <w:szCs w:val="24"/>
              </w:rPr>
            </w:pPr>
            <w:r>
              <w:rPr>
                <w:rFonts w:eastAsia="宋体"/>
                <w:color w:val="auto"/>
                <w:sz w:val="24"/>
                <w:szCs w:val="24"/>
              </w:rPr>
              <w:t>本项目不允许分包</w:t>
            </w:r>
            <w:r>
              <w:rPr>
                <w:rFonts w:hint="eastAsia" w:eastAsia="宋体"/>
                <w:color w:val="auto"/>
                <w:sz w:val="24"/>
                <w:szCs w:val="24"/>
              </w:rPr>
              <w:t>。</w:t>
            </w:r>
          </w:p>
        </w:tc>
      </w:tr>
      <w:tr w14:paraId="1901B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left w:val="single" w:color="auto" w:sz="4" w:space="0"/>
              <w:right w:val="single" w:color="auto" w:sz="4" w:space="0"/>
            </w:tcBorders>
            <w:vAlign w:val="center"/>
          </w:tcPr>
          <w:p w14:paraId="440155EE">
            <w:pPr>
              <w:widowControl/>
              <w:spacing w:line="300" w:lineRule="exact"/>
              <w:jc w:val="center"/>
              <w:textAlignment w:val="baseline"/>
              <w:rPr>
                <w:rFonts w:hint="eastAsia" w:eastAsia="宋体"/>
                <w:b/>
                <w:sz w:val="24"/>
                <w:szCs w:val="24"/>
                <w:lang w:eastAsia="zh-CN"/>
              </w:rPr>
            </w:pPr>
            <w:r>
              <w:rPr>
                <w:rFonts w:hint="eastAsia" w:eastAsia="宋体"/>
                <w:b/>
                <w:sz w:val="24"/>
                <w:szCs w:val="24"/>
                <w:lang w:val="en-US" w:eastAsia="zh-CN"/>
              </w:rPr>
              <w:t>6</w:t>
            </w:r>
          </w:p>
        </w:tc>
        <w:tc>
          <w:tcPr>
            <w:tcW w:w="1277" w:type="dxa"/>
            <w:tcBorders>
              <w:top w:val="single" w:color="auto" w:sz="4" w:space="0"/>
              <w:left w:val="single" w:color="auto" w:sz="4" w:space="0"/>
              <w:right w:val="single" w:color="auto" w:sz="4" w:space="0"/>
            </w:tcBorders>
            <w:vAlign w:val="center"/>
          </w:tcPr>
          <w:p w14:paraId="6C092522">
            <w:pPr>
              <w:widowControl/>
              <w:spacing w:line="300" w:lineRule="exact"/>
              <w:jc w:val="center"/>
              <w:textAlignment w:val="baseline"/>
              <w:rPr>
                <w:rFonts w:hint="default" w:eastAsia="宋体"/>
                <w:sz w:val="24"/>
                <w:szCs w:val="24"/>
                <w:lang w:val="en-US" w:eastAsia="zh-CN"/>
              </w:rPr>
            </w:pPr>
            <w:r>
              <w:rPr>
                <w:rFonts w:hint="eastAsia" w:eastAsia="宋体"/>
                <w:sz w:val="24"/>
                <w:szCs w:val="24"/>
                <w:highlight w:val="none"/>
              </w:rPr>
              <w:t>响应文件的</w:t>
            </w:r>
            <w:r>
              <w:rPr>
                <w:rFonts w:hint="eastAsia" w:eastAsia="宋体"/>
                <w:sz w:val="24"/>
                <w:szCs w:val="24"/>
                <w:highlight w:val="none"/>
                <w:lang w:val="en-US" w:eastAsia="zh-CN"/>
              </w:rPr>
              <w:t>材料要求</w:t>
            </w:r>
          </w:p>
        </w:tc>
        <w:tc>
          <w:tcPr>
            <w:tcW w:w="7228" w:type="dxa"/>
            <w:tcBorders>
              <w:top w:val="single" w:color="auto" w:sz="4" w:space="0"/>
              <w:left w:val="single" w:color="auto" w:sz="4" w:space="0"/>
              <w:right w:val="single" w:color="auto" w:sz="4" w:space="0"/>
            </w:tcBorders>
            <w:vAlign w:val="center"/>
          </w:tcPr>
          <w:p w14:paraId="56E2785D">
            <w:pPr>
              <w:widowControl/>
              <w:numPr>
                <w:ilvl w:val="0"/>
                <w:numId w:val="0"/>
              </w:numPr>
              <w:autoSpaceDE w:val="0"/>
              <w:autoSpaceDN w:val="0"/>
              <w:jc w:val="left"/>
              <w:textAlignment w:val="bottom"/>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提交材料要求</w:t>
            </w:r>
            <w:r>
              <w:rPr>
                <w:rFonts w:hint="eastAsia" w:ascii="Times New Roman" w:hAnsi="Times New Roman" w:eastAsia="宋体" w:cs="Times New Roman"/>
                <w:sz w:val="24"/>
                <w:szCs w:val="24"/>
                <w:lang w:val="en-US" w:eastAsia="zh-CN"/>
              </w:rPr>
              <w:t>：</w:t>
            </w:r>
          </w:p>
          <w:p w14:paraId="7B150AA1">
            <w:pPr>
              <w:widowControl/>
              <w:numPr>
                <w:ilvl w:val="0"/>
                <w:numId w:val="0"/>
              </w:numPr>
              <w:autoSpaceDE w:val="0"/>
              <w:autoSpaceDN w:val="0"/>
              <w:jc w:val="left"/>
              <w:textAlignment w:val="bottom"/>
              <w:rPr>
                <w:rFonts w:hint="eastAsia" w:ascii="Times New Roman" w:hAnsi="Times New Roman" w:eastAsia="宋体" w:cs="Times New Roman"/>
                <w:b/>
                <w:bCs/>
                <w:sz w:val="24"/>
                <w:szCs w:val="24"/>
                <w:lang w:val="en-US" w:eastAsia="zh-CN"/>
              </w:rPr>
            </w:pPr>
            <w:r>
              <w:rPr>
                <w:rFonts w:hint="eastAsia" w:eastAsia="宋体"/>
                <w:sz w:val="24"/>
                <w:szCs w:val="24"/>
              </w:rPr>
              <w:t>①</w:t>
            </w:r>
            <w:r>
              <w:rPr>
                <w:rFonts w:hint="eastAsia" w:ascii="Times New Roman" w:hAnsi="Times New Roman" w:eastAsia="宋体" w:cs="Times New Roman"/>
                <w:b/>
                <w:bCs/>
                <w:sz w:val="24"/>
                <w:szCs w:val="24"/>
              </w:rPr>
              <w:t>资格审查文件</w:t>
            </w:r>
            <w:r>
              <w:rPr>
                <w:rFonts w:hint="eastAsia" w:ascii="Times New Roman" w:hAnsi="Times New Roman" w:eastAsia="宋体" w:cs="Times New Roman"/>
                <w:b/>
                <w:bCs/>
                <w:sz w:val="24"/>
                <w:szCs w:val="24"/>
                <w:lang w:val="en-US" w:eastAsia="zh-CN"/>
              </w:rPr>
              <w:t>部分：</w:t>
            </w:r>
          </w:p>
          <w:p w14:paraId="25F08F57">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．响应声明书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格式后附</w:t>
            </w:r>
            <w:r>
              <w:rPr>
                <w:rFonts w:hint="eastAsia" w:ascii="Times New Roman" w:hAnsi="Times New Roman" w:eastAsia="宋体" w:cs="Times New Roman"/>
                <w:sz w:val="24"/>
                <w:szCs w:val="24"/>
                <w:lang w:eastAsia="zh-CN"/>
              </w:rPr>
              <w:t>）：</w:t>
            </w:r>
          </w:p>
          <w:p w14:paraId="196665D6">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2．法定代表人身份证明（无授权代表时提供）</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格式后附</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p>
          <w:p w14:paraId="023C1A9F">
            <w:pPr>
              <w:widowControl/>
              <w:spacing w:line="300" w:lineRule="exact"/>
              <w:jc w:val="left"/>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3．法定代表授权委托书（有授权代表时提供）（</w:t>
            </w:r>
            <w:r>
              <w:rPr>
                <w:rFonts w:hint="eastAsia" w:ascii="Times New Roman" w:hAnsi="Times New Roman" w:eastAsia="宋体" w:cs="Times New Roman"/>
                <w:sz w:val="24"/>
                <w:szCs w:val="24"/>
                <w:lang w:val="en-US" w:eastAsia="zh-CN"/>
              </w:rPr>
              <w:t>格式后附</w:t>
            </w:r>
            <w:r>
              <w:rPr>
                <w:rFonts w:hint="eastAsia" w:ascii="Times New Roman" w:hAnsi="Times New Roman" w:eastAsia="宋体" w:cs="Times New Roman"/>
                <w:sz w:val="24"/>
                <w:szCs w:val="24"/>
                <w:lang w:eastAsia="zh-CN"/>
              </w:rPr>
              <w:t>）：</w:t>
            </w:r>
          </w:p>
          <w:p w14:paraId="4B7B14B0">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法人或者其他组织的营业执照等证明文件。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如供应商不是以上所列的法人、组织的，则提供国家规定的相关证明材料。（加盖供应商公章）。</w:t>
            </w:r>
          </w:p>
          <w:p w14:paraId="5B6A078A">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．财务状况报告（表）复印件或银行出具的资信证明复印件。对于从取得营业执照时间起到截标时间为止不足1年的供应商，只需提交截标时间前一个月的财务状况报告（表）复印件。（按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评审方法及评审标准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资格审查表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规定提供）。（加盖供应商公章）。</w:t>
            </w:r>
          </w:p>
          <w:p w14:paraId="235F9052">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评审方法及评审标准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资格性检查表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规定提供）（加盖供应商公章）。</w:t>
            </w:r>
          </w:p>
          <w:p w14:paraId="1F524CA7">
            <w:pPr>
              <w:widowControl/>
              <w:spacing w:line="300" w:lineRule="exact"/>
              <w:jc w:val="lef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．具备法律、行政法规规定的其他要求的证明材料（按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评审方法及评审标准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资格性检查表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规定提供）。（如有）</w:t>
            </w:r>
          </w:p>
          <w:p w14:paraId="34ADCAA9">
            <w:pPr>
              <w:widowControl/>
              <w:spacing w:line="300" w:lineRule="exact"/>
              <w:jc w:val="left"/>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．满足供应商特定资格条件的其他证明材料加盖供应商公章（按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评审方法及评审标准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资格性检查表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规定提供）（如有）</w:t>
            </w:r>
            <w:r>
              <w:rPr>
                <w:rFonts w:hint="eastAsia" w:ascii="Times New Roman" w:hAnsi="Times New Roman" w:eastAsia="宋体" w:cs="Times New Roman"/>
                <w:sz w:val="24"/>
                <w:szCs w:val="24"/>
                <w:lang w:eastAsia="zh-CN"/>
              </w:rPr>
              <w:t>。</w:t>
            </w:r>
          </w:p>
          <w:p w14:paraId="1A679AC9">
            <w:pPr>
              <w:widowControl/>
              <w:numPr>
                <w:ilvl w:val="0"/>
                <w:numId w:val="0"/>
              </w:numPr>
              <w:autoSpaceDE w:val="0"/>
              <w:autoSpaceDN w:val="0"/>
              <w:jc w:val="left"/>
              <w:textAlignment w:val="bottom"/>
              <w:rPr>
                <w:rFonts w:hint="eastAsia" w:ascii="Times New Roman" w:hAnsi="Times New Roman" w:eastAsia="宋体" w:cs="Times New Roman"/>
                <w:b/>
                <w:bCs/>
                <w:sz w:val="24"/>
                <w:szCs w:val="24"/>
                <w:lang w:val="en-US" w:eastAsia="zh-CN"/>
              </w:rPr>
            </w:pPr>
            <w:r>
              <w:rPr>
                <w:rFonts w:hint="eastAsia" w:eastAsia="宋体"/>
                <w:sz w:val="24"/>
                <w:szCs w:val="24"/>
              </w:rPr>
              <w:t>②</w:t>
            </w:r>
            <w:r>
              <w:rPr>
                <w:rFonts w:hint="eastAsia" w:ascii="Times New Roman" w:hAnsi="Times New Roman" w:eastAsia="宋体" w:cs="Times New Roman"/>
                <w:b/>
                <w:bCs/>
                <w:sz w:val="24"/>
                <w:szCs w:val="24"/>
              </w:rPr>
              <w:t>商务技术</w:t>
            </w:r>
            <w:r>
              <w:rPr>
                <w:rFonts w:hint="eastAsia" w:ascii="Times New Roman" w:hAnsi="Times New Roman" w:eastAsia="宋体" w:cs="Times New Roman"/>
                <w:b/>
                <w:bCs/>
                <w:sz w:val="24"/>
                <w:szCs w:val="24"/>
                <w:lang w:val="en-US" w:eastAsia="zh-CN"/>
              </w:rPr>
              <w:t>及报价</w:t>
            </w:r>
            <w:r>
              <w:rPr>
                <w:rFonts w:hint="eastAsia" w:ascii="Times New Roman" w:hAnsi="Times New Roman" w:eastAsia="宋体" w:cs="Times New Roman"/>
                <w:b/>
                <w:bCs/>
                <w:sz w:val="24"/>
                <w:szCs w:val="24"/>
              </w:rPr>
              <w:t>文件</w:t>
            </w:r>
            <w:r>
              <w:rPr>
                <w:rFonts w:hint="eastAsia" w:ascii="Times New Roman" w:hAnsi="Times New Roman" w:eastAsia="宋体" w:cs="Times New Roman"/>
                <w:b/>
                <w:bCs/>
                <w:sz w:val="24"/>
                <w:szCs w:val="24"/>
                <w:lang w:val="en-US" w:eastAsia="zh-CN"/>
              </w:rPr>
              <w:t>部分</w:t>
            </w:r>
          </w:p>
          <w:p w14:paraId="2BD01F70">
            <w:pPr>
              <w:widowControl/>
              <w:numPr>
                <w:ilvl w:val="0"/>
                <w:numId w:val="3"/>
              </w:numPr>
              <w:spacing w:line="300" w:lineRule="exact"/>
              <w:jc w:val="left"/>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商务技术要求响应表（格式后附）。</w:t>
            </w:r>
          </w:p>
          <w:p w14:paraId="7845A012">
            <w:pPr>
              <w:widowControl/>
              <w:numPr>
                <w:ilvl w:val="0"/>
                <w:numId w:val="3"/>
              </w:numPr>
              <w:spacing w:line="300" w:lineRule="exact"/>
              <w:jc w:val="left"/>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报价表（格式后附）。</w:t>
            </w:r>
          </w:p>
          <w:p w14:paraId="21D88BDB">
            <w:pPr>
              <w:widowControl/>
              <w:numPr>
                <w:ilvl w:val="0"/>
                <w:numId w:val="0"/>
              </w:numPr>
              <w:spacing w:line="300" w:lineRule="exact"/>
              <w:ind w:leftChars="0"/>
              <w:jc w:val="left"/>
              <w:textAlignment w:val="baseline"/>
              <w:rPr>
                <w:rFonts w:hint="eastAsia"/>
                <w:b/>
                <w:sz w:val="24"/>
                <w:szCs w:val="24"/>
                <w:lang w:eastAsia="zh-CN"/>
              </w:rPr>
            </w:pPr>
            <w:r>
              <w:rPr>
                <w:rFonts w:hint="eastAsia" w:ascii="Times New Roman" w:hAnsi="Times New Roman" w:eastAsia="宋体" w:cs="Times New Roman"/>
                <w:sz w:val="24"/>
                <w:szCs w:val="24"/>
                <w:lang w:val="en-US" w:eastAsia="zh-CN"/>
              </w:rPr>
              <w:t xml:space="preserve">3. </w:t>
            </w:r>
            <w:r>
              <w:rPr>
                <w:rFonts w:hint="eastAsia" w:ascii="Times New Roman" w:hAnsi="Times New Roman" w:eastAsia="宋体" w:cs="Times New Roman"/>
                <w:sz w:val="24"/>
                <w:szCs w:val="24"/>
              </w:rPr>
              <w:t>售后服务承诺书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格式自拟</w:t>
            </w:r>
            <w:r>
              <w:rPr>
                <w:rFonts w:hint="eastAsia" w:ascii="Times New Roman" w:hAnsi="Times New Roman" w:eastAsia="宋体" w:cs="Times New Roman"/>
                <w:sz w:val="24"/>
                <w:szCs w:val="24"/>
                <w:lang w:eastAsia="zh-CN"/>
              </w:rPr>
              <w:t>）。</w:t>
            </w:r>
          </w:p>
        </w:tc>
      </w:tr>
      <w:tr w14:paraId="3B201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6A305AD8">
            <w:pPr>
              <w:widowControl/>
              <w:spacing w:line="300" w:lineRule="exact"/>
              <w:jc w:val="center"/>
              <w:textAlignment w:val="baseline"/>
              <w:rPr>
                <w:rFonts w:hint="default" w:eastAsia="宋体"/>
                <w:b/>
                <w:sz w:val="24"/>
                <w:szCs w:val="24"/>
                <w:lang w:val="en-US" w:eastAsia="zh-CN"/>
              </w:rPr>
            </w:pPr>
            <w:r>
              <w:rPr>
                <w:rFonts w:hint="eastAsia" w:eastAsia="宋体"/>
                <w:b/>
                <w:sz w:val="24"/>
                <w:szCs w:val="24"/>
                <w:lang w:val="en-US" w:eastAsia="zh-CN"/>
              </w:rPr>
              <w:t>7</w:t>
            </w:r>
          </w:p>
        </w:tc>
        <w:tc>
          <w:tcPr>
            <w:tcW w:w="1277" w:type="dxa"/>
            <w:tcBorders>
              <w:top w:val="single" w:color="auto" w:sz="4" w:space="0"/>
              <w:left w:val="single" w:color="auto" w:sz="4" w:space="0"/>
              <w:bottom w:val="single" w:color="auto" w:sz="4" w:space="0"/>
              <w:right w:val="single" w:color="auto" w:sz="4" w:space="0"/>
            </w:tcBorders>
            <w:vAlign w:val="center"/>
          </w:tcPr>
          <w:p w14:paraId="1ABA39E8">
            <w:pPr>
              <w:widowControl/>
              <w:spacing w:line="300" w:lineRule="exact"/>
              <w:jc w:val="center"/>
              <w:textAlignment w:val="baseline"/>
              <w:rPr>
                <w:rFonts w:eastAsia="宋体"/>
                <w:sz w:val="24"/>
                <w:szCs w:val="24"/>
              </w:rPr>
            </w:pPr>
            <w:r>
              <w:rPr>
                <w:rFonts w:eastAsia="宋体"/>
                <w:sz w:val="24"/>
                <w:szCs w:val="24"/>
              </w:rPr>
              <w:t>词语定义或说明</w:t>
            </w:r>
          </w:p>
        </w:tc>
        <w:tc>
          <w:tcPr>
            <w:tcW w:w="7228" w:type="dxa"/>
            <w:tcBorders>
              <w:top w:val="single" w:color="auto" w:sz="4" w:space="0"/>
              <w:left w:val="single" w:color="auto" w:sz="4" w:space="0"/>
              <w:bottom w:val="single" w:color="auto" w:sz="4" w:space="0"/>
              <w:right w:val="single" w:color="auto" w:sz="4" w:space="0"/>
            </w:tcBorders>
            <w:vAlign w:val="center"/>
          </w:tcPr>
          <w:p w14:paraId="5E15496D">
            <w:pPr>
              <w:widowControl/>
              <w:spacing w:line="300" w:lineRule="exact"/>
              <w:jc w:val="left"/>
              <w:textAlignment w:val="baseline"/>
              <w:rPr>
                <w:rFonts w:eastAsia="宋体"/>
                <w:sz w:val="24"/>
                <w:szCs w:val="24"/>
              </w:rPr>
            </w:pPr>
            <w:r>
              <w:rPr>
                <w:rFonts w:hint="eastAsia" w:eastAsia="宋体"/>
                <w:sz w:val="24"/>
                <w:szCs w:val="24"/>
              </w:rPr>
              <w:t>（1）</w:t>
            </w:r>
            <w:r>
              <w:rPr>
                <w:rFonts w:hint="eastAsia"/>
                <w:sz w:val="24"/>
                <w:szCs w:val="24"/>
                <w:lang w:eastAsia="zh-CN"/>
              </w:rPr>
              <w:t>“</w:t>
            </w:r>
            <w:r>
              <w:rPr>
                <w:rFonts w:eastAsia="宋体"/>
                <w:sz w:val="24"/>
                <w:szCs w:val="24"/>
              </w:rPr>
              <w:t>供应商</w:t>
            </w:r>
            <w:r>
              <w:rPr>
                <w:rFonts w:hint="eastAsia"/>
                <w:sz w:val="24"/>
                <w:szCs w:val="24"/>
                <w:lang w:eastAsia="zh-CN"/>
              </w:rPr>
              <w:t>”</w:t>
            </w:r>
            <w:r>
              <w:rPr>
                <w:rFonts w:eastAsia="宋体"/>
                <w:sz w:val="24"/>
                <w:szCs w:val="24"/>
              </w:rPr>
              <w:t>系指响应招标、参加</w:t>
            </w:r>
            <w:r>
              <w:rPr>
                <w:rFonts w:hint="eastAsia" w:eastAsia="宋体"/>
                <w:sz w:val="24"/>
                <w:szCs w:val="24"/>
                <w:lang w:val="en-US" w:eastAsia="zh-CN"/>
              </w:rPr>
              <w:t>在线</w:t>
            </w:r>
            <w:r>
              <w:rPr>
                <w:rFonts w:hint="eastAsia" w:eastAsia="宋体"/>
                <w:sz w:val="24"/>
                <w:szCs w:val="24"/>
              </w:rPr>
              <w:t>询价</w:t>
            </w:r>
            <w:r>
              <w:rPr>
                <w:rFonts w:eastAsia="宋体"/>
                <w:sz w:val="24"/>
                <w:szCs w:val="24"/>
              </w:rPr>
              <w:t>的法人、其他组织。法人包括企业法人、机关法人、事业单位法人和社会团体法人。其他组织包括合伙企业、非企业专业服务机构、个体工商户、农村承包经营户及国家有关法律法规规定的组织。</w:t>
            </w:r>
          </w:p>
          <w:p w14:paraId="1BA38FC1">
            <w:pPr>
              <w:widowControl/>
              <w:spacing w:line="300" w:lineRule="exact"/>
              <w:jc w:val="left"/>
              <w:textAlignment w:val="baseline"/>
              <w:rPr>
                <w:rFonts w:eastAsia="宋体"/>
                <w:sz w:val="24"/>
                <w:szCs w:val="24"/>
              </w:rPr>
            </w:pPr>
            <w:r>
              <w:rPr>
                <w:rFonts w:hint="eastAsia" w:eastAsia="宋体"/>
                <w:sz w:val="24"/>
                <w:szCs w:val="24"/>
              </w:rPr>
              <w:t>（2）</w:t>
            </w:r>
            <w:r>
              <w:rPr>
                <w:rFonts w:eastAsia="宋体"/>
                <w:sz w:val="24"/>
                <w:szCs w:val="24"/>
              </w:rPr>
              <w:t>本</w:t>
            </w:r>
            <w:r>
              <w:rPr>
                <w:rFonts w:hint="eastAsia" w:eastAsia="宋体"/>
                <w:sz w:val="24"/>
                <w:szCs w:val="24"/>
              </w:rPr>
              <w:t>文件</w:t>
            </w:r>
            <w:r>
              <w:rPr>
                <w:rFonts w:eastAsia="宋体"/>
                <w:sz w:val="24"/>
                <w:szCs w:val="24"/>
              </w:rPr>
              <w:t>中的</w:t>
            </w:r>
            <w:r>
              <w:rPr>
                <w:rFonts w:hint="eastAsia"/>
                <w:sz w:val="24"/>
                <w:szCs w:val="24"/>
                <w:lang w:eastAsia="zh-CN"/>
              </w:rPr>
              <w:t>“</w:t>
            </w:r>
            <w:r>
              <w:rPr>
                <w:rFonts w:hint="eastAsia" w:eastAsia="宋体"/>
                <w:sz w:val="24"/>
                <w:szCs w:val="24"/>
              </w:rPr>
              <w:t>法定代表人</w:t>
            </w:r>
            <w:r>
              <w:rPr>
                <w:rFonts w:hint="eastAsia"/>
                <w:sz w:val="24"/>
                <w:szCs w:val="24"/>
                <w:lang w:eastAsia="zh-CN"/>
              </w:rPr>
              <w:t>”</w:t>
            </w:r>
            <w:r>
              <w:rPr>
                <w:rFonts w:hint="eastAsia" w:eastAsia="宋体"/>
                <w:sz w:val="24"/>
                <w:szCs w:val="24"/>
              </w:rPr>
              <w:t>若无特别说明，当</w:t>
            </w:r>
            <w:r>
              <w:rPr>
                <w:rFonts w:eastAsia="宋体"/>
                <w:sz w:val="24"/>
                <w:szCs w:val="24"/>
              </w:rPr>
              <w:t>供应商是</w:t>
            </w:r>
            <w:r>
              <w:rPr>
                <w:rFonts w:hint="eastAsia" w:eastAsia="宋体"/>
                <w:sz w:val="24"/>
                <w:szCs w:val="24"/>
              </w:rPr>
              <w:t>企业的，是指企业法人营业执照上的法定代表人；当</w:t>
            </w:r>
            <w:r>
              <w:rPr>
                <w:rFonts w:eastAsia="宋体"/>
                <w:sz w:val="24"/>
                <w:szCs w:val="24"/>
              </w:rPr>
              <w:t>供应商是</w:t>
            </w:r>
            <w:r>
              <w:rPr>
                <w:rFonts w:hint="eastAsia" w:eastAsia="宋体"/>
                <w:sz w:val="24"/>
                <w:szCs w:val="24"/>
              </w:rPr>
              <w:t>事业单位的，是指事业单位法人证书上的法定代表人；当</w:t>
            </w:r>
            <w:r>
              <w:rPr>
                <w:rFonts w:eastAsia="宋体"/>
                <w:sz w:val="24"/>
                <w:szCs w:val="24"/>
              </w:rPr>
              <w:t>供应商是</w:t>
            </w:r>
            <w:r>
              <w:rPr>
                <w:rFonts w:hint="eastAsia" w:eastAsia="宋体"/>
                <w:sz w:val="24"/>
                <w:szCs w:val="24"/>
              </w:rPr>
              <w:t>社会团体、民办非企业的，是指法人登记证书中的法定代表人；当</w:t>
            </w:r>
            <w:r>
              <w:rPr>
                <w:rFonts w:eastAsia="宋体"/>
                <w:sz w:val="24"/>
                <w:szCs w:val="24"/>
              </w:rPr>
              <w:t>供应商是</w:t>
            </w:r>
            <w:r>
              <w:rPr>
                <w:rFonts w:hint="eastAsia" w:eastAsia="宋体"/>
                <w:sz w:val="24"/>
                <w:szCs w:val="24"/>
              </w:rPr>
              <w:t>个体工商户的，是指个体工商户营业执照上的经营者。</w:t>
            </w:r>
          </w:p>
          <w:p w14:paraId="0CB89F5F">
            <w:pPr>
              <w:widowControl/>
              <w:spacing w:line="300" w:lineRule="exact"/>
              <w:jc w:val="left"/>
              <w:textAlignment w:val="baseline"/>
              <w:rPr>
                <w:rFonts w:eastAsia="宋体"/>
                <w:sz w:val="24"/>
                <w:szCs w:val="24"/>
              </w:rPr>
            </w:pPr>
            <w:r>
              <w:rPr>
                <w:rFonts w:hint="eastAsia" w:eastAsia="宋体"/>
                <w:sz w:val="24"/>
                <w:szCs w:val="24"/>
              </w:rPr>
              <w:t>（3）</w:t>
            </w:r>
            <w:r>
              <w:rPr>
                <w:rFonts w:hint="eastAsia"/>
                <w:sz w:val="24"/>
                <w:szCs w:val="24"/>
                <w:lang w:eastAsia="zh-CN"/>
              </w:rPr>
              <w:t>“</w:t>
            </w:r>
            <w:r>
              <w:rPr>
                <w:rFonts w:eastAsia="宋体"/>
                <w:sz w:val="24"/>
                <w:szCs w:val="24"/>
              </w:rPr>
              <w:t>书面形式</w:t>
            </w:r>
            <w:r>
              <w:rPr>
                <w:rFonts w:hint="eastAsia"/>
                <w:sz w:val="24"/>
                <w:szCs w:val="24"/>
                <w:lang w:eastAsia="zh-CN"/>
              </w:rPr>
              <w:t>”</w:t>
            </w:r>
            <w:r>
              <w:rPr>
                <w:rFonts w:eastAsia="宋体"/>
                <w:sz w:val="24"/>
                <w:szCs w:val="24"/>
              </w:rPr>
              <w:t>如无特殊规定，</w:t>
            </w:r>
            <w:r>
              <w:rPr>
                <w:rFonts w:hint="eastAsia"/>
                <w:sz w:val="24"/>
                <w:szCs w:val="24"/>
                <w:lang w:eastAsia="zh-CN"/>
              </w:rPr>
              <w:t>“</w:t>
            </w:r>
            <w:r>
              <w:rPr>
                <w:rFonts w:eastAsia="宋体"/>
                <w:sz w:val="24"/>
                <w:szCs w:val="24"/>
              </w:rPr>
              <w:t>书面形式</w:t>
            </w:r>
            <w:r>
              <w:rPr>
                <w:rFonts w:hint="eastAsia"/>
                <w:sz w:val="24"/>
                <w:szCs w:val="24"/>
                <w:lang w:eastAsia="zh-CN"/>
              </w:rPr>
              <w:t>”</w:t>
            </w:r>
            <w:r>
              <w:rPr>
                <w:rFonts w:eastAsia="宋体"/>
                <w:sz w:val="24"/>
                <w:szCs w:val="24"/>
              </w:rPr>
              <w:t xml:space="preserve">是指信函和数据电文（包括传真和电子邮件）等可以有形地表现所载内容的形式。询价通知书如有特殊规定，以询价通知书规定为准。 </w:t>
            </w:r>
          </w:p>
          <w:p w14:paraId="1E62B616">
            <w:pPr>
              <w:widowControl/>
              <w:spacing w:line="300" w:lineRule="exact"/>
              <w:jc w:val="left"/>
              <w:textAlignment w:val="baseline"/>
              <w:rPr>
                <w:rFonts w:eastAsia="宋体"/>
                <w:kern w:val="0"/>
                <w:sz w:val="24"/>
                <w:szCs w:val="24"/>
              </w:rPr>
            </w:pPr>
            <w:r>
              <w:rPr>
                <w:rFonts w:hint="eastAsia" w:eastAsia="宋体"/>
                <w:sz w:val="24"/>
                <w:szCs w:val="24"/>
              </w:rPr>
              <w:t>（4）本项目的技术商务要求</w:t>
            </w:r>
            <w:r>
              <w:rPr>
                <w:rFonts w:hint="eastAsia" w:ascii="宋体" w:hAnsi="宋体" w:eastAsia="宋体"/>
                <w:sz w:val="24"/>
                <w:szCs w:val="24"/>
              </w:rPr>
              <w:t>重要性分为</w:t>
            </w:r>
            <w:r>
              <w:rPr>
                <w:rFonts w:hint="eastAsia" w:ascii="宋体" w:hAnsi="宋体"/>
                <w:sz w:val="24"/>
                <w:szCs w:val="24"/>
                <w:lang w:eastAsia="zh-CN"/>
              </w:rPr>
              <w:t>“</w:t>
            </w:r>
            <w:r>
              <w:rPr>
                <w:rFonts w:hint="eastAsia" w:ascii="宋体" w:hAnsi="宋体" w:eastAsia="宋体"/>
                <w:sz w:val="24"/>
                <w:szCs w:val="24"/>
              </w:rPr>
              <w:t>▲</w:t>
            </w:r>
            <w:r>
              <w:rPr>
                <w:rFonts w:hint="eastAsia" w:ascii="宋体" w:hAnsi="宋体"/>
                <w:sz w:val="24"/>
                <w:szCs w:val="24"/>
                <w:lang w:eastAsia="zh-CN"/>
              </w:rPr>
              <w:t>”</w:t>
            </w:r>
            <w:r>
              <w:rPr>
                <w:rFonts w:hint="eastAsia" w:ascii="宋体" w:hAnsi="宋体" w:eastAsia="宋体"/>
                <w:sz w:val="24"/>
                <w:szCs w:val="24"/>
              </w:rPr>
              <w:t>（如有）、</w:t>
            </w:r>
            <w:r>
              <w:rPr>
                <w:rFonts w:hint="eastAsia" w:ascii="宋体" w:hAnsi="宋体"/>
                <w:sz w:val="24"/>
                <w:szCs w:val="24"/>
                <w:lang w:eastAsia="zh-CN"/>
              </w:rPr>
              <w:t>“</w:t>
            </w:r>
            <w:r>
              <w:rPr>
                <w:rFonts w:hint="eastAsia" w:ascii="宋体" w:hAnsi="宋体" w:eastAsia="宋体"/>
                <w:sz w:val="24"/>
                <w:szCs w:val="24"/>
              </w:rPr>
              <w:t>#</w:t>
            </w:r>
            <w:r>
              <w:rPr>
                <w:rFonts w:hint="eastAsia" w:ascii="宋体" w:hAnsi="宋体"/>
                <w:sz w:val="24"/>
                <w:szCs w:val="24"/>
                <w:lang w:eastAsia="zh-CN"/>
              </w:rPr>
              <w:t>”</w:t>
            </w:r>
            <w:r>
              <w:rPr>
                <w:rFonts w:hint="eastAsia" w:ascii="宋体" w:hAnsi="宋体" w:eastAsia="宋体"/>
                <w:sz w:val="24"/>
                <w:szCs w:val="24"/>
              </w:rPr>
              <w:t>（如有）和一般无标识指标。▲代表实质性</w:t>
            </w:r>
            <w:r>
              <w:rPr>
                <w:rFonts w:ascii="宋体" w:hAnsi="宋体" w:eastAsia="宋体"/>
                <w:sz w:val="24"/>
                <w:szCs w:val="24"/>
              </w:rPr>
              <w:t>要求</w:t>
            </w:r>
            <w:r>
              <w:rPr>
                <w:rFonts w:hint="eastAsia" w:ascii="宋体" w:hAnsi="宋体" w:eastAsia="宋体"/>
                <w:sz w:val="24"/>
                <w:szCs w:val="24"/>
              </w:rPr>
              <w:t>指标，不满足该指标项将导致响应被否决，#代表重要指标，无标识则表示一般指标项。</w:t>
            </w:r>
          </w:p>
        </w:tc>
      </w:tr>
      <w:tr w14:paraId="505BB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6BB0A679">
            <w:pPr>
              <w:widowControl/>
              <w:spacing w:line="300" w:lineRule="exact"/>
              <w:jc w:val="center"/>
              <w:textAlignment w:val="baseline"/>
              <w:rPr>
                <w:rFonts w:hint="default" w:eastAsia="宋体"/>
                <w:b/>
                <w:sz w:val="24"/>
                <w:szCs w:val="24"/>
                <w:lang w:val="en-US" w:eastAsia="zh-CN"/>
              </w:rPr>
            </w:pPr>
            <w:r>
              <w:rPr>
                <w:rFonts w:hint="eastAsia" w:eastAsia="宋体"/>
                <w:b/>
                <w:sz w:val="24"/>
                <w:szCs w:val="24"/>
                <w:lang w:val="en-US" w:eastAsia="zh-CN"/>
              </w:rPr>
              <w:t>8</w:t>
            </w:r>
          </w:p>
        </w:tc>
        <w:tc>
          <w:tcPr>
            <w:tcW w:w="8505" w:type="dxa"/>
            <w:gridSpan w:val="2"/>
            <w:tcBorders>
              <w:top w:val="single" w:color="auto" w:sz="4" w:space="0"/>
              <w:left w:val="single" w:color="auto" w:sz="4" w:space="0"/>
              <w:bottom w:val="single" w:color="auto" w:sz="4" w:space="0"/>
              <w:right w:val="single" w:color="auto" w:sz="4" w:space="0"/>
            </w:tcBorders>
            <w:vAlign w:val="center"/>
          </w:tcPr>
          <w:p w14:paraId="65F2695B">
            <w:pPr>
              <w:widowControl/>
              <w:spacing w:line="300" w:lineRule="exact"/>
              <w:jc w:val="left"/>
              <w:textAlignment w:val="baseline"/>
              <w:rPr>
                <w:rFonts w:eastAsia="宋体" w:cs="宋体"/>
                <w:sz w:val="24"/>
                <w:szCs w:val="24"/>
              </w:rPr>
            </w:pPr>
            <w:r>
              <w:rPr>
                <w:rFonts w:hint="eastAsia" w:eastAsia="宋体" w:cs="宋体"/>
                <w:sz w:val="24"/>
                <w:szCs w:val="24"/>
              </w:rPr>
              <w:t>构成本采购文件的各个组成文件应互为解释，互为说明；</w:t>
            </w:r>
          </w:p>
          <w:p w14:paraId="7901BBEA">
            <w:pPr>
              <w:widowControl/>
              <w:spacing w:line="300" w:lineRule="exact"/>
              <w:jc w:val="left"/>
              <w:textAlignment w:val="baseline"/>
              <w:rPr>
                <w:rFonts w:eastAsia="宋体" w:cs="宋体"/>
                <w:sz w:val="24"/>
                <w:szCs w:val="24"/>
              </w:rPr>
            </w:pPr>
            <w:r>
              <w:rPr>
                <w:rFonts w:hint="eastAsia" w:eastAsia="宋体" w:cs="宋体"/>
                <w:sz w:val="24"/>
                <w:szCs w:val="24"/>
              </w:rPr>
              <w:t>1</w:t>
            </w:r>
            <w:r>
              <w:rPr>
                <w:rFonts w:eastAsia="宋体" w:cs="宋体"/>
                <w:sz w:val="24"/>
                <w:szCs w:val="24"/>
              </w:rPr>
              <w:t>.</w:t>
            </w:r>
            <w:r>
              <w:rPr>
                <w:rFonts w:hint="eastAsia" w:eastAsia="宋体" w:cs="宋体"/>
                <w:sz w:val="24"/>
                <w:szCs w:val="24"/>
              </w:rPr>
              <w:t>如有不明确或不一致，构成合同文件组成内容的，以合同文件约定内容为准；</w:t>
            </w:r>
          </w:p>
          <w:p w14:paraId="729E6334">
            <w:pPr>
              <w:widowControl/>
              <w:spacing w:line="300" w:lineRule="exact"/>
              <w:jc w:val="left"/>
              <w:textAlignment w:val="baseline"/>
              <w:rPr>
                <w:rFonts w:eastAsia="宋体"/>
                <w:sz w:val="24"/>
                <w:szCs w:val="24"/>
              </w:rPr>
            </w:pPr>
            <w:r>
              <w:rPr>
                <w:rFonts w:eastAsia="宋体" w:cs="宋体"/>
                <w:sz w:val="24"/>
                <w:szCs w:val="24"/>
              </w:rPr>
              <w:t>2.</w:t>
            </w:r>
            <w:r>
              <w:rPr>
                <w:rFonts w:hint="eastAsia" w:eastAsia="宋体" w:cs="宋体"/>
                <w:sz w:val="24"/>
                <w:szCs w:val="24"/>
              </w:rPr>
              <w:t>除采购文件中有特别规定外，仅适用于招标投标阶段的规定，按补遗或澄清文件、</w:t>
            </w:r>
            <w:r>
              <w:rPr>
                <w:rFonts w:hint="eastAsia" w:eastAsia="宋体" w:cs="宋体"/>
                <w:sz w:val="24"/>
                <w:szCs w:val="24"/>
                <w:lang w:val="en-US" w:eastAsia="zh-CN"/>
              </w:rPr>
              <w:t>在线</w:t>
            </w:r>
            <w:r>
              <w:rPr>
                <w:rFonts w:hint="eastAsia" w:eastAsia="宋体" w:cs="宋体"/>
                <w:sz w:val="24"/>
                <w:szCs w:val="24"/>
              </w:rPr>
              <w:t>询价公告、项目采购需求、供应商须知、评审方法及评审标准、响应文件格式的先后顺序解释；</w:t>
            </w:r>
          </w:p>
        </w:tc>
      </w:tr>
      <w:tr w14:paraId="77BEC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2D9387A5">
            <w:pPr>
              <w:widowControl/>
              <w:spacing w:line="300" w:lineRule="exact"/>
              <w:jc w:val="center"/>
              <w:textAlignment w:val="baseline"/>
              <w:rPr>
                <w:rFonts w:hint="default" w:eastAsia="宋体"/>
                <w:b/>
                <w:sz w:val="24"/>
                <w:szCs w:val="24"/>
                <w:lang w:val="en-US" w:eastAsia="zh-CN"/>
              </w:rPr>
            </w:pPr>
            <w:r>
              <w:rPr>
                <w:rFonts w:hint="eastAsia" w:eastAsia="宋体"/>
                <w:b/>
                <w:sz w:val="24"/>
                <w:szCs w:val="24"/>
                <w:lang w:val="en-US" w:eastAsia="zh-CN"/>
              </w:rPr>
              <w:t>9</w:t>
            </w:r>
          </w:p>
        </w:tc>
        <w:tc>
          <w:tcPr>
            <w:tcW w:w="8505" w:type="dxa"/>
            <w:gridSpan w:val="2"/>
            <w:tcBorders>
              <w:top w:val="single" w:color="auto" w:sz="4" w:space="0"/>
              <w:left w:val="single" w:color="auto" w:sz="4" w:space="0"/>
              <w:bottom w:val="single" w:color="auto" w:sz="4" w:space="0"/>
              <w:right w:val="single" w:color="auto" w:sz="4" w:space="0"/>
            </w:tcBorders>
            <w:vAlign w:val="center"/>
          </w:tcPr>
          <w:p w14:paraId="611B3851">
            <w:pPr>
              <w:widowControl/>
              <w:spacing w:line="300" w:lineRule="exact"/>
              <w:jc w:val="left"/>
              <w:textAlignment w:val="baseline"/>
              <w:rPr>
                <w:rFonts w:eastAsia="宋体" w:cs="宋体"/>
                <w:sz w:val="24"/>
                <w:szCs w:val="24"/>
              </w:rPr>
            </w:pPr>
            <w:r>
              <w:rPr>
                <w:rFonts w:hint="eastAsia" w:eastAsia="宋体" w:cs="宋体"/>
                <w:sz w:val="24"/>
                <w:szCs w:val="24"/>
              </w:rPr>
              <w:t>在确定成交供应商的过程中，若采购人认为成交供应商的报价异常偏低，存在可能影响产品质量或诚信履约的风险，采购人将组织专家进行深入论证。经过专家论证，如果得出结论认为成交供应商的过低报价确实可能影响其履约能力，采购人可以按照评审报告推荐的成交候选人名单，确定另一候选人为成交供应商，也可以重新开展采购活动。</w:t>
            </w:r>
          </w:p>
        </w:tc>
      </w:tr>
    </w:tbl>
    <w:p w14:paraId="30A4AC8C">
      <w:pPr>
        <w:pStyle w:val="2"/>
        <w:bidi w:val="0"/>
        <w:jc w:val="center"/>
        <w:outlineLvl w:val="0"/>
        <w:rPr>
          <w:rFonts w:hint="eastAsia"/>
          <w:lang w:val="en-US" w:eastAsia="zh-CN"/>
        </w:rPr>
      </w:pPr>
    </w:p>
    <w:p w14:paraId="7BCA685F">
      <w:pPr>
        <w:pStyle w:val="2"/>
        <w:bidi w:val="0"/>
        <w:jc w:val="center"/>
        <w:outlineLvl w:val="0"/>
        <w:rPr>
          <w:rFonts w:hint="eastAsia"/>
          <w:lang w:val="en-US" w:eastAsia="zh-CN"/>
        </w:rPr>
      </w:pPr>
    </w:p>
    <w:p w14:paraId="5E9D3D30">
      <w:pPr>
        <w:pStyle w:val="2"/>
        <w:bidi w:val="0"/>
        <w:jc w:val="center"/>
        <w:outlineLvl w:val="0"/>
        <w:rPr>
          <w:rFonts w:hint="eastAsia"/>
          <w:lang w:val="en-US" w:eastAsia="zh-CN"/>
        </w:rPr>
      </w:pPr>
    </w:p>
    <w:p w14:paraId="3F807CD0">
      <w:pPr>
        <w:pStyle w:val="2"/>
        <w:bidi w:val="0"/>
        <w:jc w:val="center"/>
        <w:outlineLvl w:val="0"/>
        <w:rPr>
          <w:rFonts w:hint="eastAsia"/>
          <w:lang w:val="en-US" w:eastAsia="zh-CN"/>
        </w:rPr>
      </w:pPr>
    </w:p>
    <w:p w14:paraId="78BF3272">
      <w:pPr>
        <w:pStyle w:val="2"/>
        <w:bidi w:val="0"/>
        <w:jc w:val="center"/>
        <w:outlineLvl w:val="0"/>
        <w:rPr>
          <w:rFonts w:hint="eastAsia"/>
          <w:lang w:val="en-US" w:eastAsia="zh-CN"/>
        </w:rPr>
      </w:pPr>
    </w:p>
    <w:p w14:paraId="46284A39">
      <w:pPr>
        <w:pStyle w:val="2"/>
        <w:bidi w:val="0"/>
        <w:jc w:val="center"/>
        <w:outlineLvl w:val="0"/>
        <w:rPr>
          <w:rFonts w:hint="eastAsia"/>
          <w:lang w:val="en-US" w:eastAsia="zh-CN"/>
        </w:rPr>
      </w:pPr>
    </w:p>
    <w:p w14:paraId="31261A89">
      <w:pPr>
        <w:pStyle w:val="2"/>
        <w:bidi w:val="0"/>
        <w:jc w:val="center"/>
        <w:outlineLvl w:val="0"/>
        <w:rPr>
          <w:rFonts w:hint="eastAsia"/>
          <w:lang w:val="en-US" w:eastAsia="zh-CN"/>
        </w:rPr>
      </w:pPr>
    </w:p>
    <w:p w14:paraId="66712059">
      <w:pPr>
        <w:pStyle w:val="2"/>
        <w:bidi w:val="0"/>
        <w:jc w:val="center"/>
        <w:outlineLvl w:val="0"/>
        <w:rPr>
          <w:rFonts w:hint="eastAsia"/>
          <w:lang w:val="en-US" w:eastAsia="zh-CN"/>
        </w:rPr>
      </w:pPr>
    </w:p>
    <w:p w14:paraId="6F889C01">
      <w:pPr>
        <w:pStyle w:val="2"/>
        <w:bidi w:val="0"/>
        <w:jc w:val="center"/>
        <w:outlineLvl w:val="0"/>
        <w:rPr>
          <w:rFonts w:hint="eastAsia"/>
          <w:lang w:val="en-US" w:eastAsia="zh-CN"/>
        </w:rPr>
      </w:pPr>
    </w:p>
    <w:p w14:paraId="5971D75A">
      <w:pPr>
        <w:pStyle w:val="2"/>
        <w:bidi w:val="0"/>
        <w:jc w:val="center"/>
        <w:outlineLvl w:val="0"/>
        <w:rPr>
          <w:rFonts w:hint="eastAsia"/>
          <w:lang w:val="en-US" w:eastAsia="zh-CN"/>
        </w:rPr>
      </w:pPr>
    </w:p>
    <w:p w14:paraId="36EE07D3">
      <w:pPr>
        <w:pStyle w:val="2"/>
        <w:bidi w:val="0"/>
        <w:jc w:val="center"/>
        <w:outlineLvl w:val="0"/>
        <w:rPr>
          <w:rFonts w:hint="eastAsia"/>
          <w:lang w:val="en-US" w:eastAsia="zh-CN"/>
        </w:rPr>
      </w:pPr>
    </w:p>
    <w:p w14:paraId="36A4665F">
      <w:pPr>
        <w:pStyle w:val="2"/>
        <w:bidi w:val="0"/>
        <w:jc w:val="center"/>
        <w:outlineLvl w:val="0"/>
        <w:rPr>
          <w:rFonts w:hint="eastAsia"/>
          <w:lang w:val="en-US" w:eastAsia="zh-CN"/>
        </w:rPr>
      </w:pPr>
    </w:p>
    <w:p w14:paraId="1E7FB2D2">
      <w:pPr>
        <w:rPr>
          <w:rFonts w:hint="eastAsia"/>
          <w:lang w:val="en-US" w:eastAsia="zh-CN"/>
        </w:rPr>
      </w:pPr>
    </w:p>
    <w:p w14:paraId="7F4CCF17">
      <w:pPr>
        <w:rPr>
          <w:rFonts w:hint="eastAsia"/>
          <w:lang w:val="en-US" w:eastAsia="zh-CN"/>
        </w:rPr>
      </w:pPr>
    </w:p>
    <w:p w14:paraId="23135DD1">
      <w:pPr>
        <w:rPr>
          <w:rFonts w:hint="eastAsia"/>
          <w:lang w:val="en-US" w:eastAsia="zh-CN"/>
        </w:rPr>
      </w:pPr>
    </w:p>
    <w:p w14:paraId="040F9AD3">
      <w:pPr>
        <w:rPr>
          <w:rFonts w:hint="eastAsia"/>
          <w:lang w:val="en-US" w:eastAsia="zh-CN"/>
        </w:rPr>
      </w:pPr>
    </w:p>
    <w:p w14:paraId="336E8F7F">
      <w:pPr>
        <w:rPr>
          <w:rFonts w:hint="eastAsia"/>
          <w:lang w:val="en-US" w:eastAsia="zh-CN"/>
        </w:rPr>
      </w:pPr>
    </w:p>
    <w:p w14:paraId="197BC447">
      <w:pPr>
        <w:rPr>
          <w:rFonts w:hint="eastAsia"/>
          <w:lang w:val="en-US" w:eastAsia="zh-CN"/>
        </w:rPr>
      </w:pPr>
    </w:p>
    <w:p w14:paraId="1DD0230A">
      <w:pPr>
        <w:rPr>
          <w:rFonts w:hint="eastAsia"/>
          <w:lang w:val="en-US" w:eastAsia="zh-CN"/>
        </w:rPr>
      </w:pPr>
    </w:p>
    <w:p w14:paraId="6CD64670">
      <w:pPr>
        <w:rPr>
          <w:rFonts w:hint="eastAsia"/>
          <w:lang w:val="en-US" w:eastAsia="zh-CN"/>
        </w:rPr>
      </w:pPr>
    </w:p>
    <w:p w14:paraId="46E3FD8A">
      <w:pPr>
        <w:rPr>
          <w:rFonts w:hint="eastAsia"/>
          <w:lang w:val="en-US" w:eastAsia="zh-CN"/>
        </w:rPr>
      </w:pPr>
    </w:p>
    <w:p w14:paraId="39CFF016">
      <w:pPr>
        <w:rPr>
          <w:rFonts w:hint="eastAsia"/>
          <w:lang w:val="en-US" w:eastAsia="zh-CN"/>
        </w:rPr>
      </w:pPr>
    </w:p>
    <w:p w14:paraId="03843723">
      <w:pPr>
        <w:pStyle w:val="2"/>
        <w:bidi w:val="0"/>
        <w:jc w:val="center"/>
        <w:outlineLvl w:val="0"/>
        <w:rPr>
          <w:rFonts w:hint="eastAsia" w:cs="Times New Roman"/>
          <w:lang w:val="en-US" w:eastAsia="zh-CN"/>
        </w:rPr>
      </w:pPr>
    </w:p>
    <w:p w14:paraId="1D5F674B">
      <w:pPr>
        <w:pStyle w:val="2"/>
        <w:bidi w:val="0"/>
        <w:jc w:val="center"/>
        <w:outlineLvl w:val="0"/>
        <w:rPr>
          <w:rFonts w:hint="eastAsia" w:cs="Times New Roman"/>
          <w:lang w:val="en-US" w:eastAsia="zh-CN"/>
        </w:rPr>
      </w:pPr>
      <w:bookmarkStart w:id="5" w:name="_Toc20581"/>
      <w:r>
        <w:rPr>
          <w:rFonts w:hint="eastAsia" w:cs="Times New Roman"/>
          <w:lang w:val="en-US" w:eastAsia="zh-CN"/>
        </w:rPr>
        <w:t>第三章 评审方法及评审标准</w:t>
      </w:r>
      <w:bookmarkEnd w:id="5"/>
    </w:p>
    <w:p w14:paraId="164D0234">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一、评审总则</w:t>
      </w:r>
    </w:p>
    <w:p w14:paraId="1BD771E4">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rPr>
      </w:pPr>
      <w:r>
        <w:rPr>
          <w:rFonts w:hint="eastAsia" w:asciiTheme="minorEastAsia" w:hAnsiTheme="minorEastAsia" w:eastAsiaTheme="minorEastAsia" w:cstheme="minorEastAsia"/>
          <w:kern w:val="1"/>
          <w:sz w:val="24"/>
          <w:szCs w:val="24"/>
        </w:rPr>
        <w:t>1、</w:t>
      </w:r>
      <w:r>
        <w:rPr>
          <w:rFonts w:hint="eastAsia" w:asciiTheme="minorEastAsia" w:hAnsiTheme="minorEastAsia" w:eastAsiaTheme="minorEastAsia" w:cstheme="minorEastAsia"/>
          <w:bCs/>
          <w:kern w:val="1"/>
          <w:sz w:val="24"/>
          <w:szCs w:val="24"/>
        </w:rPr>
        <w:t>评审方法</w:t>
      </w:r>
    </w:p>
    <w:p w14:paraId="22BE6D0C">
      <w:pPr>
        <w:suppressAutoHyphens/>
        <w:spacing w:before="120" w:line="320" w:lineRule="atLeast"/>
        <w:ind w:firstLine="480" w:firstLineChars="20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4"/>
        </w:rPr>
        <w:t>本项目采用</w:t>
      </w:r>
      <w:r>
        <w:rPr>
          <w:rFonts w:hint="eastAsia" w:asciiTheme="minorEastAsia" w:hAnsiTheme="minorEastAsia" w:eastAsiaTheme="minorEastAsia" w:cstheme="minorEastAsia"/>
          <w:bCs/>
          <w:color w:val="auto"/>
          <w:kern w:val="1"/>
          <w:sz w:val="24"/>
          <w:szCs w:val="24"/>
        </w:rPr>
        <w:t>最低评标价法</w:t>
      </w:r>
      <w:r>
        <w:rPr>
          <w:rFonts w:hint="eastAsia" w:asciiTheme="minorEastAsia" w:hAnsiTheme="minorEastAsia" w:eastAsiaTheme="minorEastAsia" w:cstheme="minorEastAsia"/>
          <w:color w:val="auto"/>
          <w:sz w:val="24"/>
          <w:szCs w:val="24"/>
        </w:rPr>
        <w:t>进</w:t>
      </w:r>
      <w:r>
        <w:rPr>
          <w:rFonts w:hint="eastAsia" w:asciiTheme="minorEastAsia" w:hAnsiTheme="minorEastAsia" w:eastAsiaTheme="minorEastAsia" w:cstheme="minorEastAsia"/>
          <w:sz w:val="24"/>
          <w:szCs w:val="24"/>
        </w:rPr>
        <w:t>行评审。</w:t>
      </w:r>
      <w:r>
        <w:rPr>
          <w:rFonts w:hint="eastAsia" w:asciiTheme="minorEastAsia" w:hAnsiTheme="minorEastAsia" w:eastAsiaTheme="minorEastAsia" w:cstheme="minorEastAsia"/>
          <w:bCs/>
          <w:kern w:val="1"/>
          <w:sz w:val="24"/>
          <w:szCs w:val="24"/>
        </w:rPr>
        <w:t>最低评标价法</w:t>
      </w:r>
      <w:r>
        <w:rPr>
          <w:rFonts w:hint="eastAsia" w:asciiTheme="minorEastAsia" w:hAnsiTheme="minorEastAsia" w:eastAsiaTheme="minorEastAsia" w:cstheme="minorEastAsia"/>
          <w:sz w:val="24"/>
          <w:szCs w:val="24"/>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73236DA2">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lang w:eastAsia="ar-SA"/>
        </w:rPr>
      </w:pPr>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评审</w:t>
      </w:r>
      <w:r>
        <w:rPr>
          <w:rFonts w:hint="eastAsia" w:asciiTheme="minorEastAsia" w:hAnsiTheme="minorEastAsia" w:eastAsiaTheme="minorEastAsia" w:cstheme="minorEastAsia"/>
          <w:bCs/>
          <w:kern w:val="1"/>
          <w:sz w:val="24"/>
          <w:szCs w:val="24"/>
          <w:lang w:eastAsia="ar-SA"/>
        </w:rPr>
        <w:t>依据</w:t>
      </w:r>
      <w:bookmarkStart w:id="6" w:name="_Hlk19051732"/>
    </w:p>
    <w:p w14:paraId="1C5C6ED1">
      <w:pPr>
        <w:suppressAutoHyphens/>
        <w:spacing w:before="120" w:line="320" w:lineRule="atLeast"/>
        <w:ind w:firstLine="480" w:firstLineChars="20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bCs/>
          <w:kern w:val="1"/>
          <w:sz w:val="24"/>
          <w:szCs w:val="24"/>
        </w:rPr>
        <w:t>询价</w:t>
      </w:r>
      <w:r>
        <w:rPr>
          <w:rFonts w:hint="eastAsia" w:asciiTheme="minorEastAsia" w:hAnsiTheme="minorEastAsia" w:eastAsiaTheme="minorEastAsia" w:cstheme="minorEastAsia"/>
          <w:bCs/>
          <w:kern w:val="1"/>
          <w:sz w:val="24"/>
          <w:szCs w:val="24"/>
          <w:lang w:eastAsia="ar-SA"/>
        </w:rPr>
        <w:t>小组以</w:t>
      </w:r>
      <w:r>
        <w:rPr>
          <w:rFonts w:hint="eastAsia" w:asciiTheme="minorEastAsia" w:hAnsiTheme="minorEastAsia" w:eastAsiaTheme="minorEastAsia" w:cstheme="minorEastAsia"/>
          <w:bCs/>
          <w:kern w:val="1"/>
          <w:sz w:val="24"/>
          <w:szCs w:val="24"/>
        </w:rPr>
        <w:t>询价通知书</w:t>
      </w:r>
      <w:r>
        <w:rPr>
          <w:rFonts w:hint="eastAsia" w:asciiTheme="minorEastAsia" w:hAnsiTheme="minorEastAsia" w:eastAsiaTheme="minorEastAsia" w:cstheme="minorEastAsia"/>
          <w:kern w:val="1"/>
          <w:sz w:val="24"/>
          <w:szCs w:val="24"/>
        </w:rPr>
        <w:t>、补充文件、响应文件、澄清及答复</w:t>
      </w:r>
      <w:r>
        <w:rPr>
          <w:rFonts w:hint="eastAsia" w:asciiTheme="minorEastAsia" w:hAnsiTheme="minorEastAsia" w:eastAsiaTheme="minorEastAsia" w:cstheme="minorEastAsia"/>
          <w:bCs/>
          <w:kern w:val="1"/>
          <w:sz w:val="24"/>
          <w:szCs w:val="24"/>
          <w:lang w:eastAsia="ar-SA"/>
        </w:rPr>
        <w:t>为评</w:t>
      </w:r>
      <w:r>
        <w:rPr>
          <w:rFonts w:hint="eastAsia" w:asciiTheme="minorEastAsia" w:hAnsiTheme="minorEastAsia" w:eastAsiaTheme="minorEastAsia" w:cstheme="minorEastAsia"/>
          <w:bCs/>
          <w:kern w:val="1"/>
          <w:sz w:val="24"/>
          <w:szCs w:val="24"/>
        </w:rPr>
        <w:t>审</w:t>
      </w:r>
      <w:r>
        <w:rPr>
          <w:rFonts w:hint="eastAsia" w:asciiTheme="minorEastAsia" w:hAnsiTheme="minorEastAsia" w:eastAsiaTheme="minorEastAsia" w:cstheme="minorEastAsia"/>
          <w:bCs/>
          <w:kern w:val="1"/>
          <w:sz w:val="24"/>
          <w:szCs w:val="24"/>
          <w:lang w:eastAsia="ar-SA"/>
        </w:rPr>
        <w:t>依据。</w:t>
      </w:r>
      <w:bookmarkEnd w:id="6"/>
    </w:p>
    <w:p w14:paraId="74112D3C">
      <w:pPr>
        <w:suppressAutoHyphens/>
        <w:spacing w:before="120" w:line="320" w:lineRule="atLeast"/>
        <w:ind w:firstLine="480" w:firstLineChars="20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w:t>
      </w:r>
      <w:r>
        <w:rPr>
          <w:rFonts w:hint="eastAsia" w:asciiTheme="minorEastAsia" w:hAnsiTheme="minorEastAsia" w:eastAsiaTheme="minorEastAsia" w:cstheme="minorEastAsia"/>
          <w:kern w:val="1"/>
          <w:sz w:val="24"/>
          <w:szCs w:val="24"/>
          <w:lang w:val="en-US" w:eastAsia="zh-CN"/>
        </w:rPr>
        <w:t>在线</w:t>
      </w:r>
      <w:r>
        <w:rPr>
          <w:rFonts w:hint="eastAsia" w:asciiTheme="minorEastAsia" w:hAnsiTheme="minorEastAsia" w:eastAsiaTheme="minorEastAsia" w:cstheme="minorEastAsia"/>
          <w:kern w:val="1"/>
          <w:sz w:val="24"/>
          <w:szCs w:val="24"/>
        </w:rPr>
        <w:t>询价小组</w:t>
      </w:r>
    </w:p>
    <w:p w14:paraId="650FC2F2">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highlight w:val="yellow"/>
          <w:lang w:eastAsia="ar-SA"/>
        </w:rPr>
      </w:pPr>
      <w:r>
        <w:rPr>
          <w:rFonts w:hint="eastAsia" w:asciiTheme="minorEastAsia" w:hAnsiTheme="minorEastAsia" w:eastAsiaTheme="minorEastAsia" w:cstheme="minorEastAsia"/>
          <w:bCs/>
          <w:kern w:val="1"/>
          <w:sz w:val="24"/>
          <w:szCs w:val="24"/>
          <w:lang w:eastAsia="ar-SA"/>
        </w:rPr>
        <w:t>本采购项目根据医院相关规定选取评审专家，组成</w:t>
      </w:r>
      <w:r>
        <w:rPr>
          <w:rFonts w:hint="eastAsia" w:asciiTheme="minorEastAsia" w:hAnsiTheme="minorEastAsia" w:eastAsiaTheme="minorEastAsia" w:cstheme="minorEastAsia"/>
          <w:bCs/>
          <w:kern w:val="1"/>
          <w:sz w:val="24"/>
          <w:szCs w:val="24"/>
          <w:lang w:val="en-US" w:eastAsia="zh-CN"/>
        </w:rPr>
        <w:t>在线询价</w:t>
      </w:r>
      <w:r>
        <w:rPr>
          <w:rFonts w:hint="eastAsia" w:asciiTheme="minorEastAsia" w:hAnsiTheme="minorEastAsia" w:eastAsiaTheme="minorEastAsia" w:cstheme="minorEastAsia"/>
          <w:bCs/>
          <w:kern w:val="1"/>
          <w:sz w:val="24"/>
          <w:szCs w:val="24"/>
          <w:lang w:eastAsia="ar-SA"/>
        </w:rPr>
        <w:t>小组开展评标工作。</w:t>
      </w:r>
      <w:bookmarkStart w:id="7" w:name="_Hlk87870341"/>
    </w:p>
    <w:bookmarkEnd w:id="7"/>
    <w:p w14:paraId="01CFDB8D">
      <w:pPr>
        <w:suppressAutoHyphens/>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在线</w:t>
      </w:r>
      <w:r>
        <w:rPr>
          <w:rFonts w:hint="eastAsia" w:asciiTheme="minorEastAsia" w:hAnsiTheme="minorEastAsia" w:eastAsiaTheme="minorEastAsia" w:cstheme="minorEastAsia"/>
          <w:sz w:val="24"/>
          <w:szCs w:val="24"/>
        </w:rPr>
        <w:t>询价小组成员应当按照客观、公正、审慎的原则，根据采购文件规定的评审程序、评审方法和评审标准进行独立评审。</w:t>
      </w:r>
      <w:r>
        <w:rPr>
          <w:rFonts w:hint="eastAsia" w:asciiTheme="minorEastAsia" w:hAnsiTheme="minorEastAsia" w:eastAsiaTheme="minorEastAsia" w:cstheme="minorEastAsia"/>
          <w:sz w:val="24"/>
          <w:szCs w:val="24"/>
          <w:lang w:val="en-US" w:eastAsia="zh-CN"/>
        </w:rPr>
        <w:t>在线</w:t>
      </w:r>
      <w:r>
        <w:rPr>
          <w:rFonts w:hint="eastAsia" w:asciiTheme="minorEastAsia" w:hAnsiTheme="minorEastAsia" w:eastAsiaTheme="minorEastAsia" w:cstheme="minorEastAsia"/>
          <w:sz w:val="24"/>
          <w:szCs w:val="24"/>
        </w:rPr>
        <w:t>询价小组在询价过程中，不得改变询价通知书所确定的技术和服务等要求、评审程序、评定成交的标准和合同文本等事项。</w:t>
      </w:r>
    </w:p>
    <w:p w14:paraId="7740461C">
      <w:pPr>
        <w:suppressAutoHyphens/>
        <w:spacing w:before="120" w:line="320" w:lineRule="atLeast"/>
        <w:ind w:firstLine="482" w:firstLineChars="200"/>
        <w:rPr>
          <w:rFonts w:hint="eastAsia"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kern w:val="1"/>
          <w:sz w:val="24"/>
          <w:szCs w:val="24"/>
        </w:rPr>
        <w:t>二、评审程序</w:t>
      </w:r>
    </w:p>
    <w:p w14:paraId="6C0E2F3B">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rPr>
      </w:pPr>
      <w:r>
        <w:rPr>
          <w:rFonts w:hint="eastAsia" w:asciiTheme="minorEastAsia" w:hAnsiTheme="minorEastAsia" w:eastAsiaTheme="minorEastAsia" w:cstheme="minorEastAsia"/>
          <w:bCs/>
          <w:kern w:val="1"/>
          <w:sz w:val="24"/>
          <w:szCs w:val="24"/>
        </w:rPr>
        <w:t>1、初步评审。</w:t>
      </w:r>
    </w:p>
    <w:p w14:paraId="70728CA1">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rPr>
      </w:pPr>
      <w:r>
        <w:rPr>
          <w:rFonts w:hint="eastAsia" w:asciiTheme="minorEastAsia" w:hAnsiTheme="minorEastAsia" w:eastAsiaTheme="minorEastAsia" w:cstheme="minorEastAsia"/>
          <w:bCs/>
          <w:kern w:val="1"/>
          <w:sz w:val="24"/>
          <w:szCs w:val="24"/>
        </w:rPr>
        <w:t>2、详细评审。</w:t>
      </w:r>
    </w:p>
    <w:p w14:paraId="053E7CE3">
      <w:pPr>
        <w:suppressAutoHyphens/>
        <w:spacing w:before="120" w:line="320" w:lineRule="atLeast"/>
        <w:ind w:firstLine="480" w:firstLineChars="200"/>
        <w:rPr>
          <w:rFonts w:hint="eastAsia" w:asciiTheme="minorEastAsia" w:hAnsiTheme="minorEastAsia" w:eastAsiaTheme="minorEastAsia" w:cstheme="minorEastAsia"/>
          <w:bCs/>
          <w:kern w:val="1"/>
          <w:sz w:val="24"/>
          <w:szCs w:val="24"/>
        </w:rPr>
      </w:pPr>
      <w:r>
        <w:rPr>
          <w:rFonts w:hint="eastAsia" w:asciiTheme="minorEastAsia" w:hAnsiTheme="minorEastAsia" w:eastAsiaTheme="minorEastAsia" w:cstheme="minorEastAsia"/>
          <w:bCs/>
          <w:kern w:val="1"/>
          <w:sz w:val="24"/>
          <w:szCs w:val="24"/>
        </w:rPr>
        <w:t>3、推荐成交候选供应商名单。</w:t>
      </w:r>
    </w:p>
    <w:p w14:paraId="1AC910CC">
      <w:pPr>
        <w:suppressAutoHyphens/>
        <w:spacing w:before="120" w:line="320" w:lineRule="atLeast"/>
        <w:ind w:left="2" w:leftChars="1" w:firstLine="482" w:firstLineChars="200"/>
        <w:outlineLvl w:val="9"/>
        <w:rPr>
          <w:rFonts w:hint="eastAsia" w:asciiTheme="minorEastAsia" w:hAnsiTheme="minorEastAsia" w:eastAsiaTheme="minorEastAsia" w:cstheme="minorEastAsia"/>
          <w:b/>
          <w:kern w:val="1"/>
          <w:sz w:val="24"/>
          <w:szCs w:val="24"/>
        </w:rPr>
      </w:pPr>
      <w:r>
        <w:rPr>
          <w:rFonts w:hint="eastAsia" w:asciiTheme="minorEastAsia" w:hAnsiTheme="minorEastAsia" w:eastAsiaTheme="minorEastAsia" w:cstheme="minorEastAsia"/>
          <w:b/>
          <w:bCs/>
          <w:kern w:val="0"/>
          <w:sz w:val="24"/>
          <w:szCs w:val="24"/>
        </w:rPr>
        <w:t>三</w:t>
      </w:r>
      <w:r>
        <w:rPr>
          <w:rFonts w:hint="eastAsia" w:asciiTheme="minorEastAsia" w:hAnsiTheme="minorEastAsia" w:eastAsiaTheme="minorEastAsia" w:cstheme="minorEastAsia"/>
          <w:b/>
          <w:bCs/>
          <w:kern w:val="0"/>
          <w:sz w:val="24"/>
          <w:szCs w:val="24"/>
          <w:lang w:eastAsia="ar-SA"/>
        </w:rPr>
        <w:t>、评</w:t>
      </w:r>
      <w:r>
        <w:rPr>
          <w:rFonts w:hint="eastAsia" w:asciiTheme="minorEastAsia" w:hAnsiTheme="minorEastAsia" w:eastAsiaTheme="minorEastAsia" w:cstheme="minorEastAsia"/>
          <w:b/>
          <w:bCs/>
          <w:kern w:val="0"/>
          <w:sz w:val="24"/>
          <w:szCs w:val="24"/>
        </w:rPr>
        <w:t>审内容</w:t>
      </w:r>
    </w:p>
    <w:p w14:paraId="422B0752">
      <w:pPr>
        <w:spacing w:before="120" w:line="320" w:lineRule="atLeas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1、资格审查</w:t>
      </w:r>
    </w:p>
    <w:p w14:paraId="00E15374">
      <w:pPr>
        <w:suppressAutoHyphens/>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询价小组对所有供应商的响应文件进行资格审查。以确定供应商是否具备询价资格。资格审查表如下，缺少任何一项或有任何一项不合格者，其资格审查视为不合格。</w:t>
      </w:r>
    </w:p>
    <w:tbl>
      <w:tblPr>
        <w:tblStyle w:val="14"/>
        <w:tblpPr w:leftFromText="180" w:rightFromText="180" w:vertAnchor="text" w:horzAnchor="page" w:tblpX="790" w:tblpY="464"/>
        <w:tblOverlap w:val="never"/>
        <w:tblW w:w="10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914"/>
        <w:gridCol w:w="6986"/>
      </w:tblGrid>
      <w:tr w14:paraId="684B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Align w:val="center"/>
          </w:tcPr>
          <w:p w14:paraId="087F710A">
            <w:pPr>
              <w:widowControl w:val="0"/>
              <w:adjustRightInd/>
              <w:snapToGrid/>
              <w:spacing w:after="0"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2765" w:type="dxa"/>
            <w:gridSpan w:val="2"/>
            <w:vAlign w:val="center"/>
          </w:tcPr>
          <w:p w14:paraId="0861B27F">
            <w:pPr>
              <w:widowControl w:val="0"/>
              <w:adjustRightInd/>
              <w:snapToGrid/>
              <w:spacing w:after="0"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6986" w:type="dxa"/>
            <w:vAlign w:val="center"/>
          </w:tcPr>
          <w:p w14:paraId="0BBC2CB3">
            <w:pPr>
              <w:widowControl w:val="0"/>
              <w:adjustRightInd/>
              <w:snapToGrid/>
              <w:spacing w:after="0"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评审内容及评审标准</w:t>
            </w:r>
          </w:p>
        </w:tc>
      </w:tr>
      <w:tr w14:paraId="2CFC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trPr>
        <w:tc>
          <w:tcPr>
            <w:tcW w:w="675" w:type="dxa"/>
            <w:vMerge w:val="restart"/>
            <w:vAlign w:val="center"/>
          </w:tcPr>
          <w:p w14:paraId="40BAF7DD">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2765" w:type="dxa"/>
            <w:gridSpan w:val="2"/>
            <w:vAlign w:val="center"/>
          </w:tcPr>
          <w:p w14:paraId="7CA17034">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（1）具有独立承担民事责任的能力</w:t>
            </w:r>
          </w:p>
        </w:tc>
        <w:tc>
          <w:tcPr>
            <w:tcW w:w="6986" w:type="dxa"/>
            <w:shd w:val="clear" w:color="auto" w:fill="auto"/>
          </w:tcPr>
          <w:p w14:paraId="42504628">
            <w:pPr>
              <w:widowControl w:val="0"/>
              <w:adjustRightInd/>
              <w:snapToGrid/>
              <w:spacing w:after="0" w:line="24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审查法人或者其他组织的</w:t>
            </w:r>
            <w:r>
              <w:rPr>
                <w:rFonts w:hint="eastAsia" w:asciiTheme="minorEastAsia" w:hAnsiTheme="minorEastAsia" w:eastAsiaTheme="minorEastAsia" w:cstheme="minorEastAsia"/>
                <w:color w:val="auto"/>
                <w:kern w:val="2"/>
                <w:sz w:val="24"/>
                <w:szCs w:val="24"/>
                <w:lang w:val="en-US" w:eastAsia="zh-CN"/>
              </w:rPr>
              <w:t>营业执照</w:t>
            </w:r>
            <w:r>
              <w:rPr>
                <w:rFonts w:hint="eastAsia" w:asciiTheme="minorEastAsia" w:hAnsiTheme="minorEastAsia" w:eastAsiaTheme="minorEastAsia" w:cstheme="minorEastAsia"/>
                <w:color w:val="auto"/>
                <w:kern w:val="2"/>
                <w:sz w:val="24"/>
                <w:szCs w:val="24"/>
              </w:rPr>
              <w:t>等证明文件。须按以下要求提供，材料须有效。</w:t>
            </w:r>
          </w:p>
          <w:p w14:paraId="694566DF">
            <w:pPr>
              <w:widowControl w:val="0"/>
              <w:adjustRightInd/>
              <w:snapToGrid/>
              <w:spacing w:after="0" w:line="24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如供应商不是以上所列的法人、组织的，则提供国家规定的相关证明材料。</w:t>
            </w:r>
          </w:p>
        </w:tc>
      </w:tr>
      <w:tr w14:paraId="6F67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Merge w:val="continue"/>
            <w:vAlign w:val="center"/>
          </w:tcPr>
          <w:p w14:paraId="15B522DA">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2765" w:type="dxa"/>
            <w:gridSpan w:val="2"/>
            <w:vAlign w:val="center"/>
          </w:tcPr>
          <w:p w14:paraId="559156DC">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zh-CN"/>
              </w:rPr>
              <w:t>（2）</w:t>
            </w:r>
            <w:r>
              <w:rPr>
                <w:rFonts w:hint="eastAsia" w:asciiTheme="minorEastAsia" w:hAnsiTheme="minorEastAsia" w:eastAsiaTheme="minorEastAsia" w:cstheme="minorEastAsia"/>
                <w:kern w:val="2"/>
                <w:sz w:val="24"/>
                <w:szCs w:val="24"/>
              </w:rPr>
              <w:t>具有良好的商业信誉和健全的财务会计制度</w:t>
            </w:r>
          </w:p>
        </w:tc>
        <w:tc>
          <w:tcPr>
            <w:tcW w:w="6986" w:type="dxa"/>
            <w:shd w:val="clear" w:color="auto" w:fill="auto"/>
          </w:tcPr>
          <w:p w14:paraId="06A6FC90">
            <w:pPr>
              <w:widowControl w:val="0"/>
              <w:adjustRightInd/>
              <w:snapToGrid/>
              <w:spacing w:after="0" w:line="24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①审查商业信誉声明。须提供，格式见第六章响应文件格式</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响应声明书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w:t>
            </w:r>
          </w:p>
          <w:p w14:paraId="5B78CE75">
            <w:pPr>
              <w:widowControl w:val="0"/>
              <w:adjustRightInd/>
              <w:snapToGrid/>
              <w:spacing w:after="0" w:line="24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②审查202</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年或202</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rPr>
              <w:t>年年度财务状况报告（表）复印件或银行出具的资信证明复印件，对于从取得营业执照时间起到响应文件递交截止时间为止不足1年的供应商，只需提交响应文件递交截止时间前一个月的财务状况报告（表）复印件。</w:t>
            </w:r>
          </w:p>
        </w:tc>
      </w:tr>
      <w:tr w14:paraId="5DF3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675" w:type="dxa"/>
            <w:vMerge w:val="continue"/>
            <w:vAlign w:val="center"/>
          </w:tcPr>
          <w:p w14:paraId="63766756">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2765" w:type="dxa"/>
            <w:gridSpan w:val="2"/>
            <w:vAlign w:val="center"/>
          </w:tcPr>
          <w:p w14:paraId="5C6A56C4">
            <w:pPr>
              <w:widowControl w:val="0"/>
              <w:adjustRightInd/>
              <w:snapToGrid/>
              <w:spacing w:after="0" w:line="240" w:lineRule="exact"/>
              <w:jc w:val="both"/>
              <w:rPr>
                <w:rFonts w:hint="eastAsia"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kern w:val="2"/>
                <w:sz w:val="24"/>
                <w:szCs w:val="24"/>
                <w:lang w:val="zh-CN"/>
              </w:rPr>
              <w:t>（3）具有履行合同所必需的设备和专业技术能力</w:t>
            </w:r>
          </w:p>
        </w:tc>
        <w:tc>
          <w:tcPr>
            <w:tcW w:w="6986" w:type="dxa"/>
          </w:tcPr>
          <w:p w14:paraId="0CA3921B">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①审查供应商营业执照，须有效； </w:t>
            </w:r>
          </w:p>
          <w:p w14:paraId="57039E18">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②审查书面声明。须提供，格式见第六章响应文件格式</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响应声明书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kern w:val="2"/>
                <w:sz w:val="24"/>
                <w:szCs w:val="24"/>
              </w:rPr>
              <w:t>。</w:t>
            </w:r>
          </w:p>
          <w:p w14:paraId="7F476FC7">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审查①或②，满足其一，即为符合要求。</w:t>
            </w:r>
          </w:p>
        </w:tc>
      </w:tr>
      <w:tr w14:paraId="50BF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675" w:type="dxa"/>
            <w:vMerge w:val="continue"/>
            <w:vAlign w:val="center"/>
          </w:tcPr>
          <w:p w14:paraId="44838BD1">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2765" w:type="dxa"/>
            <w:gridSpan w:val="2"/>
            <w:vAlign w:val="center"/>
          </w:tcPr>
          <w:p w14:paraId="2A36E092">
            <w:pPr>
              <w:widowControl w:val="0"/>
              <w:adjustRightInd/>
              <w:snapToGrid/>
              <w:spacing w:after="0" w:line="240" w:lineRule="exact"/>
              <w:jc w:val="both"/>
              <w:rPr>
                <w:rFonts w:hint="eastAsia"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kern w:val="2"/>
                <w:sz w:val="24"/>
                <w:szCs w:val="24"/>
                <w:lang w:val="zh-CN"/>
              </w:rPr>
              <w:t>（4）有依法缴纳税收和社会保障金的良好记录</w:t>
            </w:r>
          </w:p>
        </w:tc>
        <w:tc>
          <w:tcPr>
            <w:tcW w:w="6986" w:type="dxa"/>
          </w:tcPr>
          <w:p w14:paraId="08AA0C28">
            <w:pPr>
              <w:widowControl w:val="0"/>
              <w:adjustRightInd/>
              <w:snapToGrid/>
              <w:spacing w:after="0" w:line="240" w:lineRule="exact"/>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kern w:val="2"/>
                <w:sz w:val="24"/>
                <w:szCs w:val="24"/>
              </w:rPr>
              <w:t>①审查响应截止时间</w:t>
            </w:r>
            <w:r>
              <w:rPr>
                <w:rFonts w:hint="eastAsia" w:asciiTheme="minorEastAsia" w:hAnsiTheme="minorEastAsia" w:eastAsiaTheme="minorEastAsia" w:cstheme="minorEastAsia"/>
                <w:color w:val="auto"/>
                <w:kern w:val="2"/>
                <w:sz w:val="24"/>
                <w:szCs w:val="24"/>
              </w:rPr>
              <w:t>前6个月内，供应商任意1个月依法缴纳税费证明复印件加盖供应商公章。</w:t>
            </w:r>
          </w:p>
          <w:p w14:paraId="40AC96BF">
            <w:pPr>
              <w:widowControl w:val="0"/>
              <w:adjustRightInd/>
              <w:snapToGrid/>
              <w:spacing w:after="0" w:line="240" w:lineRule="exact"/>
              <w:jc w:val="left"/>
              <w:rPr>
                <w:rFonts w:hint="eastAsia"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color w:val="auto"/>
                <w:kern w:val="2"/>
                <w:sz w:val="24"/>
                <w:szCs w:val="24"/>
              </w:rPr>
              <w:t>②审查响应截止时间前6个月内，</w:t>
            </w:r>
            <w:r>
              <w:rPr>
                <w:rFonts w:hint="eastAsia" w:asciiTheme="minorEastAsia" w:hAnsiTheme="minorEastAsia" w:eastAsiaTheme="minorEastAsia" w:cstheme="minorEastAsia"/>
                <w:kern w:val="2"/>
                <w:sz w:val="24"/>
                <w:szCs w:val="24"/>
              </w:rPr>
              <w:t>供应商任意1个月的记录复印件加盖供应商公章。社保缴费证明</w:t>
            </w:r>
          </w:p>
          <w:p w14:paraId="64269F2A">
            <w:pPr>
              <w:widowControl w:val="0"/>
              <w:adjustRightInd/>
              <w:snapToGrid/>
              <w:spacing w:after="0" w:line="240" w:lineRule="exact"/>
              <w:jc w:val="left"/>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供应商成立不足1个月的，无须提供</w:t>
            </w:r>
            <w:r>
              <w:rPr>
                <w:rFonts w:hint="eastAsia" w:asciiTheme="minorEastAsia" w:hAnsiTheme="minorEastAsia" w:eastAsiaTheme="minorEastAsia" w:cstheme="minorEastAsia"/>
                <w:kern w:val="2"/>
                <w:sz w:val="24"/>
                <w:szCs w:val="24"/>
              </w:rPr>
              <w:t>缴纳税费证明及社保缴费证明加盖供应商公章</w:t>
            </w:r>
            <w:r>
              <w:rPr>
                <w:rFonts w:hint="eastAsia" w:asciiTheme="minorEastAsia" w:hAnsiTheme="minorEastAsia" w:eastAsiaTheme="minorEastAsia" w:cstheme="minorEastAsia"/>
                <w:color w:val="000000"/>
                <w:kern w:val="2"/>
                <w:sz w:val="24"/>
                <w:szCs w:val="24"/>
              </w:rPr>
              <w:t>。</w:t>
            </w:r>
          </w:p>
          <w:p w14:paraId="26933671">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依法免税或不需要缴纳社会保障资金的供应商，须提供相应文件证明其依法免税或不需要缴纳社会保障资金。</w:t>
            </w:r>
          </w:p>
        </w:tc>
      </w:tr>
      <w:tr w14:paraId="07F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675" w:type="dxa"/>
            <w:vMerge w:val="continue"/>
            <w:vAlign w:val="center"/>
          </w:tcPr>
          <w:p w14:paraId="641F3E3E">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2765" w:type="dxa"/>
            <w:gridSpan w:val="2"/>
            <w:vAlign w:val="center"/>
          </w:tcPr>
          <w:p w14:paraId="583E5BFC">
            <w:pPr>
              <w:widowControl w:val="0"/>
              <w:adjustRightInd/>
              <w:snapToGrid/>
              <w:spacing w:after="0" w:line="240" w:lineRule="exact"/>
              <w:jc w:val="both"/>
              <w:rPr>
                <w:rFonts w:hint="eastAsia" w:asciiTheme="minorEastAsia" w:hAnsiTheme="minorEastAsia" w:eastAsiaTheme="minorEastAsia" w:cstheme="minorEastAsia"/>
                <w:kern w:val="2"/>
                <w:sz w:val="24"/>
                <w:szCs w:val="24"/>
                <w:lang w:val="zh-CN"/>
              </w:rPr>
            </w:pPr>
            <w:r>
              <w:rPr>
                <w:rFonts w:hint="eastAsia" w:asciiTheme="minorEastAsia" w:hAnsiTheme="minorEastAsia" w:eastAsiaTheme="minorEastAsia" w:cstheme="minorEastAsia"/>
                <w:kern w:val="2"/>
                <w:sz w:val="24"/>
                <w:szCs w:val="24"/>
              </w:rPr>
              <w:t>（5）参加采购活动前三年内，在经营活动中没有重大违法记录及不良信用记录</w:t>
            </w:r>
          </w:p>
        </w:tc>
        <w:tc>
          <w:tcPr>
            <w:tcW w:w="6986" w:type="dxa"/>
            <w:vAlign w:val="center"/>
          </w:tcPr>
          <w:p w14:paraId="0ADA7920">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审查无重大违法记录声明。须提供，格式见第六章响应文件格式</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响应声明书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kern w:val="2"/>
                <w:sz w:val="24"/>
                <w:szCs w:val="24"/>
              </w:rPr>
              <w:t xml:space="preserve">。 </w:t>
            </w:r>
          </w:p>
        </w:tc>
      </w:tr>
      <w:tr w14:paraId="0E96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trPr>
        <w:tc>
          <w:tcPr>
            <w:tcW w:w="675" w:type="dxa"/>
            <w:vMerge w:val="continue"/>
            <w:vAlign w:val="center"/>
          </w:tcPr>
          <w:p w14:paraId="58345785">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2765" w:type="dxa"/>
            <w:gridSpan w:val="2"/>
            <w:vAlign w:val="center"/>
          </w:tcPr>
          <w:p w14:paraId="479D9E26">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（6）诚信要求</w:t>
            </w:r>
          </w:p>
        </w:tc>
        <w:tc>
          <w:tcPr>
            <w:tcW w:w="6986" w:type="dxa"/>
          </w:tcPr>
          <w:p w14:paraId="7ADD920E">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①审核标准：供应商如被列入失信被执行人、重大税收违法失信主体，则资格审查不予通过，按无效响应处理。</w:t>
            </w:r>
          </w:p>
          <w:p w14:paraId="2DAEC37A">
            <w:pPr>
              <w:widowControl w:val="0"/>
              <w:adjustRightInd/>
              <w:snapToGrid/>
              <w:spacing w:after="0" w:line="240" w:lineRule="exact"/>
              <w:jc w:val="left"/>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②信用信息查询渠道：</w:t>
            </w:r>
            <w:r>
              <w:rPr>
                <w:rFonts w:hint="eastAsia" w:asciiTheme="minorEastAsia" w:hAnsiTheme="minorEastAsia" w:eastAsiaTheme="minorEastAsia" w:cstheme="minorEastAsia"/>
                <w:kern w:val="2"/>
                <w:sz w:val="24"/>
                <w:szCs w:val="24"/>
                <w:u w:val="single"/>
              </w:rPr>
              <w:t>信用中国网：</w:t>
            </w:r>
            <w:r>
              <w:rPr>
                <w:rFonts w:hint="eastAsia" w:asciiTheme="minorEastAsia" w:hAnsiTheme="minorEastAsia" w:eastAsiaTheme="minorEastAsia" w:cstheme="minorEastAsia"/>
                <w:kern w:val="2"/>
                <w:sz w:val="24"/>
                <w:szCs w:val="24"/>
                <w:u w:val="single"/>
                <w:lang w:eastAsia="zh-CN"/>
              </w:rPr>
              <w:t>“</w:t>
            </w:r>
            <w:r>
              <w:rPr>
                <w:rFonts w:hint="eastAsia" w:asciiTheme="minorEastAsia" w:hAnsiTheme="minorEastAsia" w:eastAsiaTheme="minorEastAsia" w:cstheme="minorEastAsia"/>
                <w:kern w:val="2"/>
                <w:sz w:val="24"/>
                <w:szCs w:val="24"/>
                <w:u w:val="single"/>
              </w:rPr>
              <w:t>失信被执行人</w:t>
            </w:r>
            <w:r>
              <w:rPr>
                <w:rFonts w:hint="eastAsia" w:asciiTheme="minorEastAsia" w:hAnsiTheme="minorEastAsia" w:eastAsiaTheme="minorEastAsia" w:cstheme="minorEastAsia"/>
                <w:kern w:val="2"/>
                <w:sz w:val="24"/>
                <w:szCs w:val="24"/>
                <w:u w:val="single"/>
                <w:lang w:eastAsia="zh-CN"/>
              </w:rPr>
              <w:t>”</w:t>
            </w:r>
            <w:r>
              <w:rPr>
                <w:rFonts w:hint="eastAsia" w:asciiTheme="minorEastAsia" w:hAnsiTheme="minorEastAsia" w:eastAsiaTheme="minorEastAsia" w:cstheme="minorEastAsia"/>
                <w:kern w:val="2"/>
                <w:sz w:val="24"/>
                <w:szCs w:val="24"/>
                <w:u w:val="single"/>
              </w:rPr>
              <w:t>、</w:t>
            </w:r>
            <w:r>
              <w:rPr>
                <w:rFonts w:hint="eastAsia" w:asciiTheme="minorEastAsia" w:hAnsiTheme="minorEastAsia" w:eastAsiaTheme="minorEastAsia" w:cstheme="minorEastAsia"/>
                <w:kern w:val="2"/>
                <w:sz w:val="24"/>
                <w:szCs w:val="24"/>
                <w:u w:val="single"/>
                <w:lang w:eastAsia="zh-CN"/>
              </w:rPr>
              <w:t>“</w:t>
            </w:r>
            <w:r>
              <w:rPr>
                <w:rFonts w:hint="eastAsia" w:asciiTheme="minorEastAsia" w:hAnsiTheme="minorEastAsia" w:eastAsiaTheme="minorEastAsia" w:cstheme="minorEastAsia"/>
                <w:kern w:val="0"/>
                <w:sz w:val="24"/>
                <w:szCs w:val="24"/>
                <w:u w:val="single"/>
              </w:rPr>
              <w:t>重大税收违法失信主体</w:t>
            </w:r>
            <w:r>
              <w:rPr>
                <w:rFonts w:hint="eastAsia" w:asciiTheme="minorEastAsia" w:hAnsiTheme="minorEastAsia" w:eastAsiaTheme="minorEastAsia" w:cstheme="minorEastAsia"/>
                <w:kern w:val="2"/>
                <w:sz w:val="24"/>
                <w:szCs w:val="24"/>
                <w:u w:val="single"/>
                <w:lang w:eastAsia="zh-CN"/>
              </w:rPr>
              <w:t>”</w:t>
            </w:r>
            <w:r>
              <w:rPr>
                <w:rFonts w:hint="eastAsia" w:asciiTheme="minorEastAsia" w:hAnsiTheme="minorEastAsia" w:eastAsiaTheme="minorEastAsia" w:cstheme="minorEastAsia"/>
                <w:kern w:val="2"/>
                <w:sz w:val="24"/>
                <w:szCs w:val="24"/>
                <w:u w:val="single"/>
              </w:rPr>
              <w:t xml:space="preserve"> </w:t>
            </w:r>
          </w:p>
          <w:p w14:paraId="52BD2D49">
            <w:pPr>
              <w:widowControl w:val="0"/>
              <w:adjustRightInd/>
              <w:snapToGrid/>
              <w:spacing w:after="0" w:line="240" w:lineRule="exact"/>
              <w:jc w:val="left"/>
              <w:rPr>
                <w:rFonts w:hint="eastAsia" w:asciiTheme="minorEastAsia" w:hAnsiTheme="minorEastAsia" w:eastAsiaTheme="minorEastAsia" w:cstheme="minorEastAsia"/>
                <w:kern w:val="2"/>
                <w:sz w:val="24"/>
                <w:szCs w:val="24"/>
                <w:highlight w:val="red"/>
              </w:rPr>
            </w:pPr>
            <w:r>
              <w:rPr>
                <w:rFonts w:hint="eastAsia" w:asciiTheme="minorEastAsia" w:hAnsiTheme="minorEastAsia" w:eastAsiaTheme="minorEastAsia" w:cstheme="minorEastAsia"/>
                <w:kern w:val="2"/>
                <w:sz w:val="24"/>
                <w:szCs w:val="24"/>
              </w:rPr>
              <w:t>③查询方式：资格审查时，</w:t>
            </w:r>
            <w:r>
              <w:rPr>
                <w:rFonts w:hint="eastAsia" w:asciiTheme="minorEastAsia" w:hAnsiTheme="minorEastAsia" w:eastAsiaTheme="minorEastAsia" w:cstheme="minorEastAsia"/>
                <w:kern w:val="2"/>
                <w:sz w:val="24"/>
                <w:szCs w:val="24"/>
                <w:lang w:val="en-US" w:eastAsia="zh-CN"/>
              </w:rPr>
              <w:t>采购人</w:t>
            </w:r>
            <w:r>
              <w:rPr>
                <w:rFonts w:hint="eastAsia" w:asciiTheme="minorEastAsia" w:hAnsiTheme="minorEastAsia" w:eastAsiaTheme="minorEastAsia" w:cstheme="minorEastAsia"/>
                <w:kern w:val="2"/>
                <w:sz w:val="24"/>
                <w:szCs w:val="24"/>
              </w:rPr>
              <w:t>通过上述渠道查询供应商的信用记录供评委审核。</w:t>
            </w:r>
          </w:p>
          <w:p w14:paraId="163811E5">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ja-JP"/>
              </w:rPr>
              <w:t>④</w:t>
            </w:r>
            <w:r>
              <w:rPr>
                <w:rFonts w:hint="eastAsia" w:asciiTheme="minorEastAsia" w:hAnsiTheme="minorEastAsia" w:eastAsiaTheme="minorEastAsia" w:cstheme="minorEastAsia"/>
                <w:kern w:val="2"/>
                <w:sz w:val="24"/>
                <w:szCs w:val="24"/>
              </w:rPr>
              <w:t>信用信息查询记录和证据留存的具体方式：通过上述查询渠道查询的供应商信用记录查询结果，将作为采购活动档案留存</w:t>
            </w:r>
          </w:p>
        </w:tc>
      </w:tr>
      <w:tr w14:paraId="4DEF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restart"/>
            <w:vAlign w:val="center"/>
          </w:tcPr>
          <w:p w14:paraId="06C0E5C2">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851" w:type="dxa"/>
            <w:vMerge w:val="restart"/>
            <w:vAlign w:val="center"/>
          </w:tcPr>
          <w:p w14:paraId="361386FF">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zh-CN"/>
              </w:rPr>
              <w:t>供应商应符合的</w:t>
            </w:r>
            <w:r>
              <w:rPr>
                <w:rFonts w:hint="eastAsia" w:asciiTheme="minorEastAsia" w:hAnsiTheme="minorEastAsia" w:eastAsiaTheme="minorEastAsia" w:cstheme="minorEastAsia"/>
                <w:kern w:val="2"/>
                <w:sz w:val="24"/>
                <w:szCs w:val="24"/>
              </w:rPr>
              <w:t>特定资格要求</w:t>
            </w:r>
          </w:p>
        </w:tc>
        <w:tc>
          <w:tcPr>
            <w:tcW w:w="1914" w:type="dxa"/>
            <w:vAlign w:val="center"/>
          </w:tcPr>
          <w:p w14:paraId="006CAD9A">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（1）资质要求</w:t>
            </w:r>
          </w:p>
        </w:tc>
        <w:tc>
          <w:tcPr>
            <w:tcW w:w="6986" w:type="dxa"/>
            <w:vAlign w:val="center"/>
          </w:tcPr>
          <w:p w14:paraId="0AADFBC6">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须符合</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询价公告</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的要求</w:t>
            </w:r>
          </w:p>
        </w:tc>
      </w:tr>
      <w:tr w14:paraId="3D50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14:paraId="60A13B4D">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851" w:type="dxa"/>
            <w:vMerge w:val="continue"/>
            <w:vAlign w:val="center"/>
          </w:tcPr>
          <w:p w14:paraId="085EB168">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p>
        </w:tc>
        <w:tc>
          <w:tcPr>
            <w:tcW w:w="1914" w:type="dxa"/>
            <w:vAlign w:val="center"/>
          </w:tcPr>
          <w:p w14:paraId="083B214A">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（2）业绩要求</w:t>
            </w:r>
          </w:p>
        </w:tc>
        <w:tc>
          <w:tcPr>
            <w:tcW w:w="6986" w:type="dxa"/>
            <w:vAlign w:val="center"/>
          </w:tcPr>
          <w:p w14:paraId="64AAD522">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须符合</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询价公告</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的要求</w:t>
            </w:r>
          </w:p>
        </w:tc>
      </w:tr>
      <w:tr w14:paraId="4B4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14:paraId="174C27F5">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p>
        </w:tc>
        <w:tc>
          <w:tcPr>
            <w:tcW w:w="851" w:type="dxa"/>
            <w:vMerge w:val="continue"/>
            <w:vAlign w:val="center"/>
          </w:tcPr>
          <w:p w14:paraId="4B723B2D">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p>
        </w:tc>
        <w:tc>
          <w:tcPr>
            <w:tcW w:w="1914" w:type="dxa"/>
            <w:vAlign w:val="center"/>
          </w:tcPr>
          <w:p w14:paraId="161C0455">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（3）其他要求</w:t>
            </w:r>
          </w:p>
        </w:tc>
        <w:tc>
          <w:tcPr>
            <w:tcW w:w="6986" w:type="dxa"/>
            <w:vAlign w:val="center"/>
          </w:tcPr>
          <w:p w14:paraId="3C959133">
            <w:pPr>
              <w:widowControl w:val="0"/>
              <w:adjustRightInd/>
              <w:snapToGrid/>
              <w:spacing w:after="0" w:line="240" w:lineRule="exact"/>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须符合</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询价公告</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的要求</w:t>
            </w:r>
          </w:p>
        </w:tc>
      </w:tr>
      <w:tr w14:paraId="2D6D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75" w:type="dxa"/>
            <w:vAlign w:val="center"/>
          </w:tcPr>
          <w:p w14:paraId="7E42FC47">
            <w:pPr>
              <w:widowControl w:val="0"/>
              <w:adjustRightInd/>
              <w:snapToGrid/>
              <w:spacing w:after="0" w:line="240" w:lineRule="exact"/>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0"/>
                <w:sz w:val="24"/>
                <w:szCs w:val="24"/>
              </w:rPr>
              <w:t>3</w:t>
            </w:r>
          </w:p>
        </w:tc>
        <w:tc>
          <w:tcPr>
            <w:tcW w:w="2765" w:type="dxa"/>
            <w:gridSpan w:val="2"/>
            <w:vAlign w:val="center"/>
          </w:tcPr>
          <w:p w14:paraId="6EDA7B1C">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0"/>
                <w:sz w:val="24"/>
                <w:szCs w:val="24"/>
              </w:rPr>
              <w:t>供应商不得参加资格审查的情形</w:t>
            </w:r>
          </w:p>
        </w:tc>
        <w:tc>
          <w:tcPr>
            <w:tcW w:w="6986" w:type="dxa"/>
            <w:vAlign w:val="center"/>
          </w:tcPr>
          <w:p w14:paraId="0D60F429">
            <w:pPr>
              <w:widowControl w:val="0"/>
              <w:adjustRightInd/>
              <w:snapToGrid/>
              <w:spacing w:after="0" w:line="24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0"/>
                <w:sz w:val="24"/>
                <w:szCs w:val="24"/>
              </w:rPr>
              <w:t>须符合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2"/>
                <w:sz w:val="24"/>
                <w:szCs w:val="24"/>
              </w:rPr>
              <w:t>询价公告</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的要求</w:t>
            </w:r>
          </w:p>
        </w:tc>
      </w:tr>
    </w:tbl>
    <w:p w14:paraId="5600550F">
      <w:pPr>
        <w:rPr>
          <w:rFonts w:hint="eastAsia" w:asciiTheme="minorEastAsia" w:hAnsiTheme="minorEastAsia" w:eastAsiaTheme="minorEastAsia" w:cstheme="minorEastAsia"/>
          <w:sz w:val="24"/>
          <w:szCs w:val="24"/>
          <w:lang w:val="en-US" w:eastAsia="zh-CN"/>
        </w:rPr>
      </w:pPr>
    </w:p>
    <w:p w14:paraId="318DA2F5">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2、符合性检查</w:t>
      </w:r>
    </w:p>
    <w:p w14:paraId="69499140">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1"/>
          <w:sz w:val="24"/>
          <w:szCs w:val="24"/>
        </w:rPr>
        <w:t>资格审查结束后，由询价小组对</w:t>
      </w:r>
      <w:r>
        <w:rPr>
          <w:rFonts w:hint="eastAsia" w:asciiTheme="minorEastAsia" w:hAnsiTheme="minorEastAsia" w:eastAsiaTheme="minorEastAsia" w:cstheme="minorEastAsia"/>
          <w:sz w:val="24"/>
          <w:szCs w:val="24"/>
        </w:rPr>
        <w:t>通过资格审查的供应商的响应文件进行符合性审查，以确定其是否满足询价通知书的实质性要求。符合性检查表如下，缺少任何一项或有任何一项不合格者，其符合性检查视为不合格。</w:t>
      </w:r>
    </w:p>
    <w:tbl>
      <w:tblPr>
        <w:tblStyle w:val="14"/>
        <w:tblpPr w:leftFromText="180" w:rightFromText="180" w:vertAnchor="text" w:horzAnchor="page" w:tblpX="790" w:tblpY="337"/>
        <w:tblOverlap w:val="never"/>
        <w:tblW w:w="10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99"/>
        <w:gridCol w:w="1984"/>
        <w:gridCol w:w="6207"/>
      </w:tblGrid>
      <w:tr w14:paraId="051A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6" w:type="dxa"/>
            <w:vAlign w:val="center"/>
          </w:tcPr>
          <w:p w14:paraId="7DFC7C4B">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3383" w:type="dxa"/>
            <w:gridSpan w:val="2"/>
            <w:vAlign w:val="center"/>
          </w:tcPr>
          <w:p w14:paraId="2F6821DA">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6207" w:type="dxa"/>
            <w:vAlign w:val="center"/>
          </w:tcPr>
          <w:p w14:paraId="39D2524F">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r>
      <w:tr w14:paraId="208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6" w:type="dxa"/>
            <w:vMerge w:val="restart"/>
            <w:vAlign w:val="center"/>
          </w:tcPr>
          <w:p w14:paraId="18607827">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99" w:type="dxa"/>
            <w:vMerge w:val="restart"/>
            <w:vAlign w:val="center"/>
          </w:tcPr>
          <w:p w14:paraId="4444DEF3">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有效性审查</w:t>
            </w:r>
          </w:p>
        </w:tc>
        <w:tc>
          <w:tcPr>
            <w:tcW w:w="1984" w:type="dxa"/>
            <w:vAlign w:val="center"/>
          </w:tcPr>
          <w:p w14:paraId="41DD6F73">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响应文件签署</w:t>
            </w:r>
          </w:p>
        </w:tc>
        <w:tc>
          <w:tcPr>
            <w:tcW w:w="6207" w:type="dxa"/>
            <w:vAlign w:val="center"/>
          </w:tcPr>
          <w:p w14:paraId="2D4C2C78">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响应文件上法定代表人或其授权代表人已按要求签字盖章。</w:t>
            </w:r>
          </w:p>
        </w:tc>
      </w:tr>
      <w:tr w14:paraId="12E4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6" w:type="dxa"/>
            <w:vMerge w:val="continue"/>
            <w:vAlign w:val="center"/>
          </w:tcPr>
          <w:p w14:paraId="3692D6ED">
            <w:pPr>
              <w:spacing w:line="240" w:lineRule="exact"/>
              <w:jc w:val="center"/>
              <w:rPr>
                <w:rFonts w:hint="eastAsia" w:asciiTheme="minorEastAsia" w:hAnsiTheme="minorEastAsia" w:eastAsiaTheme="minorEastAsia" w:cstheme="minorEastAsia"/>
                <w:sz w:val="24"/>
                <w:szCs w:val="24"/>
              </w:rPr>
            </w:pPr>
          </w:p>
        </w:tc>
        <w:tc>
          <w:tcPr>
            <w:tcW w:w="1399" w:type="dxa"/>
            <w:vMerge w:val="continue"/>
            <w:vAlign w:val="center"/>
          </w:tcPr>
          <w:p w14:paraId="48312F80">
            <w:pPr>
              <w:spacing w:line="240" w:lineRule="exact"/>
              <w:rPr>
                <w:rFonts w:hint="eastAsia" w:asciiTheme="minorEastAsia" w:hAnsiTheme="minorEastAsia" w:eastAsiaTheme="minorEastAsia" w:cstheme="minorEastAsia"/>
                <w:kern w:val="0"/>
                <w:sz w:val="24"/>
                <w:szCs w:val="24"/>
              </w:rPr>
            </w:pPr>
          </w:p>
        </w:tc>
        <w:tc>
          <w:tcPr>
            <w:tcW w:w="1984" w:type="dxa"/>
            <w:vAlign w:val="center"/>
          </w:tcPr>
          <w:p w14:paraId="01604D26">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法定代表人身份证明及授权委托书</w:t>
            </w:r>
          </w:p>
        </w:tc>
        <w:tc>
          <w:tcPr>
            <w:tcW w:w="6207" w:type="dxa"/>
            <w:vAlign w:val="center"/>
          </w:tcPr>
          <w:p w14:paraId="5D9EEA77">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授权代表参加询价时审查：法定代表人授权委托书及附件，格式及附件见第六章响应文件格式要求；</w:t>
            </w:r>
          </w:p>
          <w:p w14:paraId="1FEE9516">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法定代表人直接参加询价时审查：法定代表人身份证明及附件，格式及附件见第六章响应文件格式要求。</w:t>
            </w:r>
          </w:p>
        </w:tc>
      </w:tr>
      <w:tr w14:paraId="66E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36" w:type="dxa"/>
            <w:vMerge w:val="continue"/>
            <w:vAlign w:val="center"/>
          </w:tcPr>
          <w:p w14:paraId="1550F137">
            <w:pPr>
              <w:spacing w:line="240" w:lineRule="exact"/>
              <w:jc w:val="center"/>
              <w:rPr>
                <w:rFonts w:hint="eastAsia" w:asciiTheme="minorEastAsia" w:hAnsiTheme="minorEastAsia" w:eastAsiaTheme="minorEastAsia" w:cstheme="minorEastAsia"/>
                <w:kern w:val="0"/>
                <w:sz w:val="24"/>
                <w:szCs w:val="24"/>
              </w:rPr>
            </w:pPr>
          </w:p>
        </w:tc>
        <w:tc>
          <w:tcPr>
            <w:tcW w:w="1399" w:type="dxa"/>
            <w:vMerge w:val="continue"/>
            <w:vAlign w:val="center"/>
          </w:tcPr>
          <w:p w14:paraId="6ADC3E69">
            <w:pPr>
              <w:spacing w:line="240" w:lineRule="exact"/>
              <w:rPr>
                <w:rFonts w:hint="eastAsia" w:asciiTheme="minorEastAsia" w:hAnsiTheme="minorEastAsia" w:eastAsiaTheme="minorEastAsia" w:cstheme="minorEastAsia"/>
                <w:kern w:val="0"/>
                <w:sz w:val="24"/>
                <w:szCs w:val="24"/>
              </w:rPr>
            </w:pPr>
          </w:p>
        </w:tc>
        <w:tc>
          <w:tcPr>
            <w:tcW w:w="1984" w:type="dxa"/>
            <w:vAlign w:val="center"/>
          </w:tcPr>
          <w:p w14:paraId="1E29BF9F">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color w:val="000000"/>
                <w:sz w:val="24"/>
                <w:szCs w:val="24"/>
              </w:rPr>
              <w:t>响应文件或者响应报价唯一性</w:t>
            </w:r>
          </w:p>
        </w:tc>
        <w:tc>
          <w:tcPr>
            <w:tcW w:w="6207" w:type="dxa"/>
            <w:vAlign w:val="center"/>
          </w:tcPr>
          <w:p w14:paraId="13B60D34">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同</w:t>
            </w:r>
            <w:r>
              <w:rPr>
                <w:rFonts w:hint="eastAsia" w:asciiTheme="minorEastAsia" w:hAnsiTheme="minorEastAsia" w:eastAsiaTheme="minorEastAsia" w:cstheme="minorEastAsia"/>
                <w:sz w:val="24"/>
                <w:szCs w:val="24"/>
              </w:rPr>
              <w:t>一供应商不得提交两个以上不同的</w:t>
            </w:r>
            <w:r>
              <w:rPr>
                <w:rFonts w:hint="eastAsia" w:asciiTheme="minorEastAsia" w:hAnsiTheme="minorEastAsia" w:eastAsiaTheme="minorEastAsia" w:cstheme="minorEastAsia"/>
                <w:color w:val="000000"/>
                <w:sz w:val="24"/>
                <w:szCs w:val="24"/>
              </w:rPr>
              <w:t>响应文件</w:t>
            </w:r>
            <w:r>
              <w:rPr>
                <w:rFonts w:hint="eastAsia" w:asciiTheme="minorEastAsia" w:hAnsiTheme="minorEastAsia" w:eastAsiaTheme="minorEastAsia" w:cstheme="minorEastAsia"/>
                <w:sz w:val="24"/>
                <w:szCs w:val="24"/>
              </w:rPr>
              <w:t>或者</w:t>
            </w:r>
            <w:r>
              <w:rPr>
                <w:rFonts w:hint="eastAsia" w:asciiTheme="minorEastAsia" w:hAnsiTheme="minorEastAsia" w:eastAsiaTheme="minorEastAsia" w:cstheme="minorEastAsia"/>
                <w:color w:val="000000"/>
                <w:sz w:val="24"/>
                <w:szCs w:val="24"/>
              </w:rPr>
              <w:t>响应报价</w:t>
            </w:r>
            <w:r>
              <w:rPr>
                <w:rFonts w:hint="eastAsia" w:asciiTheme="minorEastAsia" w:hAnsiTheme="minorEastAsia" w:eastAsiaTheme="minorEastAsia" w:cstheme="minorEastAsia"/>
                <w:sz w:val="24"/>
                <w:szCs w:val="24"/>
              </w:rPr>
              <w:t>，但询价通知书要求提交备选</w:t>
            </w:r>
            <w:r>
              <w:rPr>
                <w:rFonts w:hint="eastAsia" w:asciiTheme="minorEastAsia" w:hAnsiTheme="minorEastAsia" w:eastAsiaTheme="minorEastAsia" w:cstheme="minorEastAsia"/>
                <w:color w:val="000000"/>
                <w:sz w:val="24"/>
                <w:szCs w:val="24"/>
              </w:rPr>
              <w:t>响应</w:t>
            </w:r>
            <w:r>
              <w:rPr>
                <w:rFonts w:hint="eastAsia" w:asciiTheme="minorEastAsia" w:hAnsiTheme="minorEastAsia" w:eastAsiaTheme="minorEastAsia" w:cstheme="minorEastAsia"/>
                <w:sz w:val="24"/>
                <w:szCs w:val="24"/>
              </w:rPr>
              <w:t xml:space="preserve">文件的除外。 </w:t>
            </w:r>
          </w:p>
        </w:tc>
      </w:tr>
      <w:tr w14:paraId="10EC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6" w:type="dxa"/>
            <w:vMerge w:val="continue"/>
            <w:vAlign w:val="center"/>
          </w:tcPr>
          <w:p w14:paraId="6ECB2AF7">
            <w:pPr>
              <w:spacing w:line="240" w:lineRule="exact"/>
              <w:jc w:val="center"/>
              <w:rPr>
                <w:rFonts w:hint="eastAsia" w:asciiTheme="minorEastAsia" w:hAnsiTheme="minorEastAsia" w:eastAsiaTheme="minorEastAsia" w:cstheme="minorEastAsia"/>
                <w:kern w:val="0"/>
                <w:sz w:val="24"/>
                <w:szCs w:val="24"/>
              </w:rPr>
            </w:pPr>
          </w:p>
        </w:tc>
        <w:tc>
          <w:tcPr>
            <w:tcW w:w="1399" w:type="dxa"/>
            <w:vMerge w:val="continue"/>
            <w:vAlign w:val="center"/>
          </w:tcPr>
          <w:p w14:paraId="3E744F2E">
            <w:pPr>
              <w:spacing w:line="240" w:lineRule="exact"/>
              <w:rPr>
                <w:rFonts w:hint="eastAsia" w:asciiTheme="minorEastAsia" w:hAnsiTheme="minorEastAsia" w:eastAsiaTheme="minorEastAsia" w:cstheme="minorEastAsia"/>
                <w:kern w:val="0"/>
                <w:sz w:val="24"/>
                <w:szCs w:val="24"/>
              </w:rPr>
            </w:pPr>
          </w:p>
        </w:tc>
        <w:tc>
          <w:tcPr>
            <w:tcW w:w="1984" w:type="dxa"/>
            <w:vAlign w:val="center"/>
          </w:tcPr>
          <w:p w14:paraId="048360F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询价报价</w:t>
            </w:r>
          </w:p>
        </w:tc>
        <w:tc>
          <w:tcPr>
            <w:tcW w:w="6207" w:type="dxa"/>
          </w:tcPr>
          <w:p w14:paraId="2C114E8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报价超出采购预算金额的，否决其响应。提交选择性报价的，否决其响应。</w:t>
            </w:r>
          </w:p>
        </w:tc>
      </w:tr>
      <w:tr w14:paraId="6286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vMerge w:val="continue"/>
            <w:vAlign w:val="center"/>
          </w:tcPr>
          <w:p w14:paraId="6B8C8F66">
            <w:pPr>
              <w:spacing w:line="240" w:lineRule="exact"/>
              <w:jc w:val="center"/>
              <w:rPr>
                <w:rFonts w:hint="eastAsia" w:asciiTheme="minorEastAsia" w:hAnsiTheme="minorEastAsia" w:eastAsiaTheme="minorEastAsia" w:cstheme="minorEastAsia"/>
                <w:kern w:val="0"/>
                <w:sz w:val="24"/>
                <w:szCs w:val="24"/>
              </w:rPr>
            </w:pPr>
          </w:p>
        </w:tc>
        <w:tc>
          <w:tcPr>
            <w:tcW w:w="1399" w:type="dxa"/>
            <w:vMerge w:val="continue"/>
            <w:vAlign w:val="center"/>
          </w:tcPr>
          <w:p w14:paraId="3567FE21">
            <w:pPr>
              <w:spacing w:line="240" w:lineRule="exact"/>
              <w:rPr>
                <w:rFonts w:hint="eastAsia" w:asciiTheme="minorEastAsia" w:hAnsiTheme="minorEastAsia" w:eastAsiaTheme="minorEastAsia" w:cstheme="minorEastAsia"/>
                <w:kern w:val="0"/>
                <w:sz w:val="24"/>
                <w:szCs w:val="24"/>
              </w:rPr>
            </w:pPr>
          </w:p>
        </w:tc>
        <w:tc>
          <w:tcPr>
            <w:tcW w:w="1984" w:type="dxa"/>
            <w:vAlign w:val="center"/>
          </w:tcPr>
          <w:p w14:paraId="78CF4E4B">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联合体供应商</w:t>
            </w:r>
          </w:p>
        </w:tc>
        <w:tc>
          <w:tcPr>
            <w:tcW w:w="6207" w:type="dxa"/>
            <w:vAlign w:val="center"/>
          </w:tcPr>
          <w:p w14:paraId="0F5EFCD8">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zh-CN"/>
              </w:rPr>
              <w:t>不接受联合体。联合体响应的，作无效响应处理。</w:t>
            </w:r>
          </w:p>
        </w:tc>
      </w:tr>
      <w:tr w14:paraId="6B2C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 w:type="dxa"/>
            <w:vMerge w:val="continue"/>
            <w:vAlign w:val="center"/>
          </w:tcPr>
          <w:p w14:paraId="12098A4A">
            <w:pPr>
              <w:spacing w:line="240" w:lineRule="exact"/>
              <w:jc w:val="center"/>
              <w:rPr>
                <w:rFonts w:hint="eastAsia" w:asciiTheme="minorEastAsia" w:hAnsiTheme="minorEastAsia" w:eastAsiaTheme="minorEastAsia" w:cstheme="minorEastAsia"/>
                <w:kern w:val="0"/>
                <w:sz w:val="24"/>
                <w:szCs w:val="24"/>
              </w:rPr>
            </w:pPr>
          </w:p>
        </w:tc>
        <w:tc>
          <w:tcPr>
            <w:tcW w:w="1399" w:type="dxa"/>
            <w:vMerge w:val="continue"/>
            <w:vAlign w:val="center"/>
          </w:tcPr>
          <w:p w14:paraId="50B479C2">
            <w:pPr>
              <w:spacing w:line="240" w:lineRule="exact"/>
              <w:rPr>
                <w:rFonts w:hint="eastAsia" w:asciiTheme="minorEastAsia" w:hAnsiTheme="minorEastAsia" w:eastAsiaTheme="minorEastAsia" w:cstheme="minorEastAsia"/>
                <w:kern w:val="0"/>
                <w:sz w:val="24"/>
                <w:szCs w:val="24"/>
              </w:rPr>
            </w:pPr>
          </w:p>
        </w:tc>
        <w:tc>
          <w:tcPr>
            <w:tcW w:w="1984" w:type="dxa"/>
            <w:vAlign w:val="center"/>
          </w:tcPr>
          <w:p w14:paraId="3D9508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转包及分包</w:t>
            </w:r>
          </w:p>
        </w:tc>
        <w:tc>
          <w:tcPr>
            <w:tcW w:w="6207" w:type="dxa"/>
            <w:vAlign w:val="center"/>
          </w:tcPr>
          <w:p w14:paraId="6A23713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满足询价通知书规定。</w:t>
            </w:r>
          </w:p>
        </w:tc>
      </w:tr>
      <w:tr w14:paraId="6CDE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36" w:type="dxa"/>
            <w:vMerge w:val="restart"/>
            <w:vAlign w:val="center"/>
          </w:tcPr>
          <w:p w14:paraId="2EFBD56C">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99" w:type="dxa"/>
            <w:vMerge w:val="restart"/>
            <w:vAlign w:val="center"/>
          </w:tcPr>
          <w:p w14:paraId="4EE288B0">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0"/>
                <w:sz w:val="24"/>
                <w:szCs w:val="24"/>
              </w:rPr>
              <w:t>对询价通知书的响应程度审查</w:t>
            </w:r>
          </w:p>
        </w:tc>
        <w:tc>
          <w:tcPr>
            <w:tcW w:w="1984" w:type="dxa"/>
            <w:vAlign w:val="center"/>
          </w:tcPr>
          <w:p w14:paraId="256070AC">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实质性条款响应</w:t>
            </w:r>
          </w:p>
        </w:tc>
        <w:tc>
          <w:tcPr>
            <w:tcW w:w="6207" w:type="dxa"/>
            <w:vAlign w:val="center"/>
          </w:tcPr>
          <w:p w14:paraId="5FA45B65">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highlight w:val="none"/>
                <w:lang w:val="zh-CN"/>
              </w:rPr>
              <w:t>对询价通知书中所有标注▲号的实质性条款要求响应均无负偏离。</w:t>
            </w:r>
            <w:r>
              <w:rPr>
                <w:rFonts w:hint="eastAsia" w:asciiTheme="minorEastAsia" w:hAnsiTheme="minorEastAsia" w:eastAsiaTheme="minorEastAsia" w:cstheme="minorEastAsia"/>
                <w:sz w:val="24"/>
                <w:szCs w:val="24"/>
                <w:highlight w:val="none"/>
                <w:shd w:val="clear"/>
                <w:lang w:val="en-US" w:eastAsia="zh-CN"/>
              </w:rPr>
              <w:t>采购需求中“技术参数及性能（配置）要求”未标记“▲”条款或要求允许负偏离数为</w:t>
            </w:r>
            <w:r>
              <w:rPr>
                <w:rFonts w:hint="eastAsia" w:asciiTheme="minorEastAsia" w:hAnsiTheme="minorEastAsia" w:eastAsiaTheme="minorEastAsia" w:cstheme="minorEastAsia"/>
                <w:sz w:val="24"/>
                <w:szCs w:val="24"/>
                <w:highlight w:val="none"/>
                <w:u w:val="single"/>
                <w:shd w:val="clear"/>
                <w:lang w:val="en-US" w:eastAsia="zh-CN"/>
              </w:rPr>
              <w:t>1</w:t>
            </w:r>
            <w:r>
              <w:rPr>
                <w:rFonts w:hint="eastAsia" w:asciiTheme="minorEastAsia" w:hAnsiTheme="minorEastAsia" w:eastAsiaTheme="minorEastAsia" w:cstheme="minorEastAsia"/>
                <w:sz w:val="24"/>
                <w:szCs w:val="24"/>
                <w:highlight w:val="none"/>
                <w:shd w:val="clear"/>
                <w:lang w:val="en-US" w:eastAsia="zh-CN"/>
              </w:rPr>
              <w:t>项。</w:t>
            </w:r>
          </w:p>
        </w:tc>
      </w:tr>
      <w:tr w14:paraId="0B4A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6" w:type="dxa"/>
            <w:vMerge w:val="continue"/>
            <w:vAlign w:val="center"/>
          </w:tcPr>
          <w:p w14:paraId="2674D434">
            <w:pPr>
              <w:spacing w:line="240" w:lineRule="exact"/>
              <w:jc w:val="center"/>
              <w:rPr>
                <w:rFonts w:hint="eastAsia" w:asciiTheme="minorEastAsia" w:hAnsiTheme="minorEastAsia" w:eastAsiaTheme="minorEastAsia" w:cstheme="minorEastAsia"/>
                <w:kern w:val="0"/>
                <w:sz w:val="24"/>
                <w:szCs w:val="24"/>
              </w:rPr>
            </w:pPr>
          </w:p>
        </w:tc>
        <w:tc>
          <w:tcPr>
            <w:tcW w:w="1399" w:type="dxa"/>
            <w:vMerge w:val="continue"/>
            <w:vAlign w:val="center"/>
          </w:tcPr>
          <w:p w14:paraId="17ABADBB">
            <w:pPr>
              <w:spacing w:line="240" w:lineRule="exact"/>
              <w:rPr>
                <w:rFonts w:hint="eastAsia" w:asciiTheme="minorEastAsia" w:hAnsiTheme="minorEastAsia" w:eastAsiaTheme="minorEastAsia" w:cstheme="minorEastAsia"/>
                <w:sz w:val="24"/>
                <w:szCs w:val="24"/>
                <w:lang w:val="zh-CN"/>
              </w:rPr>
            </w:pPr>
          </w:p>
        </w:tc>
        <w:tc>
          <w:tcPr>
            <w:tcW w:w="1984" w:type="dxa"/>
            <w:vAlign w:val="center"/>
          </w:tcPr>
          <w:p w14:paraId="59F1A59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响应有效期</w:t>
            </w:r>
          </w:p>
        </w:tc>
        <w:tc>
          <w:tcPr>
            <w:tcW w:w="6207" w:type="dxa"/>
            <w:vAlign w:val="center"/>
          </w:tcPr>
          <w:p w14:paraId="29C690A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满足询价通知书规定。</w:t>
            </w:r>
          </w:p>
        </w:tc>
      </w:tr>
    </w:tbl>
    <w:p w14:paraId="5F8679F1">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3、串通投标的认定</w:t>
      </w:r>
    </w:p>
    <w:p w14:paraId="61233FFA">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询价小组须根据以下规定评审</w:t>
      </w:r>
      <w:r>
        <w:rPr>
          <w:rFonts w:hint="eastAsia" w:asciiTheme="minorEastAsia" w:hAnsiTheme="minorEastAsia" w:eastAsiaTheme="minorEastAsia" w:cstheme="minorEastAsia"/>
          <w:bCs/>
          <w:kern w:val="0"/>
          <w:sz w:val="24"/>
          <w:szCs w:val="24"/>
        </w:rPr>
        <w:t>供应商是否有串通投标的行为，并按规定判定响应是否有效</w:t>
      </w:r>
      <w:r>
        <w:rPr>
          <w:rFonts w:hint="eastAsia" w:asciiTheme="minorEastAsia" w:hAnsiTheme="minorEastAsia" w:eastAsiaTheme="minorEastAsia" w:cstheme="minorEastAsia"/>
          <w:sz w:val="24"/>
          <w:szCs w:val="24"/>
        </w:rPr>
        <w:t>。</w:t>
      </w:r>
    </w:p>
    <w:p w14:paraId="1B06AE7F">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（1）有下列情形之一的视为投标人（供应商）相互串通投标，投标（响应）文件将被视为无效。</w:t>
      </w:r>
      <w:r>
        <w:rPr>
          <w:rFonts w:hint="eastAsia" w:asciiTheme="minorEastAsia" w:hAnsiTheme="minorEastAsia" w:eastAsiaTheme="minorEastAsia" w:cstheme="minorEastAsia"/>
          <w:kern w:val="1"/>
          <w:sz w:val="24"/>
          <w:szCs w:val="24"/>
        </w:rPr>
        <w:t>（本款所述投标等同于询价或响应，投标人等同于供应商）。</w:t>
      </w:r>
    </w:p>
    <w:p w14:paraId="14487B4C">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①不同供应商的投标文件由同一单位或者个人编制；或不同供应商报名的IP地址一致的；</w:t>
      </w:r>
    </w:p>
    <w:p w14:paraId="7665D134">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②不同供应商委托同一单位或者个人办理投标事宜；</w:t>
      </w:r>
    </w:p>
    <w:p w14:paraId="79C26F02">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③不同的供应商的投标文件载明的项目管理员为同一个人；</w:t>
      </w:r>
    </w:p>
    <w:p w14:paraId="3EAF44BC">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④不同供应商的投标文件异常一致或投标报价呈规律性差异；</w:t>
      </w:r>
    </w:p>
    <w:p w14:paraId="4671A3D3">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⑤不同供应商的投标文件相互混装；</w:t>
      </w:r>
    </w:p>
    <w:p w14:paraId="10719773">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⑥不同供应商的保证金从同一单位或者个人账户转出。</w:t>
      </w:r>
    </w:p>
    <w:p w14:paraId="24A59592">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（2）投标人有下列情形之一的，属于恶意串通行为，投标（响应）文件将被视为无效。（本款所述投标等同于询价或响应，中标人等同于成交供应商）</w:t>
      </w:r>
    </w:p>
    <w:p w14:paraId="66D8FA8E">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①供应商直接或者间接从采购人或者采购代理机构处获得其他供应商的相关信息并修改其投标文件或者响应文件；</w:t>
      </w:r>
    </w:p>
    <w:p w14:paraId="57786AB8">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②供应商按照采购人或者采购代理机构的授意撤换、修改投标文件或者响应文件;；</w:t>
      </w:r>
    </w:p>
    <w:p w14:paraId="79289FE7">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③供应商之间协商报价、技术方案等投标文件或者响应文件的实质性内容；</w:t>
      </w:r>
    </w:p>
    <w:p w14:paraId="5847DBBC">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④属于同一集团、协会、商会等组织成员的供应商按照该组织要求协同参加采购活动；</w:t>
      </w:r>
    </w:p>
    <w:p w14:paraId="3A820770">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⑤供应商之间事先约定一致抬高或者压低投标报价，或者在招标项目中事先约定轮流以高价位或者低价位中标，或者事先约定由某一特定供应商中标，然后再参加投标；</w:t>
      </w:r>
    </w:p>
    <w:p w14:paraId="0A43E0FB">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⑥供应商之间商定部分供应商放弃参加采购活动或者放弃中标；</w:t>
      </w:r>
    </w:p>
    <w:p w14:paraId="74BD1E61">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⑦供应商与采购人或者采购代理机构之间、供应商相互之间，为谋求特定供应商中标或者排斥其他供应商的其他串通行为。</w:t>
      </w:r>
    </w:p>
    <w:p w14:paraId="6486725F">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4、响应有效性的认定</w:t>
      </w:r>
    </w:p>
    <w:p w14:paraId="38B384E8">
      <w:pPr>
        <w:spacing w:before="120" w:line="320" w:lineRule="atLeast"/>
        <w:ind w:firstLine="480" w:firstLineChars="200"/>
        <w:rPr>
          <w:rFonts w:hint="eastAsia" w:asciiTheme="minorEastAsia" w:hAnsiTheme="minorEastAsia" w:eastAsiaTheme="minorEastAsia" w:cstheme="minorEastAsia"/>
          <w:sz w:val="24"/>
          <w:szCs w:val="24"/>
        </w:rPr>
      </w:pPr>
      <w:bookmarkStart w:id="8" w:name="_Hlk19113301"/>
      <w:r>
        <w:rPr>
          <w:rFonts w:hint="eastAsia" w:asciiTheme="minorEastAsia" w:hAnsiTheme="minorEastAsia" w:eastAsiaTheme="minorEastAsia" w:cstheme="minorEastAsia"/>
          <w:sz w:val="24"/>
          <w:szCs w:val="24"/>
        </w:rPr>
        <w:t>（1）资格审查时，如发现下列情形之一的，响应文件将被视为无效：</w:t>
      </w:r>
    </w:p>
    <w:p w14:paraId="3ED785C5">
      <w:pPr>
        <w:spacing w:before="120" w:line="320" w:lineRule="atLeast"/>
        <w:ind w:firstLine="480" w:firstLineChars="200"/>
        <w:rPr>
          <w:rStyle w:val="19"/>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t>未按照询价通知书的规定提交询价保证金的；</w:t>
      </w:r>
    </w:p>
    <w:p w14:paraId="70DF7263">
      <w:pPr>
        <w:spacing w:before="120" w:line="320" w:lineRule="atLeas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t>不具备询价通知书中规定的资格要求的；</w:t>
      </w:r>
    </w:p>
    <w:p w14:paraId="544246CC">
      <w:pPr>
        <w:spacing w:before="120" w:line="320" w:lineRule="atLeast"/>
        <w:ind w:firstLine="480" w:firstLineChars="200"/>
        <w:rPr>
          <w:rStyle w:val="19"/>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③响应文件签署（签名）、盖章不符合询价通知书要求的；</w:t>
      </w:r>
    </w:p>
    <w:p w14:paraId="00941B0F">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（2）在符合性审查、商务和技术评估时，如发现下列情形之一的，响应文件将被视为无效：</w:t>
      </w:r>
    </w:p>
    <w:p w14:paraId="139D00C5">
      <w:pPr>
        <w:spacing w:before="120" w:line="320" w:lineRule="atLeas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t>响应文件未按询价通知书要求签署、盖章的；</w:t>
      </w:r>
    </w:p>
    <w:p w14:paraId="0A9F6AE1">
      <w:pPr>
        <w:spacing w:before="120" w:line="320" w:lineRule="atLeast"/>
        <w:ind w:firstLine="480" w:firstLineChars="200"/>
        <w:rPr>
          <w:rStyle w:val="19"/>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t>报价超过询价通知书中规定的预算金额的；</w:t>
      </w:r>
    </w:p>
    <w:p w14:paraId="3444E372">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③评审过程中发现响应文件中提供虚假材料的；</w:t>
      </w:r>
    </w:p>
    <w:p w14:paraId="53985000">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④法律、法规和询价通知书规定的其他无效情形。</w:t>
      </w:r>
    </w:p>
    <w:bookmarkEnd w:id="8"/>
    <w:p w14:paraId="35DA7B0E">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5、成交候选供应商确定原则</w:t>
      </w:r>
    </w:p>
    <w:p w14:paraId="0A860FE6">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按价格由低到高的顺序排列推荐3名以上供应商为本项目（或分标）的成交候选供应商，排名第一的为第一成交候选供应商。若供应商的响应报价价格相同，则按服务条款的优劣顺序排列。若仍相同的，由询价小组采用记名投票方式确定。</w:t>
      </w:r>
    </w:p>
    <w:p w14:paraId="3F396959">
      <w:pPr>
        <w:spacing w:before="120" w:line="320" w:lineRule="atLeast"/>
        <w:ind w:firstLine="472" w:firstLineChars="196"/>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6、评审争议处理</w:t>
      </w:r>
    </w:p>
    <w:p w14:paraId="28E4FE58">
      <w:pPr>
        <w:spacing w:before="120" w:line="32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询价小组成员对需要共同认定的事项存在争议的，应当按照少数服从多数的原则作出结论。持不同意见的询价小组成员应当在评审报告上签署不同意见及理由，否则视为同意评审报告。</w:t>
      </w:r>
    </w:p>
    <w:p w14:paraId="2844C401">
      <w:pPr>
        <w:pStyle w:val="8"/>
        <w:numPr>
          <w:ilvl w:val="0"/>
          <w:numId w:val="0"/>
        </w:numPr>
        <w:jc w:val="both"/>
        <w:outlineLvl w:val="9"/>
        <w:rPr>
          <w:rFonts w:hint="eastAsia" w:ascii="Times New Roman" w:hAnsi="Times New Roman"/>
          <w:b/>
          <w:color w:val="auto"/>
          <w:sz w:val="36"/>
          <w:highlight w:val="none"/>
        </w:rPr>
      </w:pPr>
    </w:p>
    <w:p w14:paraId="38A0A343">
      <w:pPr>
        <w:pStyle w:val="2"/>
        <w:bidi w:val="0"/>
        <w:jc w:val="both"/>
        <w:outlineLvl w:val="0"/>
        <w:rPr>
          <w:rFonts w:hint="eastAsia"/>
          <w:lang w:val="en-US" w:eastAsia="zh-CN"/>
        </w:rPr>
      </w:pPr>
    </w:p>
    <w:p w14:paraId="0AF9AF3E">
      <w:pPr>
        <w:rPr>
          <w:rFonts w:hint="eastAsia"/>
          <w:lang w:val="en-US" w:eastAsia="zh-CN"/>
        </w:rPr>
      </w:pPr>
    </w:p>
    <w:p w14:paraId="3748EC5D">
      <w:pPr>
        <w:pStyle w:val="2"/>
        <w:bidi w:val="0"/>
        <w:jc w:val="center"/>
        <w:outlineLvl w:val="0"/>
        <w:rPr>
          <w:rFonts w:hint="eastAsia"/>
          <w:lang w:val="en-US" w:eastAsia="zh-CN"/>
        </w:rPr>
      </w:pPr>
    </w:p>
    <w:p w14:paraId="268D676C">
      <w:pPr>
        <w:pStyle w:val="2"/>
        <w:bidi w:val="0"/>
        <w:jc w:val="center"/>
        <w:outlineLvl w:val="0"/>
        <w:rPr>
          <w:rFonts w:hint="eastAsia"/>
          <w:lang w:val="en-US" w:eastAsia="zh-CN"/>
        </w:rPr>
      </w:pPr>
    </w:p>
    <w:p w14:paraId="3AEF06E1">
      <w:pPr>
        <w:rPr>
          <w:rFonts w:hint="eastAsia"/>
          <w:lang w:val="en-US" w:eastAsia="zh-CN"/>
        </w:rPr>
      </w:pPr>
    </w:p>
    <w:p w14:paraId="6F7ABFFD">
      <w:pPr>
        <w:rPr>
          <w:rFonts w:hint="eastAsia"/>
          <w:lang w:val="en-US" w:eastAsia="zh-CN"/>
        </w:rPr>
      </w:pPr>
    </w:p>
    <w:p w14:paraId="450004AF">
      <w:pPr>
        <w:rPr>
          <w:rFonts w:hint="eastAsia"/>
          <w:lang w:val="en-US" w:eastAsia="zh-CN"/>
        </w:rPr>
      </w:pPr>
    </w:p>
    <w:p w14:paraId="08B29E51">
      <w:pPr>
        <w:rPr>
          <w:rFonts w:hint="eastAsia"/>
          <w:lang w:val="en-US" w:eastAsia="zh-CN"/>
        </w:rPr>
      </w:pPr>
    </w:p>
    <w:p w14:paraId="100714BF">
      <w:pPr>
        <w:rPr>
          <w:rFonts w:hint="eastAsia"/>
          <w:lang w:val="en-US" w:eastAsia="zh-CN"/>
        </w:rPr>
      </w:pPr>
    </w:p>
    <w:p w14:paraId="099A616C">
      <w:pPr>
        <w:pStyle w:val="2"/>
        <w:bidi w:val="0"/>
        <w:jc w:val="both"/>
        <w:outlineLvl w:val="0"/>
        <w:rPr>
          <w:rFonts w:hint="eastAsia"/>
          <w:lang w:val="en-US" w:eastAsia="zh-CN"/>
        </w:rPr>
      </w:pPr>
    </w:p>
    <w:p w14:paraId="6AFF425D">
      <w:pPr>
        <w:rPr>
          <w:rFonts w:hint="eastAsia"/>
          <w:lang w:val="en-US" w:eastAsia="zh-CN"/>
        </w:rPr>
      </w:pPr>
    </w:p>
    <w:p w14:paraId="27126532">
      <w:pPr>
        <w:rPr>
          <w:rFonts w:hint="eastAsia"/>
          <w:lang w:val="en-US" w:eastAsia="zh-CN"/>
        </w:rPr>
      </w:pPr>
    </w:p>
    <w:p w14:paraId="402B56B6">
      <w:pPr>
        <w:rPr>
          <w:rFonts w:hint="eastAsia"/>
          <w:lang w:val="en-US" w:eastAsia="zh-CN"/>
        </w:rPr>
      </w:pPr>
    </w:p>
    <w:p w14:paraId="2A79CF99">
      <w:pPr>
        <w:rPr>
          <w:rFonts w:hint="eastAsia"/>
          <w:lang w:val="en-US" w:eastAsia="zh-CN"/>
        </w:rPr>
      </w:pPr>
    </w:p>
    <w:p w14:paraId="2C78B537">
      <w:pPr>
        <w:rPr>
          <w:rFonts w:hint="eastAsia"/>
          <w:lang w:val="en-US" w:eastAsia="zh-CN"/>
        </w:rPr>
      </w:pPr>
    </w:p>
    <w:p w14:paraId="5C4DF096">
      <w:pPr>
        <w:pStyle w:val="2"/>
        <w:bidi w:val="0"/>
        <w:jc w:val="center"/>
        <w:outlineLvl w:val="0"/>
        <w:rPr>
          <w:rFonts w:hint="eastAsia" w:ascii="宋体" w:hAnsi="宋体" w:eastAsia="宋体" w:cs="宋体"/>
          <w:kern w:val="2"/>
          <w:sz w:val="32"/>
          <w:szCs w:val="32"/>
          <w:lang w:val="en-US" w:eastAsia="zh-CN" w:bidi="ar"/>
        </w:rPr>
      </w:pPr>
      <w:bookmarkStart w:id="9" w:name="_Toc24632"/>
      <w:r>
        <w:rPr>
          <w:rFonts w:hint="eastAsia"/>
          <w:lang w:val="en-US" w:eastAsia="zh-CN"/>
        </w:rPr>
        <w:t>第四章 响应文件格式</w:t>
      </w:r>
      <w:bookmarkEnd w:id="2"/>
      <w:bookmarkEnd w:id="9"/>
    </w:p>
    <w:tbl>
      <w:tblPr>
        <w:tblStyle w:val="14"/>
        <w:tblpPr w:leftFromText="180" w:rightFromText="180" w:vertAnchor="text" w:horzAnchor="page" w:tblpX="1556" w:tblpY="356"/>
        <w:tblOverlap w:val="never"/>
        <w:tblW w:w="9045" w:type="dxa"/>
        <w:tblInd w:w="0" w:type="dxa"/>
        <w:tblLayout w:type="fixed"/>
        <w:tblCellMar>
          <w:top w:w="0" w:type="dxa"/>
          <w:left w:w="108" w:type="dxa"/>
          <w:bottom w:w="0" w:type="dxa"/>
          <w:right w:w="108" w:type="dxa"/>
        </w:tblCellMar>
      </w:tblPr>
      <w:tblGrid>
        <w:gridCol w:w="9045"/>
      </w:tblGrid>
      <w:tr w14:paraId="56649A39">
        <w:tblPrEx>
          <w:tblCellMar>
            <w:top w:w="0" w:type="dxa"/>
            <w:left w:w="108" w:type="dxa"/>
            <w:bottom w:w="0" w:type="dxa"/>
            <w:right w:w="108" w:type="dxa"/>
          </w:tblCellMar>
        </w:tblPrEx>
        <w:trPr>
          <w:trHeight w:val="510" w:hRule="atLeast"/>
        </w:trPr>
        <w:tc>
          <w:tcPr>
            <w:tcW w:w="9045" w:type="dxa"/>
            <w:tcBorders>
              <w:top w:val="single" w:color="000000" w:sz="4" w:space="0"/>
              <w:left w:val="single" w:color="000000" w:sz="4" w:space="0"/>
              <w:bottom w:val="single" w:color="000000" w:sz="4" w:space="0"/>
              <w:right w:val="single" w:color="000000" w:sz="4" w:space="0"/>
            </w:tcBorders>
            <w:noWrap w:val="0"/>
            <w:vAlign w:val="center"/>
          </w:tcPr>
          <w:p w14:paraId="2C250D6A">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val="0"/>
                <w:i w:val="0"/>
                <w:iCs w:val="0"/>
                <w:color w:val="000000" w:themeColor="dark1"/>
                <w:kern w:val="0"/>
                <w:sz w:val="28"/>
                <w:szCs w:val="28"/>
                <w:highlight w:val="none"/>
                <w:u w:val="none"/>
                <w:lang w:val="en-US" w:eastAsia="zh-CN" w:bidi="ar"/>
                <w14:textFill>
                  <w14:solidFill>
                    <w14:schemeClr w14:val="dk1"/>
                  </w14:solidFill>
                </w14:textFill>
              </w:rPr>
            </w:pPr>
            <w:r>
              <w:rPr>
                <w:rFonts w:hint="eastAsia" w:ascii="宋体" w:hAnsi="宋体" w:eastAsia="宋体" w:cs="宋体"/>
                <w:b/>
                <w:bCs w:val="0"/>
                <w:i w:val="0"/>
                <w:iCs w:val="0"/>
                <w:color w:val="000000" w:themeColor="dark1"/>
                <w:kern w:val="0"/>
                <w:sz w:val="28"/>
                <w:szCs w:val="28"/>
                <w:highlight w:val="none"/>
                <w:u w:val="none"/>
                <w:lang w:val="en-US" w:eastAsia="zh-CN" w:bidi="ar"/>
                <w14:textFill>
                  <w14:solidFill>
                    <w14:schemeClr w14:val="dk1"/>
                  </w14:solidFill>
                </w14:textFill>
              </w:rPr>
              <w:t>1、采购需求及商务要求响应表</w:t>
            </w:r>
          </w:p>
        </w:tc>
      </w:tr>
      <w:tr w14:paraId="13AEF3B9">
        <w:tblPrEx>
          <w:tblCellMar>
            <w:top w:w="0" w:type="dxa"/>
            <w:left w:w="108" w:type="dxa"/>
            <w:bottom w:w="0" w:type="dxa"/>
            <w:right w:w="108" w:type="dxa"/>
          </w:tblCellMar>
        </w:tblPrEx>
        <w:trPr>
          <w:trHeight w:val="510" w:hRule="atLeast"/>
        </w:trPr>
        <w:tc>
          <w:tcPr>
            <w:tcW w:w="9045" w:type="dxa"/>
            <w:tcBorders>
              <w:top w:val="single" w:color="000000" w:sz="4" w:space="0"/>
              <w:left w:val="single" w:color="000000" w:sz="4" w:space="0"/>
              <w:bottom w:val="single" w:color="000000" w:sz="4" w:space="0"/>
              <w:right w:val="single" w:color="000000" w:sz="4" w:space="0"/>
            </w:tcBorders>
            <w:noWrap w:val="0"/>
            <w:vAlign w:val="center"/>
          </w:tcPr>
          <w:p w14:paraId="4AB6875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项目名称：1G互联网静态IP专线宽带采购</w:t>
            </w:r>
          </w:p>
          <w:p w14:paraId="283790A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采购人名称：广西医科大学第一附属医院</w:t>
            </w:r>
          </w:p>
        </w:tc>
      </w:tr>
      <w:tr w14:paraId="42598B0C">
        <w:tblPrEx>
          <w:tblCellMar>
            <w:top w:w="0" w:type="dxa"/>
            <w:left w:w="108" w:type="dxa"/>
            <w:bottom w:w="0" w:type="dxa"/>
            <w:right w:w="108" w:type="dxa"/>
          </w:tblCellMar>
        </w:tblPrEx>
        <w:trPr>
          <w:trHeight w:val="1675" w:hRule="atLeast"/>
        </w:trPr>
        <w:tc>
          <w:tcPr>
            <w:tcW w:w="9045" w:type="dxa"/>
            <w:tcBorders>
              <w:top w:val="single" w:color="000000" w:sz="4" w:space="0"/>
              <w:left w:val="single" w:color="000000" w:sz="4" w:space="0"/>
              <w:bottom w:val="single" w:color="000000" w:sz="4" w:space="0"/>
              <w:right w:val="single" w:color="000000" w:sz="4" w:space="0"/>
            </w:tcBorders>
            <w:noWrap w:val="0"/>
            <w:vAlign w:val="center"/>
          </w:tcPr>
          <w:p w14:paraId="61AC77CA">
            <w:pPr>
              <w:keepNext w:val="0"/>
              <w:keepLines w:val="0"/>
              <w:widowControl/>
              <w:suppressLineNumbers w:val="0"/>
              <w:spacing w:before="0" w:beforeAutospacing="0" w:afterAutospacing="0"/>
              <w:ind w:left="0" w:right="0"/>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联系人：                    </w:t>
            </w:r>
          </w:p>
          <w:p w14:paraId="4EAB45BC">
            <w:pPr>
              <w:keepNext w:val="0"/>
              <w:keepLines w:val="0"/>
              <w:widowControl/>
              <w:suppressLineNumbers w:val="0"/>
              <w:spacing w:before="0" w:beforeAutospacing="0" w:afterAutospacing="0"/>
              <w:ind w:left="0" w:right="0"/>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联系方式：                  </w:t>
            </w:r>
          </w:p>
          <w:p w14:paraId="0EBE1F9F">
            <w:pPr>
              <w:keepNext w:val="0"/>
              <w:keepLines w:val="0"/>
              <w:widowControl/>
              <w:suppressLineNumbers w:val="0"/>
              <w:spacing w:before="0" w:beforeAutospacing="0" w:afterAutospacing="0"/>
              <w:ind w:left="0" w:right="0"/>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供应商名称（加盖公章）：                 </w:t>
            </w:r>
          </w:p>
          <w:p w14:paraId="03593FEE">
            <w:pPr>
              <w:keepNext w:val="0"/>
              <w:keepLines w:val="0"/>
              <w:widowControl/>
              <w:suppressLineNumbers w:val="0"/>
              <w:spacing w:before="0" w:beforeAutospacing="0" w:afterAutospacing="0"/>
              <w:ind w:left="0" w:right="0"/>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日期：           年       月     日</w:t>
            </w:r>
          </w:p>
        </w:tc>
      </w:tr>
      <w:tr w14:paraId="534B1524">
        <w:tblPrEx>
          <w:tblCellMar>
            <w:top w:w="0" w:type="dxa"/>
            <w:left w:w="108" w:type="dxa"/>
            <w:bottom w:w="0" w:type="dxa"/>
            <w:right w:w="108" w:type="dxa"/>
          </w:tblCellMar>
        </w:tblPrEx>
        <w:trPr>
          <w:trHeight w:val="510" w:hRule="atLeast"/>
        </w:trPr>
        <w:tc>
          <w:tcPr>
            <w:tcW w:w="9045" w:type="dxa"/>
            <w:tcBorders>
              <w:top w:val="single" w:color="000000" w:sz="4" w:space="0"/>
              <w:left w:val="single" w:color="000000" w:sz="4" w:space="0"/>
              <w:bottom w:val="single" w:color="000000" w:sz="4" w:space="0"/>
              <w:right w:val="single" w:color="000000" w:sz="4" w:space="0"/>
            </w:tcBorders>
            <w:noWrap w:val="0"/>
            <w:vAlign w:val="center"/>
          </w:tcPr>
          <w:p w14:paraId="719EC43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w:t>
            </w:r>
          </w:p>
          <w:p w14:paraId="08EFEBC8">
            <w:pPr>
              <w:pStyle w:val="11"/>
              <w:keepNext w:val="0"/>
              <w:keepLines w:val="0"/>
              <w:widowControl/>
              <w:suppressLineNumbers w:val="0"/>
              <w:spacing w:before="0" w:beforeAutospacing="0" w:afterAutospacing="0"/>
              <w:ind w:left="0" w:right="0"/>
              <w:rPr>
                <w:rFonts w:hint="default"/>
                <w:lang w:val="en-US" w:eastAsia="zh-CN"/>
              </w:rPr>
            </w:pPr>
            <w:r>
              <w:rPr>
                <w:rFonts w:hint="eastAsia" w:ascii="宋体" w:hAnsi="宋体" w:eastAsia="宋体" w:cs="宋体"/>
                <w:i w:val="0"/>
                <w:iCs w:val="0"/>
                <w:color w:val="000000"/>
                <w:kern w:val="0"/>
                <w:sz w:val="24"/>
                <w:szCs w:val="24"/>
                <w:highlight w:val="none"/>
                <w:u w:val="none"/>
                <w:lang w:val="en-US" w:eastAsia="zh-CN" w:bidi="ar"/>
              </w:rPr>
              <w:t>1、采购需求中带“▲”的条款或要求为实质性要求，不允许任何负偏离，实质性要求负偏离响应视为竞标无效。采购需求中“技术参数及性能（配置）要求”未标记“▲”条款或要求允许负偏离数为</w:t>
            </w:r>
            <w:r>
              <w:rPr>
                <w:rFonts w:hint="eastAsia" w:ascii="宋体" w:hAnsi="宋体" w:eastAsia="宋体" w:cs="宋体"/>
                <w:i w:val="0"/>
                <w:iCs w:val="0"/>
                <w:color w:val="0000FF"/>
                <w:kern w:val="0"/>
                <w:sz w:val="24"/>
                <w:szCs w:val="24"/>
                <w:highlight w:val="none"/>
                <w:u w:val="none"/>
                <w:lang w:val="en-US" w:eastAsia="zh-CN" w:bidi="ar"/>
              </w:rPr>
              <w:t xml:space="preserve"> 1 </w:t>
            </w:r>
            <w:r>
              <w:rPr>
                <w:rFonts w:hint="eastAsia" w:ascii="宋体" w:hAnsi="宋体" w:eastAsia="宋体" w:cs="宋体"/>
                <w:i w:val="0"/>
                <w:iCs w:val="0"/>
                <w:color w:val="000000"/>
                <w:kern w:val="0"/>
                <w:sz w:val="24"/>
                <w:szCs w:val="24"/>
                <w:highlight w:val="none"/>
                <w:u w:val="none"/>
                <w:lang w:val="en-US" w:eastAsia="zh-CN" w:bidi="ar"/>
              </w:rPr>
              <w:t>项。</w:t>
            </w:r>
          </w:p>
        </w:tc>
      </w:tr>
    </w:tbl>
    <w:tbl>
      <w:tblPr>
        <w:tblStyle w:val="14"/>
        <w:tblpPr w:leftFromText="180" w:rightFromText="180" w:vertAnchor="text" w:horzAnchor="page" w:tblpX="1556" w:tblpY="3626"/>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5"/>
        <w:gridCol w:w="1785"/>
      </w:tblGrid>
      <w:tr w14:paraId="1E4D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FC0">
            <w:pPr>
              <w:keepNext w:val="0"/>
              <w:keepLines w:val="0"/>
              <w:widowControl/>
              <w:suppressLineNumbers w:val="0"/>
              <w:jc w:val="left"/>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（一）互联网静态IP专线带宽服务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F81">
            <w:pPr>
              <w:keepNext w:val="0"/>
              <w:keepLines w:val="0"/>
              <w:widowControl/>
              <w:suppressLineNumbers w:val="0"/>
              <w:jc w:val="left"/>
              <w:textAlignment w:val="center"/>
              <w:rPr>
                <w:rFonts w:hint="default"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cs="微软雅黑"/>
                <w:b/>
                <w:bCs/>
                <w:i w:val="0"/>
                <w:iCs w:val="0"/>
                <w:color w:val="000000"/>
                <w:kern w:val="0"/>
                <w:sz w:val="24"/>
                <w:szCs w:val="24"/>
                <w:u w:val="none"/>
                <w:lang w:val="en-US" w:eastAsia="zh-CN" w:bidi="ar"/>
              </w:rPr>
              <w:t>响应情况</w:t>
            </w:r>
          </w:p>
        </w:tc>
      </w:tr>
      <w:tr w14:paraId="62B7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DE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▲1、提供1条1000M光纤宽带，要求光纤接入方式，提供接入设备（设备费用包含在响应报价中）；</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7D3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49A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3F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2、裸机测试，下行速率达到1000Mbit/s为合格；</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B3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AE7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570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3、提供公网IPv4地址、IPV6地址（64段）；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85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98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677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4、汇聚层、核心层全网采用双路由的备份保护，保证整个城域网的安全、可靠、快速；</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057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7E5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F2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5、专线具有双方向路由保护，出口带宽具有优势性、可靠性及保障性，具有全程可网管能力，具有自愈环，具有故障自动倒换功能，能保证传输线路不因光缆的意外阻断和部分设备故障而中断；</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21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6DD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05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6、供应商或其所提供的互联网光纤服务机构拥有的互联网骨干网络国际出口带宽不少于4000000Mbps，提供可查询链接和证明材料并加盖投标人公章。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973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614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9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7、提供抗DDOS服务，在服务期限内为单位互联网出口提供近源的流量清洗服务，提供清洗能力1Gbps（流量峰值），在DDoS攻击发生时，可利用国内清洗节点资源在近攻击源处完成流量清洗，支持使用 BGP 进行全网牵引清洗或长牵引清洗，无需修改 DNS 配置和 IP 地址，服务要求：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32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BA5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28B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（1）服务支持对攻击状态进行实时监控，一旦发生攻击，即刻发出攻击告警通知，攻击结束后发出结束通知。告警通知包含攻击目标，攻击类型及攻击大小信息；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C55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29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10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（2）服务采用基于管道侧的清洗中心，使用BGP对单个目标IP进行全网牵引，并支持基于需防护目的IP地址的可实现国际流量、国内运营商分方向的流量压制功能，无需修改 DNS 配置和 IP 地址，仅需提供防护目标对象即可进行防护（需提供具有 CNAS 认可的三方测试证明文件加盖投标人公章）；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82D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810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D11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（3）服务采用近源式清洗、分布式清洗，具有全国调动防护能力,具有城域网近目的清洗、城域网、骨干网二级协同联动能力；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844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057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EBA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（4）服务方在全球部署有清洗中心，全球清洗中心数量≥50个（需提供清洗中心能力需提供节点测试截图，具有CNAS 认可的三方测试证明文件加盖投标人公章）；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CFF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79C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55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（5）可防御DDDoS攻击类型要求：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90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C61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2A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(a)可抵御OSI三层网络层攻击，同时可以有效抵御各种反射攻击和僵尸网络攻击；</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4E7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547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F44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(b)可抵御TCP类流量攻击，例如TCP SYN+ACK、TCP FIN、TCP RESET、TCP ACK、TCP ACK+PSH、TCP Fragment等；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D4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F92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3D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(c)可抵御其他Flood类攻击，例如UDP、ICMP、IGMP等 Flood攻击，DNS flood、混合SYN+UDP or ICMP+UDP flood等；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26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6E9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FE5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(d)可抵御反射类攻击，例如Smurf、UDP反射、NTP反射、DNS反射攻击等。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BA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D85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278E">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（二）IDC资源服务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1BBC">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响应情况</w:t>
            </w:r>
          </w:p>
        </w:tc>
      </w:tr>
      <w:tr w14:paraId="79D9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22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1、提供3个服务器机架，机架规格为600*1200*2000mm，网格双开门，前后可开门的标准钣金网络机架，符合 GB/T4054- 2008 中规定外观等级的三级要求；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E3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4BFC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88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2、每个机架电源总功率达到8KW，并需配备有2路PDU模块（1路市电、1路UPS）；</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1D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FE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02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3、机架所在建筑物要求为供应商自有机房，建筑物安全等级不低于二级，设计使用年限不少于50年，地震进行抗震设防不低于7度；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B4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EF0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31F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机房场地不设在建筑物高层或地下室，以及用水设备的下层或隔壁，机房配备环境监控系统、安防监控系统、防雷接地系统、消防系统、空气调节系统及发电机供电系统并符合电子信息系统机房设计规范的B级及以上标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443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E36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FBB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5、机房所在地需具备双路10KV电力供电系统接入保障电力供应，需提供供电公司合同复印件证明材料；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7F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CE4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7B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6、所提供的机房需符合数据中心场地基础设施认证增强级(GB50174-2017 A级)数据中心,提供证明材料；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A8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538A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18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7、供应商具有数据安全能力成熟度等级证书(GB/T 37988)2级及以上能力，提供证书复印件。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C7D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7BD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1" w:hRule="atLeast"/>
        </w:trPr>
        <w:tc>
          <w:tcPr>
            <w:tcW w:w="7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9DE">
            <w:pPr>
              <w:keepNext w:val="0"/>
              <w:keepLines w:val="0"/>
              <w:widowControl/>
              <w:suppressLineNumbers w:val="0"/>
              <w:spacing w:before="0" w:beforeAutospacing="0" w:afterAutospacing="0"/>
              <w:ind w:left="0" w:right="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商务条款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D92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响应情况</w:t>
            </w:r>
          </w:p>
        </w:tc>
      </w:tr>
    </w:tbl>
    <w:tbl>
      <w:tblPr>
        <w:tblStyle w:val="14"/>
        <w:tblpPr w:leftFromText="180" w:rightFromText="180" w:vertAnchor="text" w:horzAnchor="page" w:tblpX="1551" w:tblpY="2"/>
        <w:tblOverlap w:val="never"/>
        <w:tblW w:w="9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0"/>
        <w:gridCol w:w="5610"/>
        <w:gridCol w:w="1785"/>
      </w:tblGrid>
      <w:tr w14:paraId="2D84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DDE7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▲合同签订</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1F89B89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合同签订期：自成交通知书发出之日起25日内。</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1795157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FBB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70" w:type="dxa"/>
            <w:vMerge w:val="restart"/>
            <w:tcBorders>
              <w:top w:val="nil"/>
              <w:left w:val="single" w:color="000000" w:sz="8" w:space="0"/>
              <w:bottom w:val="single" w:color="000000" w:sz="8" w:space="0"/>
              <w:right w:val="single" w:color="000000" w:sz="8" w:space="0"/>
            </w:tcBorders>
            <w:shd w:val="clear" w:color="auto" w:fill="auto"/>
            <w:vAlign w:val="center"/>
          </w:tcPr>
          <w:p w14:paraId="1062D00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▲服务时间</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6A7EF36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1.交付时间：自合同签订之日起30日内完成调试并交付使用。</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045E47A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53E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6C6FE57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7812743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2.交付地点：广西南宁市双拥路6号。</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2AD74A2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76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70" w:type="dxa"/>
            <w:tcBorders>
              <w:top w:val="nil"/>
              <w:left w:val="single" w:color="000000" w:sz="8" w:space="0"/>
              <w:bottom w:val="single" w:color="000000" w:sz="8" w:space="0"/>
              <w:right w:val="single" w:color="000000" w:sz="8" w:space="0"/>
            </w:tcBorders>
            <w:shd w:val="clear" w:color="auto" w:fill="auto"/>
            <w:vAlign w:val="center"/>
          </w:tcPr>
          <w:p w14:paraId="6060A01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▲服务期限</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4AFC00E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服务期：自合同签订之日起1年。</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17D7AFE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6D9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1670" w:type="dxa"/>
            <w:tcBorders>
              <w:top w:val="nil"/>
              <w:left w:val="single" w:color="000000" w:sz="8" w:space="0"/>
              <w:bottom w:val="single" w:color="000000" w:sz="8" w:space="0"/>
              <w:right w:val="single" w:color="000000" w:sz="8" w:space="0"/>
            </w:tcBorders>
            <w:shd w:val="clear" w:color="auto" w:fill="auto"/>
            <w:vAlign w:val="center"/>
          </w:tcPr>
          <w:p w14:paraId="08582B3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▲报价要求</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556A4FE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次报价须为人民币报价，包含服务、备品备件、标准附件、专用工具、人员薪酬、交通费、安装、调试、技术支持、检测检验、培训、验收、必要的保费、各项税费及本文件未列明而供应商认为必需的费用等各项费用的总和。合同实施时，采购人将不予支付供应商没有列入的项目费用，并认为此项目的费用已包括在总报价中，采购人在合同履行期间不再支付其他额外的费用。</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6282E0C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8D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670" w:type="dxa"/>
            <w:vMerge w:val="restart"/>
            <w:tcBorders>
              <w:top w:val="nil"/>
              <w:left w:val="single" w:color="000000" w:sz="8" w:space="0"/>
              <w:bottom w:val="single" w:color="000000" w:sz="8" w:space="0"/>
              <w:right w:val="single" w:color="000000" w:sz="8" w:space="0"/>
            </w:tcBorders>
            <w:shd w:val="clear" w:color="auto" w:fill="auto"/>
            <w:vAlign w:val="center"/>
          </w:tcPr>
          <w:p w14:paraId="2D77C7A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▲付款条件</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4C9BAF1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本项目无预付款，合同款分两期等额支付。合同签订后，每半年服务期满验收合格后支付当期服务费。成交供应商凭开具的当期合法、有效的发票及书面服务报告、维修记录、验收单等材料向采购人提出付费申请，自材料审核完成之日起10个工作日内采购人完成支付。</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06D2BEC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462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5866B3E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439691F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付款前成交供应商必须提供真实、有效、合法的正式发票，如提供假发票的，成交供应商除须向采购人重开合法发票外，还须按发票票面金额一倍的赔偿违约金给采购人，与此相关的行政处罚、刑事责任亦由成交供应商承担，且采购人有权终止合同，成交供应商不得提出异议，因终止合同而产生的一切损失均由成交供应商承担。</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19A4E3E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268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670" w:type="dxa"/>
            <w:vMerge w:val="restart"/>
            <w:tcBorders>
              <w:top w:val="nil"/>
              <w:left w:val="single" w:color="000000" w:sz="8" w:space="0"/>
              <w:bottom w:val="single" w:color="000000" w:sz="8" w:space="0"/>
              <w:right w:val="single" w:color="000000" w:sz="8" w:space="0"/>
            </w:tcBorders>
            <w:shd w:val="clear" w:color="auto" w:fill="auto"/>
            <w:vAlign w:val="center"/>
          </w:tcPr>
          <w:p w14:paraId="6DD0326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▲验收标准</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4E295F6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1、采购人可以根据采购项目具体情况自行组织验收，或者委托第三方机构或部门开展采购项目履约验收工作，验收过程中所产生的费用均由成交供应商承担，供应商在竞标报价时应考虑相关费用。</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3A3C29F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87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15DCF36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1476554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2、验收依据：采购文件、成交供应商响应文件、国家标准、地方标准、行业标准等。</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3766DB1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F7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063C85E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1A09ACB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在项目验收过程中，如项目验收不合格，有关返工、再行验收产生相关成本费用，以及给采购人造成的损失等费用由成交供应商承担。连续两次项目验收不合格的，或弄虚作假的行为，采购人有权不予验收，采购人有权解除合同，并追究成交供应商的责任，由此带来的一切责任由成交供应商自行承担。</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5CBAE74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68C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461802C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1FF75C5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当项目完成后，由成交供应商向采购单位提出项目交付测试申请，并于验收前向采购单位提供一切有关技术文件、资料、图纸和相关记录等交付材料，并在交付前7个工作日通知采购单位及有关部门准备验收。拟交付项目的实施总体功能、性能符合采购单位认可的技术设计方案及合同规定的，予以验收，并作出验收结果报告。供需双方签署项目终验验收证书，并自正式交付使用之日起，整体项目才视为接受，并开始计算维保期。</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25A083A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020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7"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248B6E6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651AC35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验收标准：（1）项目采购文件及成交供应商响应文件中的“技术要求偏离表”，逐条验收；（2）项目采购文件及成交供应商响应文件中的“商务条款偏离表”，逐条验收；（3）成交供应商响应文件中其他技术、服务、商务性的说明、承诺事项，逐条验收。（4）国家相关法律、法规、标准和规范等。（5）执行《关于印发广西壮族自治区政府采购项目履约验收管理办法的通知》（桂财采〔2015〕22 号），采用文中《广西壮族自治区政府采购项目合同验收书》格式文本等规范。</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715C610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F5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1670" w:type="dxa"/>
            <w:vMerge w:val="restart"/>
            <w:tcBorders>
              <w:top w:val="nil"/>
              <w:left w:val="single" w:color="000000" w:sz="8" w:space="0"/>
              <w:right w:val="single" w:color="000000" w:sz="8" w:space="0"/>
            </w:tcBorders>
            <w:shd w:val="clear" w:color="auto" w:fill="auto"/>
            <w:vAlign w:val="center"/>
          </w:tcPr>
          <w:p w14:paraId="4BF2116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▲售后服务要求</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2FC219FE">
            <w:pPr>
              <w:keepNext w:val="0"/>
              <w:keepLines w:val="0"/>
              <w:widowControl/>
              <w:numPr>
                <w:ilvl w:val="0"/>
                <w:numId w:val="4"/>
              </w:numPr>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提供的所有产品必须是具备厂家合法渠道的全新的原装正品，设备按厂家承诺实行“三包”，服务期内成交供应商必须免费提供维修服务：必须提供7×24小时电话支持服务，服务期内设备出现故障，要求30分钟内做出响应，2个小时内赶往现场，12小时内解决问题。24小时内无法修复的，成交供应商必须提供必要的零配件或备件进行替换，以免影响整套系统的正常运行。</w:t>
            </w:r>
          </w:p>
          <w:p w14:paraId="75A568C6">
            <w:pPr>
              <w:keepNext w:val="0"/>
              <w:keepLines w:val="0"/>
              <w:widowControl/>
              <w:numPr>
                <w:ilvl w:val="0"/>
                <w:numId w:val="0"/>
              </w:numPr>
              <w:suppressLineNumbers w:val="0"/>
              <w:spacing w:before="0" w:beforeAutospacing="0" w:afterAutospacing="0"/>
              <w:ind w:right="0" w:righ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4C27A80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E05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3" w:hRule="atLeast"/>
        </w:trPr>
        <w:tc>
          <w:tcPr>
            <w:tcW w:w="1670" w:type="dxa"/>
            <w:vMerge w:val="continue"/>
            <w:tcBorders>
              <w:left w:val="single" w:color="000000" w:sz="8" w:space="0"/>
              <w:bottom w:val="single" w:color="000000" w:sz="8" w:space="0"/>
              <w:right w:val="single" w:color="000000" w:sz="8" w:space="0"/>
            </w:tcBorders>
            <w:shd w:val="clear" w:color="auto" w:fill="auto"/>
            <w:vAlign w:val="center"/>
          </w:tcPr>
          <w:p w14:paraId="186CA509">
            <w:pPr>
              <w:keepNext w:val="0"/>
              <w:keepLines w:val="0"/>
              <w:widowControl/>
              <w:suppressLineNumbers w:val="0"/>
              <w:spacing w:before="0" w:beforeAutospacing="0" w:afterAutospacing="0"/>
              <w:ind w:left="0" w:right="0"/>
              <w:jc w:val="left"/>
              <w:textAlignment w:val="cente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01AF6B05">
            <w:pPr>
              <w:keepNext w:val="0"/>
              <w:keepLines w:val="0"/>
              <w:widowControl/>
              <w:suppressLineNumbers w:val="0"/>
              <w:spacing w:before="0" w:beforeAutospacing="0" w:afterAutospacing="0"/>
              <w:ind w:left="0" w:right="0"/>
              <w:jc w:val="left"/>
              <w:textAlignment w:val="center"/>
            </w:pPr>
            <w:r>
              <w:rPr>
                <w:rFonts w:hint="eastAsia" w:ascii="宋体" w:hAnsi="宋体" w:eastAsia="宋体" w:cs="宋体"/>
                <w:i w:val="0"/>
                <w:iCs w:val="0"/>
                <w:color w:val="000000"/>
                <w:kern w:val="0"/>
                <w:sz w:val="24"/>
                <w:szCs w:val="24"/>
                <w:highlight w:val="none"/>
                <w:u w:val="none"/>
                <w:lang w:val="en-US" w:eastAsia="zh-CN" w:bidi="ar"/>
              </w:rPr>
              <w:t>2.在服务期内，成交供应商应严格遵守《中华人民共和国电信条例》，维护双方权益，按工信部颁布的《电信服务标准》的电路质量要求，保证采购人系统畅通及安全使用。为保证采购人网络的连续稳定运行。</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11BFA9A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6E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1B4C43C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0296E16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3.免费提供完善的操作培训或技术培训方案，免费现场培训技术员2名以上,保证熟练掌握全部功能为止。</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2EBC885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9E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622306E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648CC77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4.提供多个故障申告途径及绿色通道，做到全方位响应，并指定专人负责上门受理调试日常维护及平时协助采购人维护检测等工作。</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0190746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7C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341BC0B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7F66FA7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5因成交供应商施工、网络割接等原因影响宽带网络运行的，应当提前一天通知采购人，并且尽快消除故障、恢复通信线路；</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5B8E5D0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24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670" w:type="dxa"/>
            <w:vMerge w:val="continue"/>
            <w:tcBorders>
              <w:top w:val="nil"/>
              <w:left w:val="single" w:color="000000" w:sz="8" w:space="0"/>
              <w:bottom w:val="single" w:color="000000" w:sz="8" w:space="0"/>
              <w:right w:val="single" w:color="000000" w:sz="8" w:space="0"/>
            </w:tcBorders>
            <w:shd w:val="clear" w:color="auto" w:fill="auto"/>
            <w:vAlign w:val="center"/>
          </w:tcPr>
          <w:p w14:paraId="44DEDD8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52C676E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6.供应商询价时必须提供详细的技术方案、项目实施方案、售后服务承诺书、售后服务机构及联系人名单。</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69C3610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26D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70" w:type="dxa"/>
            <w:vMerge w:val="continue"/>
            <w:tcBorders>
              <w:top w:val="nil"/>
              <w:left w:val="single" w:color="000000" w:sz="8" w:space="0"/>
              <w:bottom w:val="nil"/>
              <w:right w:val="single" w:color="000000" w:sz="8" w:space="0"/>
            </w:tcBorders>
            <w:shd w:val="clear" w:color="auto" w:fill="auto"/>
            <w:vAlign w:val="center"/>
          </w:tcPr>
          <w:p w14:paraId="39BA2B0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28671F7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8、提供重要会议和重要业务窗口期的线路质量保障服务。</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267526B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B1E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670" w:type="dxa"/>
            <w:tcBorders>
              <w:top w:val="nil"/>
              <w:left w:val="single" w:color="000000" w:sz="8" w:space="0"/>
              <w:bottom w:val="single" w:color="000000" w:sz="8" w:space="0"/>
              <w:right w:val="single" w:color="000000" w:sz="8" w:space="0"/>
            </w:tcBorders>
            <w:shd w:val="clear" w:color="auto" w:fill="auto"/>
            <w:vAlign w:val="center"/>
          </w:tcPr>
          <w:p w14:paraId="14825254">
            <w:pPr>
              <w:keepNext w:val="0"/>
              <w:keepLines w:val="0"/>
              <w:widowControl/>
              <w:suppressLineNumbers w:val="0"/>
              <w:spacing w:before="0" w:beforeAutospacing="0" w:afterAutospacing="0"/>
              <w:ind w:left="0" w:leftChars="0" w:right="0" w:right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▲履约保证金收取与退付</w:t>
            </w:r>
          </w:p>
        </w:tc>
        <w:tc>
          <w:tcPr>
            <w:tcW w:w="5610" w:type="dxa"/>
            <w:tcBorders>
              <w:top w:val="single" w:color="000000" w:sz="8" w:space="0"/>
              <w:left w:val="nil"/>
              <w:bottom w:val="single" w:color="000000" w:sz="8" w:space="0"/>
              <w:right w:val="single" w:color="000000" w:sz="8" w:space="0"/>
            </w:tcBorders>
            <w:shd w:val="clear" w:color="auto" w:fill="auto"/>
            <w:vAlign w:val="center"/>
          </w:tcPr>
          <w:p w14:paraId="249D72C9">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签订合同前，成交供应商按合同金额的2%向采购人支付履约保证金或银行、担保机构出具的同等额度的履约保函。成交供应商供货至服务期结束，通过采购人验收合格后，如无质量纠纷，经供应商申请，采购人于三十个工作日内无息退回履约保证金（按合同约定被扣除的除外）。成交供应商在服务期内如有违约事项，采购人有权直接从履约保证金中扣减违约金并要求成交供应商补足。履约保证金不足以赔偿损失的，超出部分由成交供应商另行赔偿。</w:t>
            </w:r>
          </w:p>
          <w:p w14:paraId="42CC7506">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履约保证金指定账户： </w:t>
            </w:r>
          </w:p>
          <w:p w14:paraId="48B4A8EA">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开户名：广西医科大学第一附属医院</w:t>
            </w:r>
          </w:p>
          <w:p w14:paraId="16587071">
            <w:pPr>
              <w:keepNext w:val="0"/>
              <w:keepLines w:val="0"/>
              <w:widowControl/>
              <w:suppressLineNumbers w:val="0"/>
              <w:spacing w:before="0" w:beforeAutospacing="0" w:afterAutospacing="0" w:line="400" w:lineRule="exact"/>
              <w:ind w:left="0" w:right="0" w:firstLine="484" w:firstLineChars="202"/>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账号：45001604560050501061</w:t>
            </w:r>
          </w:p>
          <w:p w14:paraId="7DB79C91">
            <w:pPr>
              <w:keepNext w:val="0"/>
              <w:keepLines w:val="0"/>
              <w:widowControl/>
              <w:suppressLineNumbers w:val="0"/>
              <w:spacing w:before="0" w:beforeAutospacing="0" w:afterAutospacing="0" w:line="400" w:lineRule="exact"/>
              <w:ind w:left="0" w:leftChars="0" w:right="0" w:rightChars="0" w:firstLine="484" w:firstLineChars="202"/>
              <w:jc w:val="left"/>
              <w:rPr>
                <w:rFonts w:hint="eastAsia" w:ascii="宋体" w:hAnsi="宋体" w:eastAsia="微软雅黑" w:cs="Times New Roman"/>
                <w:color w:val="0000FF"/>
                <w:sz w:val="22"/>
                <w:szCs w:val="21"/>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开户行：广西南宁</w:t>
            </w:r>
            <w:r>
              <w:rPr>
                <w:rFonts w:hint="default" w:ascii="宋体" w:hAnsi="宋体" w:eastAsia="宋体" w:cs="宋体"/>
                <w:i w:val="0"/>
                <w:iCs w:val="0"/>
                <w:color w:val="000000"/>
                <w:kern w:val="0"/>
                <w:sz w:val="24"/>
                <w:szCs w:val="24"/>
                <w:highlight w:val="none"/>
                <w:u w:val="none"/>
                <w:lang w:val="en-US" w:eastAsia="zh-CN" w:bidi="ar"/>
              </w:rPr>
              <w:t>建行</w:t>
            </w:r>
            <w:r>
              <w:rPr>
                <w:rFonts w:hint="eastAsia" w:ascii="宋体" w:hAnsi="宋体" w:eastAsia="宋体" w:cs="宋体"/>
                <w:i w:val="0"/>
                <w:iCs w:val="0"/>
                <w:color w:val="000000"/>
                <w:kern w:val="0"/>
                <w:sz w:val="24"/>
                <w:szCs w:val="24"/>
                <w:highlight w:val="none"/>
                <w:u w:val="none"/>
                <w:lang w:val="en-US" w:eastAsia="zh-CN" w:bidi="ar"/>
              </w:rPr>
              <w:t>医科大支行</w:t>
            </w:r>
          </w:p>
        </w:tc>
        <w:tc>
          <w:tcPr>
            <w:tcW w:w="1785" w:type="dxa"/>
            <w:tcBorders>
              <w:top w:val="single" w:color="000000" w:sz="8" w:space="0"/>
              <w:left w:val="nil"/>
              <w:bottom w:val="single" w:color="000000" w:sz="8" w:space="0"/>
              <w:right w:val="single" w:color="000000" w:sz="8" w:space="0"/>
            </w:tcBorders>
            <w:shd w:val="clear" w:color="auto" w:fill="auto"/>
            <w:noWrap/>
            <w:vAlign w:val="center"/>
          </w:tcPr>
          <w:p w14:paraId="3455138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35B138FF">
      <w:pPr>
        <w:jc w:val="left"/>
      </w:pPr>
    </w:p>
    <w:p w14:paraId="78478A79">
      <w:pPr>
        <w:jc w:val="left"/>
      </w:pPr>
    </w:p>
    <w:p w14:paraId="454F777A">
      <w:pPr>
        <w:jc w:val="left"/>
      </w:pPr>
    </w:p>
    <w:p w14:paraId="04970E3B">
      <w:pPr>
        <w:jc w:val="left"/>
      </w:pPr>
    </w:p>
    <w:p w14:paraId="5D338948">
      <w:pPr>
        <w:jc w:val="left"/>
      </w:pPr>
    </w:p>
    <w:p w14:paraId="18C55418">
      <w:pPr>
        <w:jc w:val="left"/>
      </w:pPr>
    </w:p>
    <w:p w14:paraId="1D139D2C">
      <w:pPr>
        <w:jc w:val="left"/>
      </w:pPr>
    </w:p>
    <w:p w14:paraId="3EBB79E1">
      <w:pPr>
        <w:jc w:val="left"/>
      </w:pPr>
    </w:p>
    <w:p w14:paraId="59298339">
      <w:pPr>
        <w:jc w:val="left"/>
      </w:pPr>
    </w:p>
    <w:p w14:paraId="38D74820">
      <w:pPr>
        <w:jc w:val="left"/>
      </w:pPr>
    </w:p>
    <w:p w14:paraId="5E773714">
      <w:pPr>
        <w:jc w:val="left"/>
      </w:pPr>
    </w:p>
    <w:p w14:paraId="29F7854A">
      <w:pPr>
        <w:jc w:val="left"/>
      </w:pPr>
    </w:p>
    <w:p w14:paraId="7DB55D96">
      <w:pPr>
        <w:jc w:val="left"/>
      </w:pPr>
    </w:p>
    <w:p w14:paraId="51B38A71">
      <w:pPr>
        <w:jc w:val="left"/>
      </w:pPr>
    </w:p>
    <w:p w14:paraId="6360B9A1">
      <w:pPr>
        <w:jc w:val="left"/>
      </w:pPr>
    </w:p>
    <w:p w14:paraId="58DBB488">
      <w:pPr>
        <w:jc w:val="left"/>
      </w:pPr>
    </w:p>
    <w:p w14:paraId="21318A93">
      <w:pPr>
        <w:jc w:val="left"/>
      </w:pPr>
    </w:p>
    <w:p w14:paraId="4807E982">
      <w:pPr>
        <w:jc w:val="left"/>
      </w:pPr>
    </w:p>
    <w:p w14:paraId="48283989">
      <w:pPr>
        <w:jc w:val="left"/>
      </w:pPr>
    </w:p>
    <w:p w14:paraId="04B3EB11">
      <w:pPr>
        <w:jc w:val="left"/>
      </w:pPr>
    </w:p>
    <w:p w14:paraId="32F520FA">
      <w:pPr>
        <w:jc w:val="left"/>
      </w:pPr>
    </w:p>
    <w:p w14:paraId="7ADAE3F8">
      <w:pPr>
        <w:jc w:val="left"/>
      </w:pPr>
    </w:p>
    <w:p w14:paraId="705C45D5">
      <w:pPr>
        <w:jc w:val="left"/>
      </w:pPr>
    </w:p>
    <w:p w14:paraId="589DAA9F">
      <w:pPr>
        <w:jc w:val="left"/>
      </w:pPr>
    </w:p>
    <w:p w14:paraId="1DC02A18">
      <w:pPr>
        <w:jc w:val="left"/>
      </w:pPr>
    </w:p>
    <w:p w14:paraId="2DAAF032">
      <w:pPr>
        <w:jc w:val="left"/>
      </w:pPr>
    </w:p>
    <w:p w14:paraId="29A4E593">
      <w:pPr>
        <w:jc w:val="left"/>
      </w:pPr>
    </w:p>
    <w:p w14:paraId="5870CDFF">
      <w:pPr>
        <w:jc w:val="left"/>
      </w:pPr>
    </w:p>
    <w:p w14:paraId="4777BA57">
      <w:pPr>
        <w:jc w:val="left"/>
      </w:pPr>
    </w:p>
    <w:p w14:paraId="64944900">
      <w:pPr>
        <w:jc w:val="left"/>
      </w:pPr>
    </w:p>
    <w:p w14:paraId="4C6232BE">
      <w:pPr>
        <w:jc w:val="left"/>
      </w:pPr>
    </w:p>
    <w:p w14:paraId="46B8EF96">
      <w:pPr>
        <w:jc w:val="left"/>
      </w:pPr>
    </w:p>
    <w:p w14:paraId="372D7390">
      <w:pPr>
        <w:snapToGrid w:val="0"/>
        <w:spacing w:before="50" w:afterLines="50"/>
        <w:jc w:val="center"/>
        <w:rPr>
          <w:rFonts w:hint="eastAsia" w:asciiTheme="minorEastAsia" w:hAnsiTheme="minorEastAsia" w:eastAsiaTheme="minorEastAsia" w:cstheme="minorEastAsia"/>
          <w:b/>
          <w:sz w:val="32"/>
          <w:szCs w:val="32"/>
        </w:rPr>
      </w:pPr>
    </w:p>
    <w:p w14:paraId="1F57E05C">
      <w:pPr>
        <w:widowControl w:val="0"/>
        <w:numPr>
          <w:ilvl w:val="0"/>
          <w:numId w:val="5"/>
        </w:numPr>
        <w:spacing w:after="20" w:afterLines="20" w:line="500" w:lineRule="exact"/>
        <w:jc w:val="center"/>
        <w:rPr>
          <w:rFonts w:hint="eastAsia" w:ascii="宋体" w:hAnsi="宋体" w:eastAsia="宋体" w:cs="宋体"/>
          <w:b/>
          <w:snapToGrid/>
          <w:kern w:val="2"/>
          <w:sz w:val="32"/>
          <w:szCs w:val="32"/>
        </w:rPr>
      </w:pPr>
      <w:r>
        <w:rPr>
          <w:rFonts w:hint="eastAsia" w:ascii="宋体" w:hAnsi="宋体" w:eastAsia="宋体" w:cs="宋体"/>
          <w:b/>
          <w:snapToGrid/>
          <w:kern w:val="2"/>
          <w:sz w:val="32"/>
          <w:szCs w:val="32"/>
        </w:rPr>
        <w:t>报价表</w:t>
      </w:r>
    </w:p>
    <w:p w14:paraId="7F1DDFFD">
      <w:pPr>
        <w:widowControl w:val="0"/>
        <w:spacing w:after="20" w:afterLines="20" w:line="500" w:lineRule="exact"/>
        <w:ind w:firstLine="560" w:firstLineChars="200"/>
        <w:jc w:val="both"/>
        <w:rPr>
          <w:rFonts w:hint="eastAsia" w:ascii="宋体" w:hAnsi="宋体" w:eastAsia="宋体" w:cs="宋体"/>
          <w:snapToGrid/>
          <w:kern w:val="2"/>
          <w:sz w:val="28"/>
          <w:szCs w:val="28"/>
          <w:u w:val="single"/>
        </w:rPr>
      </w:pPr>
      <w:r>
        <w:rPr>
          <w:rFonts w:hint="eastAsia" w:ascii="宋体" w:hAnsi="宋体" w:eastAsia="宋体" w:cs="宋体"/>
          <w:snapToGrid/>
          <w:kern w:val="2"/>
          <w:sz w:val="28"/>
          <w:szCs w:val="28"/>
        </w:rPr>
        <w:t>项目名称:</w:t>
      </w:r>
      <w:r>
        <w:rPr>
          <w:rFonts w:hint="eastAsia" w:ascii="宋体" w:hAnsi="宋体" w:eastAsia="宋体" w:cs="宋体"/>
          <w:snapToGrid/>
          <w:kern w:val="2"/>
          <w:sz w:val="28"/>
          <w:szCs w:val="28"/>
          <w:u w:val="single"/>
        </w:rPr>
        <w:t xml:space="preserve"> 1G互联网静态IP专线宽带采购 </w:t>
      </w:r>
    </w:p>
    <w:tbl>
      <w:tblPr>
        <w:tblStyle w:val="14"/>
        <w:tblpPr w:leftFromText="180" w:rightFromText="180" w:vertAnchor="text" w:horzAnchor="page" w:tblpX="1196" w:tblpY="6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600"/>
        <w:gridCol w:w="3387"/>
        <w:gridCol w:w="851"/>
      </w:tblGrid>
      <w:tr w14:paraId="1BFF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trPr>
        <w:tc>
          <w:tcPr>
            <w:tcW w:w="919" w:type="dxa"/>
            <w:tcBorders>
              <w:bottom w:val="single" w:color="auto" w:sz="4" w:space="0"/>
            </w:tcBorders>
            <w:noWrap w:val="0"/>
            <w:vAlign w:val="center"/>
          </w:tcPr>
          <w:p w14:paraId="75435247">
            <w:pPr>
              <w:widowControl w:val="0"/>
              <w:adjustRightInd w:val="0"/>
              <w:snapToGrid w:val="0"/>
              <w:spacing w:after="20" w:afterLines="20" w:line="400" w:lineRule="exact"/>
              <w:ind w:left="480" w:hanging="480"/>
              <w:jc w:val="center"/>
              <w:rPr>
                <w:rFonts w:hint="eastAsia" w:ascii="宋体" w:hAnsi="宋体" w:eastAsia="宋体" w:cs="宋体"/>
                <w:snapToGrid/>
                <w:spacing w:val="-20"/>
                <w:kern w:val="2"/>
                <w:sz w:val="24"/>
                <w:szCs w:val="24"/>
                <w:lang w:val="en-US" w:eastAsia="zh-CN" w:bidi="ar-SA"/>
              </w:rPr>
            </w:pPr>
            <w:r>
              <w:rPr>
                <w:rFonts w:hint="eastAsia" w:ascii="宋体" w:hAnsi="宋体" w:eastAsia="宋体" w:cs="宋体"/>
                <w:snapToGrid/>
                <w:spacing w:val="-20"/>
                <w:kern w:val="2"/>
                <w:sz w:val="24"/>
                <w:szCs w:val="24"/>
                <w:lang w:val="en-US" w:eastAsia="zh-CN" w:bidi="ar-SA"/>
              </w:rPr>
              <w:t>序号</w:t>
            </w:r>
          </w:p>
        </w:tc>
        <w:tc>
          <w:tcPr>
            <w:tcW w:w="4600" w:type="dxa"/>
            <w:tcBorders>
              <w:bottom w:val="single" w:color="auto" w:sz="4" w:space="0"/>
            </w:tcBorders>
            <w:noWrap w:val="0"/>
            <w:vAlign w:val="center"/>
          </w:tcPr>
          <w:p w14:paraId="09942397">
            <w:pPr>
              <w:widowControl w:val="0"/>
              <w:tabs>
                <w:tab w:val="left" w:pos="180"/>
                <w:tab w:val="left" w:pos="1620"/>
              </w:tabs>
              <w:spacing w:after="20" w:afterLines="20" w:line="400" w:lineRule="exact"/>
              <w:jc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服务项目名称</w:t>
            </w:r>
          </w:p>
        </w:tc>
        <w:tc>
          <w:tcPr>
            <w:tcW w:w="3387" w:type="dxa"/>
            <w:tcBorders>
              <w:bottom w:val="single" w:color="auto" w:sz="4" w:space="0"/>
            </w:tcBorders>
            <w:noWrap w:val="0"/>
            <w:vAlign w:val="center"/>
          </w:tcPr>
          <w:p w14:paraId="46C7D9F2">
            <w:pPr>
              <w:widowControl w:val="0"/>
              <w:adjustRightInd w:val="0"/>
              <w:snapToGrid w:val="0"/>
              <w:spacing w:after="20" w:afterLines="20" w:line="400" w:lineRule="exact"/>
              <w:ind w:left="560" w:hanging="560"/>
              <w:jc w:val="center"/>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报价（元）</w:t>
            </w:r>
          </w:p>
        </w:tc>
        <w:tc>
          <w:tcPr>
            <w:tcW w:w="851" w:type="dxa"/>
            <w:tcBorders>
              <w:bottom w:val="single" w:color="auto" w:sz="4" w:space="0"/>
            </w:tcBorders>
            <w:noWrap w:val="0"/>
            <w:vAlign w:val="center"/>
          </w:tcPr>
          <w:p w14:paraId="21B66010">
            <w:pPr>
              <w:widowControl w:val="0"/>
              <w:adjustRightInd w:val="0"/>
              <w:snapToGrid w:val="0"/>
              <w:spacing w:after="20" w:afterLines="20" w:line="400" w:lineRule="exact"/>
              <w:ind w:left="560" w:hanging="560"/>
              <w:jc w:val="center"/>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备注</w:t>
            </w:r>
          </w:p>
        </w:tc>
      </w:tr>
      <w:tr w14:paraId="71C0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trPr>
        <w:tc>
          <w:tcPr>
            <w:tcW w:w="919" w:type="dxa"/>
            <w:noWrap w:val="0"/>
            <w:vAlign w:val="center"/>
          </w:tcPr>
          <w:p w14:paraId="7BE3F0B2">
            <w:pPr>
              <w:widowControl w:val="0"/>
              <w:spacing w:after="20" w:afterLines="20" w:line="288" w:lineRule="auto"/>
              <w:jc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1</w:t>
            </w:r>
          </w:p>
        </w:tc>
        <w:tc>
          <w:tcPr>
            <w:tcW w:w="4600" w:type="dxa"/>
            <w:noWrap w:val="0"/>
            <w:vAlign w:val="center"/>
          </w:tcPr>
          <w:p w14:paraId="3F86307C">
            <w:pPr>
              <w:widowControl w:val="0"/>
              <w:adjustRightInd w:val="0"/>
              <w:snapToGrid w:val="0"/>
              <w:spacing w:after="20" w:afterLines="20" w:line="288" w:lineRule="auto"/>
              <w:ind w:left="560" w:hanging="560"/>
              <w:jc w:val="center"/>
              <w:rPr>
                <w:rFonts w:hint="eastAsia" w:ascii="宋体" w:hAnsi="宋体" w:eastAsia="宋体" w:cs="宋体"/>
                <w:snapToGrid/>
                <w:kern w:val="2"/>
                <w:sz w:val="24"/>
                <w:szCs w:val="24"/>
                <w:lang w:val="en-US" w:eastAsia="zh-CN" w:bidi="ar-SA"/>
              </w:rPr>
            </w:pPr>
          </w:p>
        </w:tc>
        <w:tc>
          <w:tcPr>
            <w:tcW w:w="3387" w:type="dxa"/>
            <w:noWrap w:val="0"/>
            <w:vAlign w:val="center"/>
          </w:tcPr>
          <w:p w14:paraId="662DA7A3">
            <w:pPr>
              <w:widowControl w:val="0"/>
              <w:adjustRightInd w:val="0"/>
              <w:snapToGrid w:val="0"/>
              <w:spacing w:after="20" w:afterLines="20" w:line="288" w:lineRule="auto"/>
              <w:ind w:left="560" w:hanging="560"/>
              <w:jc w:val="both"/>
              <w:rPr>
                <w:rFonts w:hint="eastAsia" w:ascii="宋体" w:hAnsi="宋体" w:eastAsia="宋体" w:cs="宋体"/>
                <w:snapToGrid/>
                <w:kern w:val="2"/>
                <w:sz w:val="24"/>
                <w:szCs w:val="24"/>
                <w:lang w:val="en-US" w:eastAsia="zh-CN" w:bidi="ar-SA"/>
              </w:rPr>
            </w:pPr>
          </w:p>
        </w:tc>
        <w:tc>
          <w:tcPr>
            <w:tcW w:w="851" w:type="dxa"/>
            <w:noWrap w:val="0"/>
            <w:vAlign w:val="center"/>
          </w:tcPr>
          <w:p w14:paraId="6FFAF06B">
            <w:pPr>
              <w:widowControl w:val="0"/>
              <w:adjustRightInd w:val="0"/>
              <w:snapToGrid w:val="0"/>
              <w:spacing w:after="20" w:afterLines="20" w:line="288" w:lineRule="auto"/>
              <w:ind w:left="536" w:hanging="536"/>
              <w:jc w:val="center"/>
              <w:rPr>
                <w:rFonts w:hint="eastAsia" w:ascii="宋体" w:hAnsi="宋体" w:eastAsia="宋体" w:cs="宋体"/>
                <w:snapToGrid/>
                <w:color w:val="FF00FF"/>
                <w:spacing w:val="-6"/>
                <w:kern w:val="2"/>
                <w:sz w:val="24"/>
                <w:szCs w:val="24"/>
                <w:lang w:val="en-US" w:eastAsia="zh-CN" w:bidi="ar-SA"/>
              </w:rPr>
            </w:pPr>
          </w:p>
        </w:tc>
      </w:tr>
      <w:tr w14:paraId="76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57" w:type="dxa"/>
            <w:gridSpan w:val="4"/>
            <w:noWrap w:val="0"/>
            <w:vAlign w:val="center"/>
          </w:tcPr>
          <w:p w14:paraId="421536D1">
            <w:pPr>
              <w:widowControl w:val="0"/>
              <w:adjustRightInd w:val="0"/>
              <w:snapToGrid w:val="0"/>
              <w:spacing w:after="20" w:afterLines="20" w:line="288" w:lineRule="auto"/>
              <w:ind w:left="536" w:hanging="536"/>
              <w:jc w:val="left"/>
              <w:rPr>
                <w:rFonts w:hint="eastAsia" w:ascii="宋体" w:hAnsi="宋体" w:eastAsia="宋体" w:cs="宋体"/>
                <w:snapToGrid/>
                <w:spacing w:val="-6"/>
                <w:kern w:val="2"/>
                <w:sz w:val="24"/>
                <w:szCs w:val="24"/>
                <w:lang w:val="en-US" w:eastAsia="zh-CN" w:bidi="ar-SA"/>
              </w:rPr>
            </w:pPr>
            <w:r>
              <w:rPr>
                <w:rFonts w:hint="eastAsia" w:ascii="宋体" w:hAnsi="宋体" w:eastAsia="宋体" w:cs="宋体"/>
                <w:snapToGrid/>
                <w:spacing w:val="-6"/>
                <w:kern w:val="2"/>
                <w:sz w:val="24"/>
                <w:szCs w:val="24"/>
                <w:lang w:val="en-US" w:eastAsia="zh-CN" w:bidi="ar-SA"/>
              </w:rPr>
              <w:t>总报价（人民币大写）：</w:t>
            </w:r>
            <w:r>
              <w:rPr>
                <w:rFonts w:hint="eastAsia" w:ascii="宋体" w:hAnsi="宋体" w:eastAsia="宋体" w:cs="宋体"/>
                <w:snapToGrid/>
                <w:spacing w:val="-6"/>
                <w:kern w:val="2"/>
                <w:sz w:val="24"/>
                <w:szCs w:val="24"/>
                <w:u w:val="single"/>
                <w:lang w:val="en-US" w:eastAsia="zh-CN" w:bidi="ar-SA"/>
              </w:rPr>
              <w:t xml:space="preserve">                                 </w:t>
            </w:r>
            <w:r>
              <w:rPr>
                <w:rFonts w:hint="eastAsia" w:ascii="宋体" w:hAnsi="宋体" w:eastAsia="宋体" w:cs="宋体"/>
                <w:snapToGrid/>
                <w:spacing w:val="-6"/>
                <w:kern w:val="2"/>
                <w:sz w:val="24"/>
                <w:szCs w:val="24"/>
                <w:lang w:val="en-US" w:eastAsia="zh-CN" w:bidi="ar-SA"/>
              </w:rPr>
              <w:t>（¥</w:t>
            </w:r>
            <w:r>
              <w:rPr>
                <w:rFonts w:hint="eastAsia" w:ascii="宋体" w:hAnsi="宋体" w:eastAsia="宋体" w:cs="宋体"/>
                <w:snapToGrid/>
                <w:spacing w:val="-6"/>
                <w:kern w:val="2"/>
                <w:sz w:val="24"/>
                <w:szCs w:val="24"/>
                <w:u w:val="single"/>
                <w:lang w:val="en-US" w:eastAsia="zh-CN" w:bidi="ar-SA"/>
              </w:rPr>
              <w:t xml:space="preserve">                </w:t>
            </w:r>
            <w:r>
              <w:rPr>
                <w:rFonts w:hint="eastAsia" w:ascii="宋体" w:hAnsi="宋体" w:eastAsia="宋体" w:cs="宋体"/>
                <w:snapToGrid/>
                <w:spacing w:val="-6"/>
                <w:kern w:val="2"/>
                <w:sz w:val="24"/>
                <w:szCs w:val="24"/>
                <w:lang w:val="en-US" w:eastAsia="zh-CN" w:bidi="ar-SA"/>
              </w:rPr>
              <w:t>元）</w:t>
            </w:r>
          </w:p>
        </w:tc>
      </w:tr>
    </w:tbl>
    <w:p w14:paraId="026DF8B0">
      <w:pPr>
        <w:widowControl w:val="0"/>
        <w:spacing w:after="20" w:afterLines="20" w:line="400" w:lineRule="exact"/>
        <w:jc w:val="both"/>
        <w:rPr>
          <w:rFonts w:hint="eastAsia" w:ascii="宋体" w:hAnsi="宋体" w:eastAsia="宋体" w:cs="宋体"/>
          <w:snapToGrid/>
          <w:kern w:val="2"/>
          <w:sz w:val="24"/>
          <w:szCs w:val="24"/>
        </w:rPr>
      </w:pPr>
    </w:p>
    <w:p w14:paraId="2D9BDC8E">
      <w:pPr>
        <w:widowControl w:val="0"/>
        <w:spacing w:after="20" w:afterLines="20" w:line="400" w:lineRule="exact"/>
        <w:ind w:firstLine="240" w:firstLineChars="100"/>
        <w:jc w:val="both"/>
        <w:rPr>
          <w:rFonts w:hint="eastAsia" w:ascii="宋体" w:hAnsi="宋体" w:eastAsia="宋体" w:cs="宋体"/>
          <w:snapToGrid/>
          <w:kern w:val="2"/>
          <w:sz w:val="24"/>
          <w:szCs w:val="24"/>
        </w:rPr>
      </w:pPr>
      <w:r>
        <w:rPr>
          <w:rFonts w:hint="eastAsia" w:ascii="宋体" w:hAnsi="宋体" w:eastAsia="宋体" w:cs="宋体"/>
          <w:snapToGrid/>
          <w:kern w:val="2"/>
          <w:sz w:val="24"/>
          <w:szCs w:val="24"/>
        </w:rPr>
        <w:t>注：1、所有价格均用人民币表示，单位为元，精确到小数点后两位数。</w:t>
      </w:r>
    </w:p>
    <w:p w14:paraId="29EE03F0">
      <w:pPr>
        <w:widowControl w:val="0"/>
        <w:spacing w:after="20" w:afterLines="20" w:line="400" w:lineRule="exact"/>
        <w:ind w:left="279" w:leftChars="127" w:firstLine="470" w:firstLineChars="196"/>
        <w:jc w:val="both"/>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2、本次报价包含服务、备品备件、标准附件、专用工具、人员薪酬、交通费、安装、调试、技术支持、检测检验、培训、验收、必要的保费、各项税费及本文件未列明而供应商认为必需的费用等各项费用的总和。合同实施时，采购人将不予支付供应商没有列入的项目费用，并认为此项目的费用已包括在总报价中，采购人在合同履行期间不再支付其他额外的费用。</w:t>
      </w:r>
    </w:p>
    <w:p w14:paraId="4F424926">
      <w:pPr>
        <w:widowControl w:val="0"/>
        <w:adjustRightInd w:val="0"/>
        <w:snapToGrid w:val="0"/>
        <w:spacing w:after="20" w:afterLines="20" w:line="500" w:lineRule="exact"/>
        <w:ind w:firstLine="480" w:firstLineChars="200"/>
        <w:jc w:val="both"/>
        <w:rPr>
          <w:rFonts w:hint="eastAsia" w:ascii="宋体" w:hAnsi="宋体" w:eastAsia="宋体" w:cs="宋体"/>
          <w:snapToGrid/>
          <w:kern w:val="2"/>
          <w:sz w:val="24"/>
          <w:szCs w:val="24"/>
          <w:lang w:val="en-US" w:eastAsia="zh-CN" w:bidi="ar-SA"/>
        </w:rPr>
      </w:pPr>
    </w:p>
    <w:p w14:paraId="29D3478A">
      <w:pPr>
        <w:widowControl w:val="0"/>
        <w:adjustRightInd w:val="0"/>
        <w:snapToGrid w:val="0"/>
        <w:spacing w:after="20" w:afterLines="20" w:line="500" w:lineRule="exact"/>
        <w:ind w:firstLine="480" w:firstLineChars="200"/>
        <w:jc w:val="both"/>
        <w:rPr>
          <w:rFonts w:hint="eastAsia" w:ascii="宋体" w:hAnsi="宋体" w:eastAsia="宋体" w:cs="宋体"/>
          <w:snapToGrid/>
          <w:kern w:val="2"/>
          <w:sz w:val="24"/>
          <w:szCs w:val="24"/>
          <w:lang w:val="en-US" w:eastAsia="zh-CN" w:bidi="ar-SA"/>
        </w:rPr>
      </w:pPr>
    </w:p>
    <w:p w14:paraId="0ADDA0FE">
      <w:pPr>
        <w:widowControl w:val="0"/>
        <w:adjustRightInd w:val="0"/>
        <w:snapToGrid w:val="0"/>
        <w:spacing w:after="20" w:afterLines="20" w:line="500" w:lineRule="exact"/>
        <w:ind w:firstLine="720" w:firstLineChars="300"/>
        <w:jc w:val="center"/>
        <w:rPr>
          <w:rFonts w:hint="eastAsia" w:ascii="宋体" w:hAnsi="宋体" w:eastAsia="宋体" w:cs="宋体"/>
          <w:snapToGrid/>
          <w:kern w:val="2"/>
          <w:sz w:val="24"/>
          <w:szCs w:val="24"/>
          <w:u w:val="single"/>
          <w:lang w:val="en-US" w:eastAsia="zh-CN" w:bidi="ar-SA"/>
        </w:rPr>
      </w:pPr>
      <w:r>
        <w:rPr>
          <w:rFonts w:hint="eastAsia" w:ascii="宋体" w:hAnsi="宋体" w:eastAsia="宋体" w:cs="宋体"/>
          <w:snapToGrid/>
          <w:kern w:val="2"/>
          <w:sz w:val="24"/>
          <w:szCs w:val="24"/>
          <w:lang w:val="en-US" w:eastAsia="zh-CN" w:bidi="ar-SA"/>
        </w:rPr>
        <w:t xml:space="preserve">              法定代表人或委托代理人（签字或盖章）:</w:t>
      </w:r>
      <w:r>
        <w:rPr>
          <w:rFonts w:hint="eastAsia" w:ascii="宋体" w:hAnsi="宋体" w:eastAsia="宋体" w:cs="宋体"/>
          <w:snapToGrid/>
          <w:kern w:val="2"/>
          <w:sz w:val="24"/>
          <w:szCs w:val="24"/>
          <w:u w:val="single"/>
          <w:lang w:val="en-US" w:eastAsia="zh-CN" w:bidi="ar-SA"/>
        </w:rPr>
        <w:t xml:space="preserve">              </w:t>
      </w:r>
    </w:p>
    <w:p w14:paraId="64A03768">
      <w:pPr>
        <w:widowControl w:val="0"/>
        <w:adjustRightInd w:val="0"/>
        <w:snapToGrid w:val="0"/>
        <w:spacing w:after="20" w:afterLines="20" w:line="500" w:lineRule="exact"/>
        <w:ind w:firstLine="4320" w:firstLineChars="1800"/>
        <w:jc w:val="both"/>
        <w:rPr>
          <w:rFonts w:hint="eastAsia" w:ascii="宋体" w:hAnsi="宋体" w:eastAsia="宋体" w:cs="宋体"/>
          <w:snapToGrid/>
          <w:kern w:val="2"/>
          <w:sz w:val="24"/>
          <w:szCs w:val="24"/>
          <w:u w:val="single"/>
          <w:lang w:val="en-US" w:eastAsia="zh-CN" w:bidi="ar-SA"/>
        </w:rPr>
      </w:pPr>
      <w:r>
        <w:rPr>
          <w:rFonts w:hint="eastAsia" w:ascii="宋体" w:hAnsi="宋体" w:eastAsia="宋体" w:cs="宋体"/>
          <w:snapToGrid/>
          <w:kern w:val="2"/>
          <w:sz w:val="24"/>
          <w:szCs w:val="24"/>
          <w:lang w:val="en-US" w:eastAsia="zh-CN" w:bidi="ar-SA"/>
        </w:rPr>
        <w:t>供应商名称（盖章）：</w:t>
      </w:r>
      <w:r>
        <w:rPr>
          <w:rFonts w:hint="eastAsia" w:ascii="宋体" w:hAnsi="宋体" w:eastAsia="宋体" w:cs="宋体"/>
          <w:snapToGrid/>
          <w:kern w:val="2"/>
          <w:sz w:val="24"/>
          <w:szCs w:val="24"/>
          <w:u w:val="single"/>
          <w:lang w:val="en-US" w:eastAsia="zh-CN" w:bidi="ar-SA"/>
        </w:rPr>
        <w:t xml:space="preserve">                             </w:t>
      </w:r>
    </w:p>
    <w:p w14:paraId="2C532C9E">
      <w:pPr>
        <w:widowControl w:val="0"/>
        <w:spacing w:after="20" w:afterLines="20" w:line="500" w:lineRule="exact"/>
        <w:ind w:firstLine="720" w:firstLineChars="300"/>
        <w:jc w:val="center"/>
        <w:rPr>
          <w:rFonts w:hint="eastAsia" w:ascii="宋体" w:hAnsi="宋体" w:eastAsia="宋体" w:cs="宋体"/>
          <w:snapToGrid/>
          <w:kern w:val="2"/>
          <w:sz w:val="28"/>
          <w:szCs w:val="28"/>
        </w:rPr>
      </w:pP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rPr>
        <w:t>报价时间：</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u w:val="single"/>
          <w:lang w:val="en-US" w:eastAsia="zh-CN"/>
        </w:rPr>
        <w:t xml:space="preserve"> </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u w:val="single"/>
          <w:lang w:val="en-US" w:eastAsia="zh-CN"/>
        </w:rPr>
        <w:t xml:space="preserve"> </w:t>
      </w:r>
      <w:r>
        <w:rPr>
          <w:rFonts w:hint="eastAsia" w:ascii="宋体" w:hAnsi="宋体" w:eastAsia="宋体" w:cs="宋体"/>
          <w:snapToGrid/>
          <w:kern w:val="2"/>
          <w:sz w:val="24"/>
          <w:szCs w:val="24"/>
          <w:u w:val="single"/>
        </w:rPr>
        <w:t xml:space="preserve">  </w:t>
      </w:r>
      <w:r>
        <w:rPr>
          <w:rFonts w:hint="eastAsia" w:ascii="宋体" w:hAnsi="宋体" w:eastAsia="宋体" w:cs="宋体"/>
          <w:snapToGrid/>
          <w:kern w:val="2"/>
          <w:sz w:val="24"/>
          <w:szCs w:val="24"/>
        </w:rPr>
        <w:t>日</w:t>
      </w:r>
    </w:p>
    <w:p w14:paraId="27C4E486">
      <w:pPr>
        <w:snapToGrid w:val="0"/>
        <w:spacing w:before="50" w:afterLines="50"/>
        <w:jc w:val="right"/>
        <w:rPr>
          <w:rFonts w:hint="eastAsia" w:asciiTheme="minorEastAsia" w:hAnsiTheme="minorEastAsia" w:eastAsiaTheme="minorEastAsia" w:cstheme="minorEastAsia"/>
          <w:b/>
          <w:sz w:val="32"/>
          <w:szCs w:val="32"/>
          <w:lang w:val="en-US" w:eastAsia="zh-CN"/>
        </w:rPr>
      </w:pPr>
    </w:p>
    <w:p w14:paraId="57A76181">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604C9448">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47541370">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02BCA8B0">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1FDFA8AD">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109F57E9">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49F8097C">
      <w:pPr>
        <w:snapToGrid w:val="0"/>
        <w:spacing w:before="50" w:afterLines="50"/>
        <w:jc w:val="both"/>
        <w:rPr>
          <w:rFonts w:hint="eastAsia" w:asciiTheme="minorEastAsia" w:hAnsiTheme="minorEastAsia" w:eastAsiaTheme="minorEastAsia" w:cstheme="minorEastAsia"/>
          <w:b/>
          <w:sz w:val="32"/>
          <w:szCs w:val="32"/>
          <w:lang w:val="en-US" w:eastAsia="zh-CN"/>
        </w:rPr>
      </w:pPr>
    </w:p>
    <w:p w14:paraId="03ECE7BD">
      <w:pPr>
        <w:snapToGrid w:val="0"/>
        <w:spacing w:before="50" w:afterLines="5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val="en-US" w:eastAsia="zh-CN"/>
        </w:rPr>
        <w:t>3、声</w:t>
      </w:r>
      <w:r>
        <w:rPr>
          <w:rFonts w:hint="eastAsia" w:asciiTheme="minorEastAsia" w:hAnsiTheme="minorEastAsia" w:eastAsiaTheme="minorEastAsia" w:cstheme="minorEastAsia"/>
          <w:b/>
          <w:sz w:val="32"/>
          <w:szCs w:val="32"/>
        </w:rPr>
        <w:t>明函</w:t>
      </w:r>
    </w:p>
    <w:p w14:paraId="051FF068">
      <w:pPr>
        <w:snapToGrid w:val="0"/>
        <w:spacing w:before="50" w:afterLines="50"/>
        <w:jc w:val="center"/>
        <w:rPr>
          <w:rFonts w:hint="eastAsia" w:asciiTheme="minorEastAsia" w:hAnsiTheme="minorEastAsia" w:eastAsiaTheme="minorEastAsia" w:cstheme="minorEastAsia"/>
          <w:b/>
          <w:sz w:val="32"/>
          <w:szCs w:val="32"/>
        </w:rPr>
      </w:pPr>
    </w:p>
    <w:p w14:paraId="228F50D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致：广西医科大学第一附属医院 </w:t>
      </w:r>
    </w:p>
    <w:p w14:paraId="4D91210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我方愿意参加贵方组织的1G互联网静态IP专线宽带采购项目的竞标，为便于贵方公正、择优地确定成交人，我方声明如下：</w:t>
      </w:r>
    </w:p>
    <w:p w14:paraId="29F022F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 我方不是为本次采购项目提供规范编制或者项目管理、监理、检测等货物的供应商；在获知本项目采购信息后，与采购人聘请的为此项目提供咨询货物的公司及其附属机构没有任何联系。 </w:t>
      </w:r>
    </w:p>
    <w:p w14:paraId="486DFD8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2.经查询，在“信用中国”和“中国政府采购网”网站我方未被列入失信被执行人、重大税收违法案件当事人名单、政府采购严重违法失信行为记录名单。</w:t>
      </w:r>
    </w:p>
    <w:p w14:paraId="08AC139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3、我方有以下行为之一的，同意贵方将我方列入不良行为记录： </w:t>
      </w:r>
    </w:p>
    <w:p w14:paraId="0B59AEB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提供虚假材料谋取中标、成交的。 </w:t>
      </w:r>
    </w:p>
    <w:p w14:paraId="325A536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采取不正当手段诋毁、排挤其他供应商的。 </w:t>
      </w:r>
    </w:p>
    <w:p w14:paraId="52CE964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与贵方工作人员、其他供应商或者招标代理机构恶意串通的。 </w:t>
      </w:r>
    </w:p>
    <w:p w14:paraId="51F043A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向贵方工作人员、招标代理机构行贿或者提供其他不正当利益的。 </w:t>
      </w:r>
    </w:p>
    <w:p w14:paraId="64733D4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在招标采购过程中与采购人进行协商谈判的。 </w:t>
      </w:r>
    </w:p>
    <w:p w14:paraId="7679597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拒绝有关部门监督检查或者提供虚假情况的。 </w:t>
      </w:r>
    </w:p>
    <w:p w14:paraId="2FADDFD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供应商向评标委员会、竞争性谈判小组或者询价小组成员行贿或者提供其他不正当利益。 </w:t>
      </w:r>
    </w:p>
    <w:p w14:paraId="2D0EDAB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中标或者成交后无正当理由拒不与贵方签订采购合同。 </w:t>
      </w:r>
    </w:p>
    <w:p w14:paraId="29E39A0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供应商将采购合同分包、转包（采购合同未禁止分包、 转包的除外）。 </w:t>
      </w:r>
    </w:p>
    <w:p w14:paraId="01F7C1B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供应商提供假冒伪劣产品。 </w:t>
      </w:r>
    </w:p>
    <w:p w14:paraId="2733BE5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供应商捏造事实、提供虚假材料或者以非法手段取得证明材料进行投诉的。 </w:t>
      </w:r>
    </w:p>
    <w:p w14:paraId="268674F5">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供应商擅自变更、中止或者终止采购合同。 </w:t>
      </w:r>
    </w:p>
    <w:p w14:paraId="16C1E91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供应商直接或者间接从贵方工作人员或者采购代理机构处获得其他供应商的相关情况并修改其响应文件或者响应文件。 </w:t>
      </w:r>
    </w:p>
    <w:p w14:paraId="3EDE06A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供应商按照贵方或者采购代理机构的授意撤换、修改响应文件或者响应文件。 </w:t>
      </w:r>
    </w:p>
    <w:p w14:paraId="224B3CE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供应商之间协商报价、技术方案等响应文件或者响应文件的实质性内容。 </w:t>
      </w:r>
    </w:p>
    <w:p w14:paraId="30BE7C4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属于同一集团、协会、商会等组织成员的供应商按照该组织要求协同参加采购活动。 </w:t>
      </w:r>
    </w:p>
    <w:p w14:paraId="37E9320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供应商之间事先约定由某一特定供应商中标、成交。 </w:t>
      </w:r>
    </w:p>
    <w:p w14:paraId="006E4C79">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供应商之间商定部分供应商放弃参加采购活动或者放弃中标、成交。 </w:t>
      </w:r>
    </w:p>
    <w:p w14:paraId="6C17D89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供应商与贵方或者采购代理机构之间、供应商相互之间，为谋求特定供应商中标、成交或者排斥其他供应商的其他串通行为。 </w:t>
      </w:r>
    </w:p>
    <w:p w14:paraId="6058D4E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在购销活动中给予医务人员“红包”“回扣”“提成” 或任何形式的不当利益的。 </w:t>
      </w:r>
    </w:p>
    <w:p w14:paraId="05956AD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所经销的货物质量有问题，且不积极配合医院相关部门处理的。 </w:t>
      </w:r>
    </w:p>
    <w:p w14:paraId="1DA54FC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违法广告宣传、促销、误导消费等不良行为的。 </w:t>
      </w:r>
    </w:p>
    <w:p w14:paraId="5B04F8A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不按约定时间配送药品、医疗器械、耗材，尤其是急救类用品，影响临床正常使用的。 </w:t>
      </w:r>
    </w:p>
    <w:p w14:paraId="5DB659E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在购销活动中不遵守保密规定、未经医院同意擅自将医院药品、医疗器械、耗材数据信息披露的。 </w:t>
      </w:r>
    </w:p>
    <w:p w14:paraId="0C8BDC8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药品价格变动未及时向医院书面反馈，给医院或患者造成损失的。 </w:t>
      </w:r>
    </w:p>
    <w:p w14:paraId="2B1F3611">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传播虚假信息，严重干扰医院正常工作程序，造成恶劣影响的。 </w:t>
      </w:r>
    </w:p>
    <w:p w14:paraId="4ACEDCB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 xml:space="preserve">供应商与厂家恶意串通，故意提高药品、医疗器械、耗材供应价格的。 </w:t>
      </w:r>
    </w:p>
    <w:p w14:paraId="773E10F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法规、规章规定的其他政府采购严重违法失信行为。</w:t>
      </w:r>
    </w:p>
    <w:p w14:paraId="6C30947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4.以上事项如有虚假或隐瞒，我方愿意承担一切后果，并不再寻求任何旨在减轻或免除法律责任的辩解。 </w:t>
      </w:r>
    </w:p>
    <w:p w14:paraId="6F12887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753F376">
      <w:pPr>
        <w:keepNext w:val="0"/>
        <w:keepLines w:val="0"/>
        <w:widowControl/>
        <w:suppressLineNumbers w:val="0"/>
        <w:spacing w:before="0" w:beforeAutospacing="0" w:afterAutospacing="0"/>
        <w:ind w:left="0" w:right="0"/>
        <w:jc w:val="right"/>
        <w:textAlignment w:val="center"/>
        <w:rPr>
          <w:rFonts w:hint="eastAsia" w:ascii="宋体" w:hAnsi="宋体" w:eastAsia="宋体" w:cs="宋体"/>
          <w:i w:val="0"/>
          <w:iCs w:val="0"/>
          <w:color w:val="000000"/>
          <w:kern w:val="0"/>
          <w:sz w:val="24"/>
          <w:szCs w:val="24"/>
          <w:highlight w:val="none"/>
          <w:u w:val="none"/>
          <w:lang w:val="en-US" w:eastAsia="zh-CN" w:bidi="ar"/>
        </w:rPr>
      </w:pPr>
    </w:p>
    <w:p w14:paraId="654ED51B">
      <w:pPr>
        <w:keepNext w:val="0"/>
        <w:keepLines w:val="0"/>
        <w:widowControl/>
        <w:suppressLineNumbers w:val="0"/>
        <w:spacing w:before="0" w:beforeAutospacing="0" w:afterAutospacing="0"/>
        <w:ind w:left="0" w:right="0"/>
        <w:jc w:val="righ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i w:val="0"/>
          <w:iCs w:val="0"/>
          <w:color w:val="000000"/>
          <w:kern w:val="0"/>
          <w:sz w:val="24"/>
          <w:szCs w:val="24"/>
          <w:highlight w:val="none"/>
          <w:u w:val="none"/>
          <w:lang w:val="zh-CN" w:eastAsia="zh-CN" w:bidi="ar"/>
        </w:rPr>
        <w:t>供应商名称(公章)：</w:t>
      </w:r>
      <w:r>
        <w:rPr>
          <w:rFonts w:hint="eastAsia" w:ascii="宋体" w:hAnsi="宋体" w:eastAsia="宋体" w:cs="宋体"/>
          <w:i w:val="0"/>
          <w:iCs w:val="0"/>
          <w:color w:val="000000"/>
          <w:kern w:val="0"/>
          <w:sz w:val="24"/>
          <w:szCs w:val="24"/>
          <w:highlight w:val="none"/>
          <w:u w:val="none"/>
          <w:lang w:val="en-US" w:eastAsia="zh-CN" w:bidi="ar"/>
        </w:rPr>
        <w:t xml:space="preserve">                               </w:t>
      </w:r>
    </w:p>
    <w:p w14:paraId="4BC0C3DE">
      <w:pPr>
        <w:keepNext w:val="0"/>
        <w:keepLines w:val="0"/>
        <w:widowControl/>
        <w:suppressLineNumbers w:val="0"/>
        <w:spacing w:before="0" w:beforeAutospacing="0" w:afterAutospacing="0"/>
        <w:ind w:left="0" w:right="0"/>
        <w:jc w:val="righ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年    月    日</w:t>
      </w:r>
    </w:p>
    <w:p w14:paraId="6B76091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301C254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5D25619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6A7C4D7A">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0B9C544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15A833A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07799CB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7B03F463">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C7BE604">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53AEDC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007DC46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609F88EC">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5E8FE70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A90B2F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7B0677F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A7AFB50">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2C33B39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3C819F17">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12F4A1C">
      <w:pPr>
        <w:snapToGrid w:val="0"/>
        <w:spacing w:before="50" w:afterLines="50"/>
        <w:jc w:val="center"/>
        <w:rPr>
          <w:rFonts w:hint="eastAsia"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lang w:val="en-US" w:eastAsia="zh-CN"/>
        </w:rPr>
        <w:t>4、法定代表人身份证明（无授权代表时提供）：</w:t>
      </w:r>
    </w:p>
    <w:p w14:paraId="4E3AF042">
      <w:pPr>
        <w:snapToGrid w:val="0"/>
        <w:spacing w:before="120" w:beforeLines="50" w:after="50" w:line="360" w:lineRule="exact"/>
      </w:pPr>
    </w:p>
    <w:p w14:paraId="461FF6E2">
      <w:pPr>
        <w:snapToGrid w:val="0"/>
        <w:spacing w:before="120" w:beforeLines="50" w:after="50" w:line="440" w:lineRule="exact"/>
        <w:jc w:val="center"/>
        <w:rPr>
          <w:rFonts w:hint="eastAsia" w:ascii="宋体" w:hAnsi="宋体" w:eastAsia="宋体" w:cs="宋体"/>
          <w:b/>
          <w:szCs w:val="21"/>
        </w:rPr>
      </w:pPr>
      <w:r>
        <w:rPr>
          <w:rFonts w:hint="eastAsia" w:ascii="宋体" w:hAnsi="宋体" w:eastAsia="宋体" w:cs="宋体"/>
          <w:b/>
          <w:szCs w:val="21"/>
        </w:rPr>
        <w:t>法定代表人身份证明</w:t>
      </w:r>
    </w:p>
    <w:p w14:paraId="534F0CF3">
      <w:pPr>
        <w:spacing w:line="360" w:lineRule="auto"/>
        <w:rPr>
          <w:rFonts w:hint="eastAsia" w:ascii="宋体" w:hAnsi="宋体" w:eastAsia="宋体" w:cs="宋体"/>
        </w:rPr>
      </w:pPr>
    </w:p>
    <w:p w14:paraId="1AB09FBF">
      <w:pPr>
        <w:spacing w:line="360" w:lineRule="auto"/>
        <w:rPr>
          <w:rFonts w:hint="eastAsia" w:ascii="宋体" w:hAnsi="宋体" w:eastAsia="宋体" w:cs="宋体"/>
        </w:rPr>
      </w:pPr>
    </w:p>
    <w:p w14:paraId="04ED1139">
      <w:pPr>
        <w:spacing w:line="540" w:lineRule="exact"/>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p>
    <w:p w14:paraId="15BA58FA">
      <w:pPr>
        <w:spacing w:line="540" w:lineRule="exact"/>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28F43B2D">
      <w:pPr>
        <w:spacing w:line="540" w:lineRule="exac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3C8EE458">
      <w:pPr>
        <w:spacing w:line="540" w:lineRule="exact"/>
        <w:rPr>
          <w:rFonts w:hint="eastAsia" w:ascii="宋体" w:hAnsi="宋体" w:eastAsia="宋体" w:cs="宋体"/>
          <w:szCs w:val="21"/>
          <w:u w:val="single"/>
        </w:rPr>
      </w:pPr>
      <w:r>
        <w:rPr>
          <w:rFonts w:hint="eastAsia" w:ascii="宋体" w:hAnsi="宋体" w:eastAsia="宋体" w:cs="宋体"/>
          <w:szCs w:val="21"/>
        </w:rPr>
        <w:t>成立时间：</w:t>
      </w:r>
      <w:r>
        <w:rPr>
          <w:rFonts w:hint="eastAsia" w:ascii="宋体" w:hAnsi="宋体" w:eastAsia="宋体" w:cs="宋体"/>
          <w:szCs w:val="21"/>
          <w:u w:val="single"/>
        </w:rPr>
        <w:t xml:space="preserve">          年        月        日</w:t>
      </w:r>
    </w:p>
    <w:p w14:paraId="50DAEA3F">
      <w:pPr>
        <w:spacing w:line="540" w:lineRule="exact"/>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79594A66">
      <w:pPr>
        <w:spacing w:line="540" w:lineRule="exact"/>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1883140">
      <w:pPr>
        <w:spacing w:line="540" w:lineRule="exact"/>
        <w:rPr>
          <w:rFonts w:hint="eastAsia" w:ascii="宋体" w:hAnsi="宋体" w:eastAsia="宋体" w:cs="宋体"/>
          <w:szCs w:val="21"/>
        </w:rPr>
      </w:pP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；身份证：</w:t>
      </w:r>
      <w:r>
        <w:rPr>
          <w:rFonts w:hint="eastAsia" w:ascii="宋体" w:hAnsi="宋体" w:eastAsia="宋体" w:cs="宋体"/>
          <w:szCs w:val="21"/>
          <w:u w:val="single"/>
        </w:rPr>
        <w:t xml:space="preserve">                                      </w:t>
      </w:r>
    </w:p>
    <w:p w14:paraId="10D64A61">
      <w:pPr>
        <w:spacing w:line="54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 供应商名称）</w:t>
      </w:r>
      <w:r>
        <w:rPr>
          <w:rFonts w:hint="eastAsia" w:ascii="宋体" w:hAnsi="宋体" w:eastAsia="宋体" w:cs="宋体"/>
          <w:szCs w:val="21"/>
        </w:rPr>
        <w:t>的法定代表人。</w:t>
      </w:r>
    </w:p>
    <w:p w14:paraId="07F034E6">
      <w:pPr>
        <w:spacing w:line="540" w:lineRule="exact"/>
        <w:rPr>
          <w:rFonts w:hint="eastAsia" w:ascii="宋体" w:hAnsi="宋体" w:eastAsia="宋体" w:cs="宋体"/>
          <w:szCs w:val="21"/>
        </w:rPr>
      </w:pPr>
    </w:p>
    <w:p w14:paraId="2529FDE0">
      <w:pPr>
        <w:spacing w:line="540" w:lineRule="exact"/>
        <w:ind w:firstLine="440" w:firstLineChars="200"/>
        <w:rPr>
          <w:rFonts w:hint="eastAsia" w:ascii="宋体" w:hAnsi="宋体" w:eastAsia="宋体" w:cs="宋体"/>
          <w:color w:val="000000"/>
          <w:szCs w:val="21"/>
        </w:rPr>
      </w:pPr>
      <w:r>
        <w:rPr>
          <w:rFonts w:hint="eastAsia" w:ascii="宋体" w:hAnsi="宋体" w:eastAsia="宋体" w:cs="宋体"/>
          <w:color w:val="000000"/>
          <w:szCs w:val="21"/>
        </w:rPr>
        <w:t>特此证明。</w:t>
      </w:r>
    </w:p>
    <w:p w14:paraId="56FD3531">
      <w:pPr>
        <w:spacing w:line="360" w:lineRule="auto"/>
        <w:ind w:firstLine="440" w:firstLineChars="200"/>
        <w:rPr>
          <w:rFonts w:hint="eastAsia" w:ascii="宋体" w:hAnsi="宋体" w:eastAsia="宋体" w:cs="宋体"/>
          <w:szCs w:val="21"/>
        </w:rPr>
      </w:pPr>
    </w:p>
    <w:p w14:paraId="4AEE8931">
      <w:pPr>
        <w:spacing w:line="360" w:lineRule="auto"/>
        <w:ind w:firstLine="5060" w:firstLineChars="2300"/>
        <w:rPr>
          <w:rFonts w:hint="eastAsia" w:ascii="宋体" w:hAnsi="宋体" w:eastAsia="宋体" w:cs="宋体"/>
          <w:color w:val="000000"/>
          <w:szCs w:val="21"/>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14:paraId="3C120853">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年       月       日 </w:t>
      </w:r>
    </w:p>
    <w:p w14:paraId="1AD624BB">
      <w:pPr>
        <w:spacing w:line="360" w:lineRule="auto"/>
        <w:ind w:firstLine="440" w:firstLineChars="200"/>
        <w:rPr>
          <w:szCs w:val="21"/>
        </w:rPr>
      </w:pPr>
    </w:p>
    <w:p w14:paraId="244BE5D7">
      <w:pPr>
        <w:spacing w:line="360" w:lineRule="auto"/>
        <w:rPr>
          <w:szCs w:val="21"/>
        </w:rPr>
      </w:pPr>
      <w:r>
        <w:rPr>
          <w:szCs w:val="21"/>
        </w:rPr>
        <w:t>附件：1）法定代表人身份证复印件</w:t>
      </w:r>
    </w:p>
    <w:p w14:paraId="0EBD1CA9">
      <w:pPr>
        <w:spacing w:line="360" w:lineRule="auto"/>
        <w:rPr>
          <w:color w:val="000000"/>
          <w:szCs w:val="21"/>
        </w:rPr>
      </w:pPr>
    </w:p>
    <w:p w14:paraId="080131AD">
      <w:pPr>
        <w:spacing w:line="360" w:lineRule="auto"/>
        <w:rPr>
          <w:color w:val="000000"/>
          <w:szCs w:val="21"/>
        </w:rPr>
      </w:pPr>
    </w:p>
    <w:p w14:paraId="30DB68C1">
      <w:pPr>
        <w:spacing w:line="360" w:lineRule="auto"/>
      </w:pPr>
      <w:r>
        <w:t>注：法定代表人亲自出席截标会议时，须随身携带本</w:t>
      </w:r>
      <w:r>
        <w:rPr>
          <w:rFonts w:hint="eastAsia"/>
          <w:lang w:eastAsia="zh-CN"/>
        </w:rPr>
        <w:t>“</w:t>
      </w:r>
      <w:r>
        <w:t>法定代表人身份证明</w:t>
      </w:r>
      <w:r>
        <w:rPr>
          <w:rFonts w:hint="eastAsia"/>
          <w:lang w:eastAsia="zh-CN"/>
        </w:rPr>
        <w:t>”</w:t>
      </w:r>
      <w:r>
        <w:t>原件一份以及身份证原件，以备核查。</w:t>
      </w:r>
    </w:p>
    <w:p w14:paraId="6C4E82B6">
      <w:pPr>
        <w:spacing w:line="360" w:lineRule="auto"/>
      </w:pPr>
      <w:r>
        <w:br w:type="page"/>
      </w:r>
    </w:p>
    <w:p w14:paraId="1AF96EB7">
      <w:pPr>
        <w:snapToGrid w:val="0"/>
        <w:spacing w:before="50" w:afterLines="50"/>
        <w:jc w:val="center"/>
        <w:rPr>
          <w:rFonts w:hint="eastAsia"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lang w:val="en-US" w:eastAsia="zh-CN"/>
        </w:rPr>
        <w:t>5、法定代表授权委托书（有授权代表时提供）：</w:t>
      </w:r>
    </w:p>
    <w:p w14:paraId="6E1919DA">
      <w:pPr>
        <w:snapToGrid w:val="0"/>
        <w:spacing w:before="120" w:beforeLines="50" w:after="50" w:line="360" w:lineRule="exact"/>
        <w:rPr>
          <w:b/>
          <w:szCs w:val="21"/>
        </w:rPr>
      </w:pPr>
    </w:p>
    <w:p w14:paraId="5401A2F3">
      <w:pPr>
        <w:snapToGrid w:val="0"/>
        <w:spacing w:before="120" w:beforeLines="50" w:after="50" w:line="440" w:lineRule="exact"/>
        <w:jc w:val="center"/>
        <w:rPr>
          <w:rFonts w:hint="eastAsia" w:ascii="宋体" w:hAnsi="宋体" w:eastAsia="宋体" w:cs="宋体"/>
          <w:b/>
          <w:szCs w:val="21"/>
        </w:rPr>
      </w:pPr>
      <w:r>
        <w:rPr>
          <w:rFonts w:hint="eastAsia" w:ascii="宋体" w:hAnsi="宋体" w:eastAsia="宋体" w:cs="宋体"/>
          <w:b/>
          <w:szCs w:val="21"/>
        </w:rPr>
        <w:t>法定代表人授权委托书</w:t>
      </w:r>
    </w:p>
    <w:p w14:paraId="5DD52DB3">
      <w:pPr>
        <w:snapToGrid w:val="0"/>
        <w:spacing w:before="120" w:beforeLines="50" w:after="50" w:line="440" w:lineRule="exact"/>
        <w:rPr>
          <w:rFonts w:hint="eastAsia" w:ascii="宋体" w:hAnsi="宋体" w:eastAsia="宋体" w:cs="宋体"/>
          <w:bCs/>
          <w:szCs w:val="21"/>
        </w:rPr>
      </w:pPr>
    </w:p>
    <w:p w14:paraId="56471BAB">
      <w:pPr>
        <w:snapToGrid w:val="0"/>
        <w:spacing w:before="120" w:beforeLines="50" w:after="50" w:line="440" w:lineRule="exact"/>
        <w:rPr>
          <w:rFonts w:hint="eastAsia" w:ascii="宋体" w:hAnsi="宋体" w:eastAsia="宋体" w:cs="宋体"/>
          <w:b/>
          <w:bCs/>
          <w:szCs w:val="21"/>
        </w:rPr>
      </w:pPr>
      <w:r>
        <w:rPr>
          <w:rFonts w:hint="eastAsia" w:ascii="宋体" w:hAnsi="宋体" w:eastAsia="宋体" w:cs="宋体"/>
          <w:bCs/>
          <w:szCs w:val="21"/>
        </w:rPr>
        <w:t>致：</w:t>
      </w:r>
      <w:r>
        <w:rPr>
          <w:rFonts w:hint="eastAsia" w:ascii="宋体" w:hAnsi="宋体" w:eastAsia="宋体" w:cs="宋体"/>
          <w:i/>
          <w:iCs/>
          <w:szCs w:val="21"/>
          <w:u w:val="single"/>
        </w:rPr>
        <w:t>（采购人名称）</w:t>
      </w:r>
    </w:p>
    <w:p w14:paraId="00FD61B1">
      <w:pPr>
        <w:snapToGrid w:val="0"/>
        <w:spacing w:before="120" w:beforeLines="50" w:after="50" w:line="440" w:lineRule="exact"/>
        <w:ind w:firstLine="440" w:firstLineChars="200"/>
        <w:rPr>
          <w:rFonts w:hint="eastAsia" w:ascii="宋体" w:hAnsi="宋体" w:eastAsia="宋体" w:cs="宋体"/>
          <w:szCs w:val="21"/>
        </w:rPr>
      </w:pPr>
      <w:r>
        <w:rPr>
          <w:rFonts w:hint="eastAsia" w:ascii="宋体" w:hAnsi="宋体" w:eastAsia="宋体" w:cs="宋体"/>
          <w:szCs w:val="21"/>
        </w:rPr>
        <w:t xml:space="preserve">我 </w:t>
      </w:r>
      <w:r>
        <w:rPr>
          <w:rFonts w:hint="eastAsia" w:ascii="宋体" w:hAnsi="宋体" w:eastAsia="宋体" w:cs="宋体"/>
          <w:i/>
          <w:iCs/>
          <w:szCs w:val="21"/>
          <w:u w:val="single"/>
        </w:rPr>
        <w:t>（姓名）</w:t>
      </w:r>
      <w:r>
        <w:rPr>
          <w:rFonts w:hint="eastAsia" w:ascii="宋体" w:hAnsi="宋体" w:eastAsia="宋体" w:cs="宋体"/>
          <w:szCs w:val="21"/>
          <w:u w:val="single"/>
        </w:rPr>
        <w:t xml:space="preserve">  </w:t>
      </w:r>
      <w:r>
        <w:rPr>
          <w:rFonts w:hint="eastAsia" w:ascii="宋体" w:hAnsi="宋体" w:eastAsia="宋体" w:cs="宋体"/>
          <w:szCs w:val="21"/>
        </w:rPr>
        <w:t>系</w:t>
      </w:r>
      <w:r>
        <w:rPr>
          <w:rFonts w:hint="eastAsia" w:ascii="宋体" w:hAnsi="宋体" w:eastAsia="宋体" w:cs="宋体"/>
          <w:i/>
          <w:iCs/>
          <w:szCs w:val="21"/>
          <w:u w:val="single"/>
        </w:rPr>
        <w:t>（供应商名称）</w:t>
      </w:r>
      <w:r>
        <w:rPr>
          <w:rFonts w:hint="eastAsia" w:ascii="宋体" w:hAnsi="宋体" w:eastAsia="宋体" w:cs="宋体"/>
          <w:szCs w:val="21"/>
        </w:rPr>
        <w:t>的法定代表人，现授权委托本单位在职职工</w:t>
      </w:r>
      <w:r>
        <w:rPr>
          <w:rFonts w:hint="eastAsia" w:ascii="宋体" w:hAnsi="宋体" w:eastAsia="宋体" w:cs="宋体"/>
          <w:i/>
          <w:iCs/>
          <w:szCs w:val="21"/>
          <w:u w:val="single"/>
        </w:rPr>
        <w:t>（姓名）</w:t>
      </w:r>
      <w:r>
        <w:rPr>
          <w:rFonts w:hint="eastAsia" w:ascii="宋体" w:hAnsi="宋体" w:eastAsia="宋体" w:cs="宋体"/>
          <w:szCs w:val="21"/>
        </w:rPr>
        <w:t>以我方的名义参加</w:t>
      </w:r>
      <w:r>
        <w:rPr>
          <w:rFonts w:hint="eastAsia" w:ascii="宋体" w:hAnsi="宋体" w:eastAsia="宋体" w:cs="宋体"/>
          <w:i/>
          <w:iCs/>
          <w:szCs w:val="21"/>
          <w:u w:val="single"/>
        </w:rPr>
        <w:t>（项目名称 ）</w:t>
      </w:r>
      <w:r>
        <w:rPr>
          <w:rFonts w:hint="eastAsia" w:ascii="宋体" w:hAnsi="宋体" w:eastAsia="宋体" w:cs="宋体"/>
          <w:szCs w:val="21"/>
        </w:rPr>
        <w:t>项目的询价活动，并代表我方全权办理针对上述项目的询价、截标、评审、签约等具体事务和签署相关文件。</w:t>
      </w:r>
    </w:p>
    <w:p w14:paraId="13996C5D">
      <w:pPr>
        <w:snapToGrid w:val="0"/>
        <w:spacing w:before="120" w:beforeLines="50" w:after="50" w:line="440" w:lineRule="exact"/>
        <w:rPr>
          <w:rFonts w:hint="eastAsia" w:ascii="宋体" w:hAnsi="宋体" w:eastAsia="宋体" w:cs="宋体"/>
          <w:szCs w:val="21"/>
        </w:rPr>
      </w:pPr>
      <w:r>
        <w:rPr>
          <w:rFonts w:hint="eastAsia" w:ascii="宋体" w:hAnsi="宋体" w:eastAsia="宋体" w:cs="宋体"/>
          <w:szCs w:val="21"/>
        </w:rPr>
        <w:t xml:space="preserve">    我方对被授权人的签名事项负全部责任。</w:t>
      </w:r>
    </w:p>
    <w:p w14:paraId="7FDEF3F0">
      <w:pPr>
        <w:snapToGrid w:val="0"/>
        <w:spacing w:before="120" w:beforeLines="50" w:after="50" w:line="440" w:lineRule="exact"/>
        <w:ind w:firstLine="480"/>
        <w:rPr>
          <w:rFonts w:hint="eastAsia" w:ascii="宋体" w:hAnsi="宋体" w:eastAsia="宋体" w:cs="宋体"/>
          <w:szCs w:val="21"/>
        </w:rPr>
      </w:pPr>
      <w:r>
        <w:rPr>
          <w:rFonts w:hint="eastAsia" w:ascii="宋体" w:hAnsi="宋体" w:eastAsia="宋体" w:cs="宋体"/>
          <w:szCs w:val="21"/>
        </w:rPr>
        <w:t>在撤销授权的书面通知以前，本授权书一直有效。被授权人在授权书有效期内签署的所有文件不因授权的撤销而失效。</w:t>
      </w:r>
    </w:p>
    <w:p w14:paraId="274146D2">
      <w:pPr>
        <w:snapToGrid w:val="0"/>
        <w:spacing w:before="120" w:beforeLines="50" w:after="50" w:line="440" w:lineRule="exact"/>
        <w:ind w:firstLine="480"/>
        <w:rPr>
          <w:rFonts w:hint="eastAsia" w:ascii="宋体" w:hAnsi="宋体" w:eastAsia="宋体" w:cs="宋体"/>
          <w:szCs w:val="21"/>
        </w:rPr>
      </w:pPr>
      <w:r>
        <w:rPr>
          <w:rFonts w:hint="eastAsia" w:ascii="宋体" w:hAnsi="宋体" w:eastAsia="宋体" w:cs="宋体"/>
          <w:szCs w:val="21"/>
        </w:rPr>
        <w:t>被授权人无转委托权，特此委托。</w:t>
      </w:r>
    </w:p>
    <w:p w14:paraId="0E46B57E">
      <w:pPr>
        <w:snapToGrid w:val="0"/>
        <w:spacing w:before="120" w:beforeLines="50" w:after="50" w:line="440" w:lineRule="exact"/>
        <w:rPr>
          <w:rFonts w:hint="eastAsia" w:ascii="宋体" w:hAnsi="宋体" w:eastAsia="宋体" w:cs="宋体"/>
          <w:szCs w:val="21"/>
          <w:u w:val="single"/>
        </w:rPr>
      </w:pPr>
      <w:r>
        <w:rPr>
          <w:rFonts w:hint="eastAsia" w:ascii="宋体" w:hAnsi="宋体" w:eastAsia="宋体" w:cs="宋体"/>
          <w:szCs w:val="21"/>
        </w:rPr>
        <w:t>被授权人签名或盖章：</w:t>
      </w:r>
      <w:r>
        <w:rPr>
          <w:rFonts w:hint="eastAsia" w:ascii="宋体" w:hAnsi="宋体" w:eastAsia="宋体" w:cs="宋体"/>
          <w:szCs w:val="21"/>
          <w:u w:val="single"/>
        </w:rPr>
        <w:t xml:space="preserve">          </w:t>
      </w:r>
      <w:r>
        <w:rPr>
          <w:rFonts w:hint="eastAsia" w:ascii="宋体" w:hAnsi="宋体" w:eastAsia="宋体" w:cs="宋体"/>
          <w:szCs w:val="21"/>
        </w:rPr>
        <w:t xml:space="preserve">                     法定代表人签名或盖章：</w:t>
      </w:r>
      <w:r>
        <w:rPr>
          <w:rFonts w:hint="eastAsia" w:ascii="宋体" w:hAnsi="宋体" w:eastAsia="宋体" w:cs="宋体"/>
          <w:szCs w:val="21"/>
          <w:u w:val="single"/>
        </w:rPr>
        <w:t xml:space="preserve">          </w:t>
      </w:r>
    </w:p>
    <w:p w14:paraId="49AD5606">
      <w:pPr>
        <w:snapToGrid w:val="0"/>
        <w:spacing w:before="120" w:beforeLines="50" w:after="50" w:line="440" w:lineRule="exact"/>
        <w:rPr>
          <w:rFonts w:hint="eastAsia" w:ascii="宋体" w:hAnsi="宋体" w:eastAsia="宋体" w:cs="宋体"/>
          <w:szCs w:val="21"/>
        </w:rPr>
      </w:pP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19CA0750">
      <w:pPr>
        <w:snapToGrid w:val="0"/>
        <w:spacing w:before="120" w:beforeLines="50" w:after="50" w:line="440" w:lineRule="exact"/>
        <w:rPr>
          <w:rFonts w:hint="eastAsia" w:ascii="宋体" w:hAnsi="宋体" w:eastAsia="宋体" w:cs="宋体"/>
          <w:szCs w:val="21"/>
          <w:u w:val="single"/>
        </w:rPr>
      </w:pPr>
      <w:r>
        <w:rPr>
          <w:rFonts w:hint="eastAsia" w:ascii="宋体" w:hAnsi="宋体" w:eastAsia="宋体" w:cs="宋体"/>
          <w:szCs w:val="21"/>
        </w:rPr>
        <w:t>被授权人身份证号码：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授权人身份证号码：</w:t>
      </w:r>
      <w:r>
        <w:rPr>
          <w:rFonts w:hint="eastAsia" w:ascii="宋体" w:hAnsi="宋体" w:eastAsia="宋体" w:cs="宋体"/>
          <w:szCs w:val="21"/>
          <w:u w:val="single"/>
        </w:rPr>
        <w:t xml:space="preserve">                 </w:t>
      </w:r>
    </w:p>
    <w:p w14:paraId="76874773">
      <w:pPr>
        <w:snapToGrid w:val="0"/>
        <w:spacing w:before="120" w:beforeLines="50" w:after="50" w:line="440" w:lineRule="exact"/>
        <w:rPr>
          <w:rFonts w:hint="eastAsia" w:ascii="宋体" w:hAnsi="宋体" w:eastAsia="宋体" w:cs="宋体"/>
          <w:szCs w:val="21"/>
        </w:rPr>
      </w:pPr>
      <w:r>
        <w:rPr>
          <w:rFonts w:hint="eastAsia" w:ascii="宋体" w:hAnsi="宋体" w:eastAsia="宋体" w:cs="宋体"/>
          <w:szCs w:val="21"/>
        </w:rPr>
        <w:t>被授权人邮箱：</w:t>
      </w:r>
      <w:r>
        <w:rPr>
          <w:rFonts w:hint="eastAsia" w:ascii="宋体" w:hAnsi="宋体" w:eastAsia="宋体" w:cs="宋体"/>
          <w:szCs w:val="21"/>
          <w:u w:val="single"/>
        </w:rPr>
        <w:t xml:space="preserve">                       </w:t>
      </w:r>
    </w:p>
    <w:p w14:paraId="3ECCFA3E">
      <w:pPr>
        <w:snapToGrid w:val="0"/>
        <w:spacing w:before="120" w:beforeLines="50" w:after="50" w:line="440" w:lineRule="exact"/>
        <w:rPr>
          <w:rFonts w:hint="eastAsia" w:ascii="宋体" w:hAnsi="宋体" w:eastAsia="宋体" w:cs="宋体"/>
          <w:szCs w:val="21"/>
        </w:rPr>
      </w:pPr>
    </w:p>
    <w:p w14:paraId="58A8F2EA">
      <w:pPr>
        <w:snapToGrid w:val="0"/>
        <w:spacing w:before="120" w:beforeLines="50" w:after="50" w:line="440" w:lineRule="exact"/>
        <w:rPr>
          <w:rFonts w:hint="eastAsia" w:ascii="宋体" w:hAnsi="宋体" w:eastAsia="宋体" w:cs="宋体"/>
          <w:szCs w:val="21"/>
        </w:rPr>
      </w:pPr>
      <w:r>
        <w:rPr>
          <w:rFonts w:hint="eastAsia" w:ascii="宋体" w:hAnsi="宋体" w:eastAsia="宋体" w:cs="宋体"/>
          <w:szCs w:val="21"/>
        </w:rPr>
        <w:t xml:space="preserve">                                </w:t>
      </w:r>
    </w:p>
    <w:p w14:paraId="647BE567">
      <w:pPr>
        <w:snapToGrid w:val="0"/>
        <w:spacing w:before="120" w:beforeLines="50" w:after="50" w:line="440" w:lineRule="exact"/>
        <w:ind w:firstLine="5940" w:firstLineChars="2700"/>
        <w:rPr>
          <w:rFonts w:hint="eastAsia" w:ascii="宋体" w:hAnsi="宋体" w:eastAsia="宋体" w:cs="宋体"/>
          <w:szCs w:val="21"/>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14:paraId="001C9DED">
      <w:pPr>
        <w:snapToGrid w:val="0"/>
        <w:spacing w:before="120" w:beforeLines="50" w:after="50" w:line="440" w:lineRule="exact"/>
        <w:jc w:val="center"/>
        <w:rPr>
          <w:rFonts w:hint="eastAsia" w:ascii="宋体" w:hAnsi="宋体" w:eastAsia="宋体" w:cs="宋体"/>
          <w:szCs w:val="21"/>
        </w:rPr>
      </w:pPr>
      <w:r>
        <w:rPr>
          <w:rFonts w:hint="eastAsia" w:ascii="宋体" w:hAnsi="宋体" w:eastAsia="宋体" w:cs="宋体"/>
          <w:szCs w:val="21"/>
        </w:rPr>
        <w:t xml:space="preserve">                                        年    月    日</w:t>
      </w:r>
    </w:p>
    <w:p w14:paraId="64E34A16">
      <w:pPr>
        <w:spacing w:line="360" w:lineRule="auto"/>
        <w:rPr>
          <w:rFonts w:hint="eastAsia" w:ascii="宋体" w:hAnsi="宋体" w:eastAsia="宋体" w:cs="宋体"/>
          <w:szCs w:val="21"/>
        </w:rPr>
      </w:pPr>
      <w:r>
        <w:rPr>
          <w:rFonts w:hint="eastAsia" w:ascii="宋体" w:hAnsi="宋体" w:eastAsia="宋体" w:cs="宋体"/>
          <w:szCs w:val="21"/>
        </w:rPr>
        <w:t>附件：1）法定代表人身份证复印件及授权代表身份证复印件</w:t>
      </w:r>
    </w:p>
    <w:p w14:paraId="7E9E28A6">
      <w:pPr>
        <w:spacing w:line="360" w:lineRule="auto"/>
        <w:rPr>
          <w:rFonts w:hint="eastAsia" w:ascii="宋体" w:hAnsi="宋体" w:eastAsia="宋体" w:cs="宋体"/>
        </w:rPr>
      </w:pPr>
    </w:p>
    <w:p w14:paraId="148A5DCC">
      <w:pPr>
        <w:spacing w:line="360" w:lineRule="auto"/>
        <w:rPr>
          <w:rFonts w:hint="eastAsia" w:ascii="宋体" w:hAnsi="宋体" w:eastAsia="宋体" w:cs="宋体"/>
        </w:rPr>
      </w:pPr>
      <w:r>
        <w:rPr>
          <w:rFonts w:hint="eastAsia" w:ascii="宋体" w:hAnsi="宋体" w:eastAsia="宋体" w:cs="宋体"/>
        </w:rPr>
        <w:t>注：授权代表出席截标会议时，须随身携带本</w:t>
      </w:r>
      <w:r>
        <w:rPr>
          <w:rFonts w:hint="eastAsia" w:ascii="宋体" w:hAnsi="宋体" w:eastAsia="宋体" w:cs="宋体"/>
          <w:lang w:eastAsia="zh-CN"/>
        </w:rPr>
        <w:t>“</w:t>
      </w:r>
      <w:r>
        <w:rPr>
          <w:rFonts w:hint="eastAsia" w:ascii="宋体" w:hAnsi="宋体" w:eastAsia="宋体" w:cs="宋体"/>
        </w:rPr>
        <w:t>法定代表人授权委托书</w:t>
      </w:r>
      <w:r>
        <w:rPr>
          <w:rFonts w:hint="eastAsia" w:ascii="宋体" w:hAnsi="宋体" w:eastAsia="宋体" w:cs="宋体"/>
          <w:lang w:eastAsia="zh-CN"/>
        </w:rPr>
        <w:t>”</w:t>
      </w:r>
      <w:r>
        <w:rPr>
          <w:rFonts w:hint="eastAsia" w:ascii="宋体" w:hAnsi="宋体" w:eastAsia="宋体" w:cs="宋体"/>
        </w:rPr>
        <w:t>原件一份以及本人身份证原件，以备核查。</w:t>
      </w:r>
    </w:p>
    <w:p w14:paraId="1DB1B9A5">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527E51C0">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7AC39244">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438414C0">
      <w:pPr>
        <w:snapToGrid w:val="0"/>
        <w:spacing w:before="50" w:afterLines="50"/>
        <w:jc w:val="center"/>
        <w:rPr>
          <w:rFonts w:hint="eastAsia" w:asciiTheme="minorEastAsia" w:hAnsiTheme="minorEastAsia" w:eastAsiaTheme="minorEastAsia" w:cstheme="minorEastAsia"/>
          <w:b/>
          <w:sz w:val="32"/>
          <w:szCs w:val="32"/>
          <w:lang w:val="en-US" w:eastAsia="zh-CN"/>
        </w:rPr>
      </w:pPr>
    </w:p>
    <w:p w14:paraId="764B0CAF">
      <w:pPr>
        <w:snapToGrid w:val="0"/>
        <w:spacing w:before="50" w:afterLines="50"/>
        <w:jc w:val="center"/>
        <w:rPr>
          <w:rFonts w:hint="eastAsia"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lang w:val="en-US" w:eastAsia="zh-CN"/>
        </w:rPr>
        <w:t>6、售后服务承诺书（格式自拟）</w:t>
      </w:r>
    </w:p>
    <w:p w14:paraId="3D6478B2">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售后服务承诺书必须含（但不限于）以下内容：</w:t>
      </w:r>
    </w:p>
    <w:p w14:paraId="567934A4">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①保修期限及内容、方式；</w:t>
      </w:r>
    </w:p>
    <w:p w14:paraId="10D2DFFD">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②故障响应时间；</w:t>
      </w:r>
    </w:p>
    <w:p w14:paraId="09C693CE">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③售后回访服务；</w:t>
      </w:r>
    </w:p>
    <w:p w14:paraId="68B1BB9F">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④用户培训计划；</w:t>
      </w:r>
    </w:p>
    <w:p w14:paraId="4490A29F">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⑤投入项目服务人员名单；</w:t>
      </w:r>
    </w:p>
    <w:p w14:paraId="5D04FD77">
      <w:pPr>
        <w:widowControl/>
        <w:numPr>
          <w:ilvl w:val="0"/>
          <w:numId w:val="6"/>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⑥重要会议、检查派技术人员现场保障；</w:t>
      </w:r>
    </w:p>
    <w:p w14:paraId="1B60BE3F">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10554F82">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2E89233C">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5C1527EC">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730DB640">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23E1FE00">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79E15780">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43F96819">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4362DECD">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03FC72C2">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6895AAD0">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2040F117">
      <w:pPr>
        <w:widowControl/>
        <w:numPr>
          <w:ilvl w:val="0"/>
          <w:numId w:val="0"/>
        </w:numPr>
        <w:adjustRightInd/>
        <w:snapToGrid/>
        <w:spacing w:before="100" w:after="100" w:line="360" w:lineRule="auto"/>
        <w:jc w:val="left"/>
        <w:rPr>
          <w:rFonts w:hint="eastAsia" w:ascii="宋体" w:hAnsi="宋体" w:eastAsia="宋体" w:cs="宋体"/>
          <w:b w:val="0"/>
          <w:bCs w:val="0"/>
          <w:color w:val="000000"/>
          <w:kern w:val="0"/>
          <w:sz w:val="24"/>
          <w:szCs w:val="24"/>
          <w:highlight w:val="none"/>
          <w:lang w:val="en-US" w:eastAsia="zh-CN" w:bidi="ar"/>
        </w:rPr>
      </w:pPr>
    </w:p>
    <w:p w14:paraId="5F072C5F">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78EAE24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6F6F3388">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3E7AC86B">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402D0BFD">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32E512E6">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23869A72">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09847A93">
      <w:pPr>
        <w:pStyle w:val="2"/>
        <w:bidi w:val="0"/>
        <w:jc w:val="center"/>
        <w:outlineLvl w:val="0"/>
        <w:rPr>
          <w:rFonts w:hint="eastAsia"/>
        </w:rPr>
      </w:pPr>
      <w:bookmarkStart w:id="10" w:name="_Toc32076"/>
      <w:bookmarkStart w:id="11" w:name="_Toc11160"/>
      <w:bookmarkStart w:id="12" w:name="_Toc32168"/>
      <w:r>
        <w:rPr>
          <w:rFonts w:hint="eastAsia"/>
        </w:rPr>
        <w:t>第</w:t>
      </w:r>
      <w:r>
        <w:rPr>
          <w:rFonts w:hint="eastAsia"/>
          <w:lang w:val="en-US" w:eastAsia="zh-CN"/>
        </w:rPr>
        <w:t>五</w:t>
      </w:r>
      <w:r>
        <w:rPr>
          <w:rFonts w:hint="eastAsia"/>
        </w:rPr>
        <w:t>章 合同文本</w:t>
      </w:r>
      <w:bookmarkEnd w:id="10"/>
      <w:bookmarkEnd w:id="11"/>
      <w:bookmarkEnd w:id="12"/>
    </w:p>
    <w:p w14:paraId="5E2A3DEE">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000000"/>
          <w:kern w:val="0"/>
          <w:sz w:val="24"/>
          <w:szCs w:val="24"/>
          <w:highlight w:val="none"/>
          <w:u w:val="none"/>
          <w:lang w:val="zh-CN" w:eastAsia="zh-CN" w:bidi="ar"/>
        </w:rPr>
      </w:pPr>
      <w:r>
        <w:rPr>
          <w:rFonts w:hint="eastAsia" w:ascii="宋体" w:hAnsi="宋体" w:eastAsia="宋体" w:cs="宋体"/>
          <w:i w:val="0"/>
          <w:iCs w:val="0"/>
          <w:color w:val="000000"/>
          <w:kern w:val="0"/>
          <w:sz w:val="24"/>
          <w:szCs w:val="24"/>
          <w:highlight w:val="none"/>
          <w:u w:val="none"/>
          <w:lang w:val="zh-CN" w:eastAsia="zh-CN" w:bidi="ar"/>
        </w:rPr>
        <w:t>政府采购</w:t>
      </w:r>
      <w:r>
        <w:rPr>
          <w:rFonts w:hint="eastAsia" w:ascii="宋体" w:hAnsi="宋体" w:eastAsia="宋体" w:cs="宋体"/>
          <w:i w:val="0"/>
          <w:iCs w:val="0"/>
          <w:color w:val="000000"/>
          <w:kern w:val="0"/>
          <w:sz w:val="24"/>
          <w:szCs w:val="24"/>
          <w:highlight w:val="none"/>
          <w:u w:val="none"/>
          <w:lang w:val="en-US" w:eastAsia="zh-CN" w:bidi="ar"/>
        </w:rPr>
        <w:t>在线询价参考</w:t>
      </w:r>
      <w:r>
        <w:rPr>
          <w:rFonts w:hint="eastAsia" w:ascii="宋体" w:hAnsi="宋体" w:eastAsia="宋体" w:cs="宋体"/>
          <w:i w:val="0"/>
          <w:iCs w:val="0"/>
          <w:color w:val="000000"/>
          <w:kern w:val="0"/>
          <w:sz w:val="24"/>
          <w:szCs w:val="24"/>
          <w:highlight w:val="none"/>
          <w:u w:val="none"/>
          <w:lang w:val="zh-CN" w:eastAsia="zh-CN" w:bidi="ar"/>
        </w:rPr>
        <w:t>合同（</w:t>
      </w:r>
      <w:r>
        <w:rPr>
          <w:rFonts w:hint="eastAsia" w:ascii="宋体" w:hAnsi="宋体" w:eastAsia="宋体" w:cs="宋体"/>
          <w:i w:val="0"/>
          <w:iCs w:val="0"/>
          <w:color w:val="000000"/>
          <w:kern w:val="0"/>
          <w:sz w:val="24"/>
          <w:szCs w:val="24"/>
          <w:highlight w:val="none"/>
          <w:u w:val="none"/>
          <w:lang w:val="en-US" w:eastAsia="zh-CN" w:bidi="ar"/>
        </w:rPr>
        <w:t>最终合同以政采云生成为准</w:t>
      </w:r>
      <w:r>
        <w:rPr>
          <w:rFonts w:hint="eastAsia" w:ascii="宋体" w:hAnsi="宋体" w:eastAsia="宋体" w:cs="宋体"/>
          <w:i w:val="0"/>
          <w:iCs w:val="0"/>
          <w:color w:val="000000"/>
          <w:kern w:val="0"/>
          <w:sz w:val="24"/>
          <w:szCs w:val="24"/>
          <w:highlight w:val="none"/>
          <w:u w:val="none"/>
          <w:lang w:val="zh-CN" w:eastAsia="zh-CN" w:bidi="ar"/>
        </w:rPr>
        <w:t>）</w:t>
      </w:r>
    </w:p>
    <w:p w14:paraId="38DC3BC2">
      <w:pPr>
        <w:pStyle w:val="12"/>
        <w:widowControl/>
        <w:shd w:val="clear" w:color="auto" w:fill="FFFFFF"/>
        <w:spacing w:beforeAutospacing="0" w:afterAutospacing="0"/>
        <w:jc w:val="left"/>
        <w:rPr>
          <w:rStyle w:val="17"/>
          <w:rFonts w:hint="eastAsia" w:ascii="宋体" w:hAnsi="宋体" w:eastAsia="宋体" w:cs="宋体"/>
          <w:bCs/>
          <w:sz w:val="21"/>
          <w:szCs w:val="21"/>
          <w:shd w:val="clear" w:color="auto" w:fill="FFFFFF"/>
        </w:rPr>
      </w:pPr>
    </w:p>
    <w:p w14:paraId="36A84132">
      <w:pPr>
        <w:pStyle w:val="12"/>
        <w:widowControl/>
        <w:shd w:val="clear" w:color="auto" w:fill="FFFFFF"/>
        <w:spacing w:beforeAutospacing="0" w:afterAutospacing="0"/>
        <w:jc w:val="left"/>
        <w:rPr>
          <w:rStyle w:val="17"/>
          <w:rFonts w:hint="eastAsia" w:ascii="宋体" w:hAnsi="宋体" w:eastAsia="宋体" w:cs="宋体"/>
          <w:bCs/>
          <w:sz w:val="24"/>
          <w:szCs w:val="24"/>
          <w:shd w:val="clear" w:color="auto" w:fill="FFFFFF"/>
          <w:lang w:val="en-US" w:eastAsia="zh-CN"/>
        </w:rPr>
      </w:pPr>
      <w:r>
        <w:rPr>
          <w:rStyle w:val="17"/>
          <w:rFonts w:hint="eastAsia" w:ascii="宋体" w:hAnsi="宋体" w:eastAsia="宋体" w:cs="宋体"/>
          <w:bCs/>
          <w:sz w:val="24"/>
          <w:szCs w:val="24"/>
          <w:shd w:val="clear" w:color="auto" w:fill="FFFFFF"/>
        </w:rPr>
        <w:t>合同编号： </w:t>
      </w:r>
    </w:p>
    <w:p w14:paraId="491C0ABA">
      <w:pPr>
        <w:pStyle w:val="12"/>
        <w:widowControl/>
        <w:shd w:val="clear" w:color="auto" w:fill="FFFFFF"/>
        <w:spacing w:beforeAutospacing="0" w:afterAutospacing="0" w:line="360" w:lineRule="auto"/>
        <w:rPr>
          <w:rFonts w:hint="eastAsia" w:ascii="宋体" w:hAnsi="宋体" w:eastAsia="宋体" w:cs="宋体"/>
          <w:sz w:val="24"/>
          <w:szCs w:val="24"/>
        </w:rPr>
      </w:pPr>
      <w:r>
        <w:rPr>
          <w:rStyle w:val="17"/>
          <w:rFonts w:hint="eastAsia" w:ascii="宋体" w:hAnsi="宋体" w:eastAsia="宋体" w:cs="宋体"/>
          <w:bCs/>
          <w:sz w:val="24"/>
          <w:szCs w:val="24"/>
          <w:shd w:val="clear" w:color="auto" w:fill="FFFFFF"/>
        </w:rPr>
        <w:t>采购单位（甲方）：</w:t>
      </w:r>
    </w:p>
    <w:p w14:paraId="4C74C081">
      <w:pPr>
        <w:pStyle w:val="12"/>
        <w:widowControl/>
        <w:shd w:val="clear" w:color="auto" w:fill="FFFFFF"/>
        <w:spacing w:beforeAutospacing="0" w:after="240" w:afterAutospacing="0" w:line="360" w:lineRule="auto"/>
        <w:rPr>
          <w:rFonts w:hint="eastAsia" w:ascii="宋体" w:hAnsi="宋体" w:eastAsia="宋体" w:cs="宋体"/>
          <w:sz w:val="24"/>
          <w:szCs w:val="24"/>
        </w:rPr>
      </w:pPr>
      <w:r>
        <w:rPr>
          <w:rStyle w:val="17"/>
          <w:rFonts w:hint="eastAsia" w:ascii="宋体" w:hAnsi="宋体" w:eastAsia="宋体" w:cs="宋体"/>
          <w:bCs/>
          <w:sz w:val="24"/>
          <w:szCs w:val="24"/>
          <w:shd w:val="clear" w:color="auto" w:fill="FFFFFF"/>
        </w:rPr>
        <w:t>供货商（乙方）：</w:t>
      </w:r>
    </w:p>
    <w:p w14:paraId="5325F08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为了保护甲乙双方合法权益，根据《中华人民共和国政府采购法》、《中华人民共和国民法典》等相关法律法规以及</w:t>
      </w:r>
      <w:r>
        <w:rPr>
          <w:rFonts w:hint="eastAsia" w:ascii="宋体" w:hAnsi="宋体" w:cs="宋体"/>
          <w:sz w:val="24"/>
          <w:szCs w:val="24"/>
          <w:shd w:val="clear" w:color="auto" w:fill="FFFFFF"/>
          <w:lang w:eastAsia="zh-CN"/>
        </w:rPr>
        <w:t>在线询价</w:t>
      </w:r>
      <w:r>
        <w:rPr>
          <w:rFonts w:hint="eastAsia" w:ascii="宋体" w:hAnsi="宋体" w:eastAsia="宋体" w:cs="宋体"/>
          <w:sz w:val="24"/>
          <w:szCs w:val="24"/>
          <w:shd w:val="clear" w:color="auto" w:fill="FFFFFF"/>
        </w:rPr>
        <w:t>项目的成交结果，双方签署本合同，以资共同遵守。</w:t>
      </w:r>
    </w:p>
    <w:p w14:paraId="79760342">
      <w:pPr>
        <w:pStyle w:val="12"/>
        <w:widowControl/>
        <w:shd w:val="clear" w:color="auto" w:fill="FFFFFF"/>
        <w:spacing w:beforeAutospacing="0" w:afterAutospacing="0"/>
        <w:rPr>
          <w:rFonts w:hint="eastAsia" w:ascii="宋体" w:hAnsi="宋体" w:eastAsia="宋体" w:cs="宋体"/>
          <w:sz w:val="24"/>
          <w:szCs w:val="24"/>
        </w:rPr>
      </w:pPr>
    </w:p>
    <w:p w14:paraId="2A383E96">
      <w:pPr>
        <w:pStyle w:val="12"/>
        <w:widowControl/>
        <w:shd w:val="clear" w:color="auto" w:fill="FFFFFF"/>
        <w:spacing w:beforeAutospacing="0" w:afterAutospacing="0"/>
        <w:outlineLvl w:val="0"/>
        <w:rPr>
          <w:rFonts w:hint="eastAsia" w:ascii="宋体" w:hAnsi="宋体" w:eastAsia="宋体" w:cs="宋体"/>
          <w:sz w:val="24"/>
          <w:szCs w:val="24"/>
        </w:rPr>
      </w:pPr>
      <w:bookmarkStart w:id="13" w:name="_Toc24092"/>
      <w:r>
        <w:rPr>
          <w:rStyle w:val="17"/>
          <w:rFonts w:hint="eastAsia" w:ascii="宋体" w:hAnsi="宋体" w:eastAsia="宋体" w:cs="宋体"/>
          <w:bCs/>
          <w:sz w:val="24"/>
          <w:szCs w:val="24"/>
          <w:shd w:val="clear" w:color="auto" w:fill="FFFFFF"/>
        </w:rPr>
        <w:t>一、采购标的</w:t>
      </w:r>
      <w:bookmarkEnd w:id="13"/>
    </w:p>
    <w:p w14:paraId="1A1EC585">
      <w:pPr>
        <w:pStyle w:val="12"/>
        <w:widowControl/>
        <w:shd w:val="clear" w:color="auto" w:fill="FFFFFF"/>
        <w:spacing w:beforeAutospacing="0" w:afterAutospacing="0"/>
        <w:jc w:val="right"/>
        <w:rPr>
          <w:rFonts w:hint="eastAsia" w:ascii="宋体" w:hAnsi="宋体" w:eastAsia="宋体" w:cs="宋体"/>
          <w:sz w:val="24"/>
          <w:szCs w:val="24"/>
        </w:rPr>
      </w:pPr>
      <w:r>
        <w:rPr>
          <w:rFonts w:hint="eastAsia" w:ascii="宋体" w:hAnsi="宋体" w:eastAsia="宋体" w:cs="宋体"/>
          <w:sz w:val="24"/>
          <w:szCs w:val="24"/>
          <w:shd w:val="clear" w:color="auto" w:fill="FFFFFF"/>
        </w:rPr>
        <w:t>金额单位：元</w:t>
      </w:r>
    </w:p>
    <w:tbl>
      <w:tblPr>
        <w:tblStyle w:val="14"/>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
        <w:gridCol w:w="1534"/>
        <w:gridCol w:w="1857"/>
        <w:gridCol w:w="858"/>
        <w:gridCol w:w="742"/>
        <w:gridCol w:w="2407"/>
        <w:gridCol w:w="945"/>
        <w:gridCol w:w="647"/>
        <w:gridCol w:w="1370"/>
      </w:tblGrid>
      <w:tr w14:paraId="1460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96" w:type="pct"/>
            <w:noWrap w:val="0"/>
            <w:tcMar>
              <w:top w:w="150" w:type="dxa"/>
              <w:left w:w="0" w:type="dxa"/>
              <w:bottom w:w="150" w:type="dxa"/>
              <w:right w:w="0" w:type="dxa"/>
            </w:tcMar>
            <w:vAlign w:val="center"/>
          </w:tcPr>
          <w:p w14:paraId="169249D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711" w:type="pct"/>
            <w:noWrap w:val="0"/>
            <w:tcMar>
              <w:top w:w="150" w:type="dxa"/>
              <w:left w:w="0" w:type="dxa"/>
              <w:bottom w:w="150" w:type="dxa"/>
              <w:right w:w="0" w:type="dxa"/>
            </w:tcMar>
            <w:vAlign w:val="center"/>
          </w:tcPr>
          <w:p w14:paraId="5A959EB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采购计划文号</w:t>
            </w:r>
          </w:p>
        </w:tc>
        <w:tc>
          <w:tcPr>
            <w:tcW w:w="861" w:type="pct"/>
            <w:noWrap w:val="0"/>
            <w:tcMar>
              <w:top w:w="150" w:type="dxa"/>
              <w:left w:w="0" w:type="dxa"/>
              <w:bottom w:w="150" w:type="dxa"/>
              <w:right w:w="0" w:type="dxa"/>
            </w:tcMar>
            <w:vAlign w:val="center"/>
          </w:tcPr>
          <w:p w14:paraId="7A745D5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商品名称</w:t>
            </w:r>
          </w:p>
        </w:tc>
        <w:tc>
          <w:tcPr>
            <w:tcW w:w="398" w:type="pct"/>
            <w:noWrap w:val="0"/>
            <w:tcMar>
              <w:top w:w="150" w:type="dxa"/>
              <w:left w:w="0" w:type="dxa"/>
              <w:bottom w:w="150" w:type="dxa"/>
              <w:right w:w="0" w:type="dxa"/>
            </w:tcMar>
            <w:vAlign w:val="center"/>
          </w:tcPr>
          <w:p w14:paraId="75F7E23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品牌</w:t>
            </w:r>
          </w:p>
        </w:tc>
        <w:tc>
          <w:tcPr>
            <w:tcW w:w="344" w:type="pct"/>
            <w:noWrap w:val="0"/>
            <w:tcMar>
              <w:top w:w="150" w:type="dxa"/>
              <w:left w:w="0" w:type="dxa"/>
              <w:bottom w:w="150" w:type="dxa"/>
              <w:right w:w="0" w:type="dxa"/>
            </w:tcMar>
            <w:vAlign w:val="center"/>
          </w:tcPr>
          <w:p w14:paraId="1631348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型号</w:t>
            </w:r>
          </w:p>
        </w:tc>
        <w:tc>
          <w:tcPr>
            <w:tcW w:w="1116" w:type="pct"/>
            <w:noWrap w:val="0"/>
            <w:tcMar>
              <w:top w:w="150" w:type="dxa"/>
              <w:left w:w="0" w:type="dxa"/>
              <w:bottom w:w="150" w:type="dxa"/>
              <w:right w:w="0" w:type="dxa"/>
            </w:tcMar>
            <w:vAlign w:val="center"/>
          </w:tcPr>
          <w:p w14:paraId="02109D9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配置要求</w:t>
            </w:r>
          </w:p>
        </w:tc>
        <w:tc>
          <w:tcPr>
            <w:tcW w:w="438" w:type="pct"/>
            <w:noWrap w:val="0"/>
            <w:tcMar>
              <w:top w:w="150" w:type="dxa"/>
              <w:left w:w="0" w:type="dxa"/>
              <w:bottom w:w="150" w:type="dxa"/>
              <w:right w:w="0" w:type="dxa"/>
            </w:tcMar>
            <w:vAlign w:val="center"/>
          </w:tcPr>
          <w:p w14:paraId="5EA90B1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采购数量</w:t>
            </w:r>
          </w:p>
        </w:tc>
        <w:tc>
          <w:tcPr>
            <w:tcW w:w="300" w:type="pct"/>
            <w:noWrap w:val="0"/>
            <w:tcMar>
              <w:top w:w="150" w:type="dxa"/>
              <w:left w:w="0" w:type="dxa"/>
              <w:bottom w:w="150" w:type="dxa"/>
              <w:right w:w="0" w:type="dxa"/>
            </w:tcMar>
            <w:vAlign w:val="center"/>
          </w:tcPr>
          <w:p w14:paraId="4CF5F77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单位</w:t>
            </w:r>
          </w:p>
        </w:tc>
        <w:tc>
          <w:tcPr>
            <w:tcW w:w="633" w:type="pct"/>
            <w:noWrap w:val="0"/>
            <w:tcMar>
              <w:top w:w="150" w:type="dxa"/>
              <w:left w:w="0" w:type="dxa"/>
              <w:bottom w:w="150" w:type="dxa"/>
              <w:right w:w="0" w:type="dxa"/>
            </w:tcMar>
            <w:vAlign w:val="center"/>
          </w:tcPr>
          <w:p w14:paraId="30BC9C4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成交单价</w:t>
            </w:r>
          </w:p>
        </w:tc>
      </w:tr>
      <w:tr w14:paraId="7272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6" w:type="pct"/>
            <w:noWrap w:val="0"/>
            <w:tcMar>
              <w:top w:w="75" w:type="dxa"/>
              <w:left w:w="150" w:type="dxa"/>
              <w:bottom w:w="75" w:type="dxa"/>
              <w:right w:w="150" w:type="dxa"/>
            </w:tcMar>
            <w:vAlign w:val="center"/>
          </w:tcPr>
          <w:p w14:paraId="001E1B1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11" w:type="pct"/>
            <w:noWrap w:val="0"/>
            <w:tcMar>
              <w:top w:w="75" w:type="dxa"/>
              <w:left w:w="150" w:type="dxa"/>
              <w:bottom w:w="75" w:type="dxa"/>
              <w:right w:w="150" w:type="dxa"/>
            </w:tcMar>
            <w:vAlign w:val="center"/>
          </w:tcPr>
          <w:p w14:paraId="364A4238">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861" w:type="pct"/>
            <w:noWrap w:val="0"/>
            <w:tcMar>
              <w:top w:w="75" w:type="dxa"/>
              <w:left w:w="150" w:type="dxa"/>
              <w:bottom w:w="75" w:type="dxa"/>
              <w:right w:w="150" w:type="dxa"/>
            </w:tcMar>
            <w:vAlign w:val="center"/>
          </w:tcPr>
          <w:p w14:paraId="1EC67A42">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398" w:type="pct"/>
            <w:noWrap w:val="0"/>
            <w:tcMar>
              <w:top w:w="75" w:type="dxa"/>
              <w:left w:w="150" w:type="dxa"/>
              <w:bottom w:w="75" w:type="dxa"/>
              <w:right w:w="150" w:type="dxa"/>
            </w:tcMar>
            <w:vAlign w:val="center"/>
          </w:tcPr>
          <w:p w14:paraId="03CDDC9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344" w:type="pct"/>
            <w:noWrap w:val="0"/>
            <w:tcMar>
              <w:top w:w="75" w:type="dxa"/>
              <w:left w:w="150" w:type="dxa"/>
              <w:bottom w:w="75" w:type="dxa"/>
              <w:right w:w="150" w:type="dxa"/>
            </w:tcMar>
            <w:vAlign w:val="center"/>
          </w:tcPr>
          <w:p w14:paraId="7655B2F3">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16" w:type="pct"/>
            <w:noWrap w:val="0"/>
            <w:tcMar>
              <w:top w:w="75" w:type="dxa"/>
              <w:left w:w="150" w:type="dxa"/>
              <w:bottom w:w="75" w:type="dxa"/>
              <w:right w:w="150" w:type="dxa"/>
            </w:tcMar>
            <w:vAlign w:val="center"/>
          </w:tcPr>
          <w:p w14:paraId="0B00436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438" w:type="pct"/>
            <w:noWrap w:val="0"/>
            <w:tcMar>
              <w:top w:w="75" w:type="dxa"/>
              <w:left w:w="150" w:type="dxa"/>
              <w:bottom w:w="75" w:type="dxa"/>
              <w:right w:w="150" w:type="dxa"/>
            </w:tcMar>
            <w:vAlign w:val="center"/>
          </w:tcPr>
          <w:p w14:paraId="41EBD37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300" w:type="pct"/>
            <w:noWrap w:val="0"/>
            <w:tcMar>
              <w:top w:w="75" w:type="dxa"/>
              <w:left w:w="150" w:type="dxa"/>
              <w:bottom w:w="75" w:type="dxa"/>
              <w:right w:w="150" w:type="dxa"/>
            </w:tcMar>
            <w:vAlign w:val="center"/>
          </w:tcPr>
          <w:p w14:paraId="2823464D">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633" w:type="pct"/>
            <w:noWrap w:val="0"/>
            <w:tcMar>
              <w:top w:w="75" w:type="dxa"/>
              <w:left w:w="150" w:type="dxa"/>
              <w:bottom w:w="75" w:type="dxa"/>
              <w:right w:w="150" w:type="dxa"/>
            </w:tcMar>
            <w:vAlign w:val="center"/>
          </w:tcPr>
          <w:p w14:paraId="180FC383">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7656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7" w:type="pct"/>
            <w:gridSpan w:val="2"/>
            <w:noWrap w:val="0"/>
            <w:tcMar>
              <w:top w:w="75" w:type="dxa"/>
              <w:left w:w="150" w:type="dxa"/>
              <w:bottom w:w="75" w:type="dxa"/>
              <w:right w:w="150" w:type="dxa"/>
            </w:tcMar>
            <w:vAlign w:val="center"/>
          </w:tcPr>
          <w:p w14:paraId="3921C98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合同总价（元）</w:t>
            </w:r>
          </w:p>
        </w:tc>
        <w:tc>
          <w:tcPr>
            <w:tcW w:w="4092" w:type="pct"/>
            <w:gridSpan w:val="7"/>
            <w:noWrap w:val="0"/>
            <w:tcMar>
              <w:top w:w="75" w:type="dxa"/>
              <w:left w:w="150" w:type="dxa"/>
              <w:bottom w:w="75" w:type="dxa"/>
              <w:right w:w="150" w:type="dxa"/>
            </w:tcMar>
            <w:vAlign w:val="center"/>
          </w:tcPr>
          <w:p w14:paraId="2D60D36D">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3BE0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7" w:type="pct"/>
            <w:gridSpan w:val="2"/>
            <w:noWrap w:val="0"/>
            <w:tcMar>
              <w:top w:w="75" w:type="dxa"/>
              <w:left w:w="150" w:type="dxa"/>
              <w:bottom w:w="75" w:type="dxa"/>
              <w:right w:w="150" w:type="dxa"/>
            </w:tcMar>
            <w:vAlign w:val="center"/>
          </w:tcPr>
          <w:p w14:paraId="1783CBC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合同总价（大写）</w:t>
            </w:r>
          </w:p>
        </w:tc>
        <w:tc>
          <w:tcPr>
            <w:tcW w:w="4092" w:type="pct"/>
            <w:gridSpan w:val="7"/>
            <w:noWrap w:val="0"/>
            <w:tcMar>
              <w:top w:w="75" w:type="dxa"/>
              <w:left w:w="150" w:type="dxa"/>
              <w:bottom w:w="75" w:type="dxa"/>
              <w:right w:w="150" w:type="dxa"/>
            </w:tcMar>
            <w:vAlign w:val="center"/>
          </w:tcPr>
          <w:p w14:paraId="116F05E3">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bl>
    <w:p w14:paraId="04FC9386">
      <w:pPr>
        <w:widowControl/>
        <w:shd w:val="clear" w:color="auto" w:fill="FFFFFF"/>
        <w:spacing w:before="156" w:beforeLines="50"/>
        <w:jc w:val="left"/>
        <w:rPr>
          <w:rFonts w:hint="eastAsia" w:ascii="宋体" w:hAnsi="宋体" w:eastAsia="宋体" w:cs="宋体"/>
          <w:sz w:val="24"/>
          <w:szCs w:val="24"/>
        </w:rPr>
      </w:pPr>
      <w:r>
        <w:rPr>
          <w:rFonts w:hint="eastAsia" w:ascii="宋体" w:hAnsi="宋体" w:eastAsia="宋体" w:cs="宋体"/>
          <w:kern w:val="0"/>
          <w:sz w:val="24"/>
          <w:szCs w:val="24"/>
          <w:shd w:val="clear" w:color="auto" w:fill="FFFFFF"/>
        </w:rPr>
        <w:t> </w:t>
      </w:r>
      <w:r>
        <w:rPr>
          <w:rFonts w:hint="eastAsia" w:ascii="宋体" w:hAnsi="宋体" w:eastAsia="宋体" w:cs="宋体"/>
          <w:sz w:val="24"/>
          <w:szCs w:val="24"/>
          <w:shd w:val="clear" w:color="auto" w:fill="FFFFFF"/>
        </w:rPr>
        <w:t>注：</w:t>
      </w:r>
    </w:p>
    <w:p w14:paraId="40A284F8">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合同总价包含商品到达甲方并能正常使用所需的一切费用，包括但不限于商品购置费、包装费、运输费、装卸费、保险费、安装调试费、技术服务费、培训费以及保修费、税费等。</w:t>
      </w:r>
    </w:p>
    <w:p w14:paraId="32E16958">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14" w:name="_Toc31349"/>
      <w:r>
        <w:rPr>
          <w:rStyle w:val="17"/>
          <w:rFonts w:hint="eastAsia" w:ascii="宋体" w:hAnsi="宋体" w:eastAsia="宋体" w:cs="宋体"/>
          <w:bCs/>
          <w:sz w:val="24"/>
          <w:szCs w:val="24"/>
          <w:shd w:val="clear" w:color="auto" w:fill="FFFFFF"/>
        </w:rPr>
        <w:t>二、供货范围</w:t>
      </w:r>
      <w:bookmarkEnd w:id="14"/>
    </w:p>
    <w:p w14:paraId="130E40E7">
      <w:pPr>
        <w:pStyle w:val="12"/>
        <w:widowControl/>
        <w:shd w:val="clear" w:color="auto" w:fill="FFFFFF"/>
        <w:spacing w:beforeAutospacing="0"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合同供货范围包括了所有合同货物、相关的技术资料。</w:t>
      </w:r>
    </w:p>
    <w:p w14:paraId="6ED2651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在执行合同过程中如发现任何漏项和短缺，在合同或附件清单并未列入，但该部分漏项或短缺是满足合同货物的性能所必须的，则均应由乙方负责免费将所漏项或短缺的货物及技术服务等在最短的合理时间内补齐。</w:t>
      </w:r>
    </w:p>
    <w:p w14:paraId="5546937D">
      <w:pPr>
        <w:pStyle w:val="12"/>
        <w:widowControl/>
        <w:shd w:val="clear" w:color="auto" w:fill="FFFFFF"/>
        <w:spacing w:before="312" w:beforeLines="100" w:beforeAutospacing="0" w:afterAutospacing="0"/>
        <w:outlineLvl w:val="0"/>
        <w:rPr>
          <w:rFonts w:hint="eastAsia" w:ascii="宋体" w:hAnsi="宋体" w:eastAsia="宋体" w:cs="宋体"/>
          <w:sz w:val="24"/>
          <w:szCs w:val="24"/>
          <w:lang w:eastAsia="zh-CN"/>
        </w:rPr>
      </w:pPr>
      <w:bookmarkStart w:id="15" w:name="_Toc29760"/>
      <w:r>
        <w:rPr>
          <w:rStyle w:val="17"/>
          <w:rFonts w:hint="eastAsia" w:ascii="宋体" w:hAnsi="宋体" w:eastAsia="宋体" w:cs="宋体"/>
          <w:bCs/>
          <w:sz w:val="24"/>
          <w:szCs w:val="24"/>
          <w:shd w:val="clear" w:color="auto" w:fill="FFFFFF"/>
        </w:rPr>
        <w:t>三、资金来源及支付方式</w:t>
      </w:r>
      <w:bookmarkEnd w:id="15"/>
      <w:r>
        <w:rPr>
          <w:rStyle w:val="17"/>
          <w:rFonts w:hint="eastAsia" w:ascii="宋体" w:hAnsi="宋体" w:eastAsia="宋体" w:cs="宋体"/>
          <w:bCs/>
          <w:sz w:val="24"/>
          <w:szCs w:val="24"/>
          <w:shd w:val="clear" w:color="auto" w:fill="FFFFFF"/>
          <w:lang w:eastAsia="zh-CN"/>
        </w:rPr>
        <w:t>：？</w:t>
      </w:r>
    </w:p>
    <w:p w14:paraId="3F56A842">
      <w:pPr>
        <w:pStyle w:val="12"/>
        <w:widowControl/>
        <w:shd w:val="clear" w:color="auto" w:fill="FFFFFF"/>
        <w:spacing w:beforeAutospacing="0" w:afterAutospacing="0"/>
        <w:jc w:val="right"/>
        <w:rPr>
          <w:rFonts w:hint="eastAsia" w:ascii="宋体" w:hAnsi="宋体" w:eastAsia="宋体" w:cs="宋体"/>
          <w:sz w:val="24"/>
          <w:szCs w:val="24"/>
        </w:rPr>
      </w:pPr>
      <w:r>
        <w:rPr>
          <w:rFonts w:hint="eastAsia" w:ascii="宋体" w:hAnsi="宋体" w:eastAsia="宋体" w:cs="宋体"/>
          <w:sz w:val="24"/>
          <w:szCs w:val="24"/>
          <w:shd w:val="clear" w:color="auto" w:fill="FFFFFF"/>
        </w:rPr>
        <w:t>金额单位：元</w:t>
      </w:r>
    </w:p>
    <w:p w14:paraId="49ED680B">
      <w:pPr>
        <w:widowControl/>
        <w:shd w:val="clear" w:color="auto" w:fill="FFFFFF"/>
        <w:jc w:val="left"/>
        <w:rPr>
          <w:rFonts w:hint="eastAsia" w:ascii="宋体" w:hAnsi="宋体" w:eastAsia="宋体" w:cs="宋体"/>
          <w:sz w:val="24"/>
          <w:szCs w:val="24"/>
        </w:rPr>
      </w:pPr>
      <w:r>
        <w:rPr>
          <w:rFonts w:hint="eastAsia" w:ascii="宋体" w:hAnsi="宋体" w:eastAsia="宋体" w:cs="宋体"/>
          <w:kern w:val="0"/>
          <w:sz w:val="24"/>
          <w:szCs w:val="24"/>
          <w:shd w:val="clear" w:color="auto" w:fill="FFFFFF"/>
        </w:rPr>
        <w:t>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40"/>
        <w:gridCol w:w="2272"/>
        <w:gridCol w:w="1382"/>
        <w:gridCol w:w="1566"/>
        <w:gridCol w:w="1566"/>
        <w:gridCol w:w="1566"/>
        <w:gridCol w:w="1566"/>
      </w:tblGrid>
      <w:tr w14:paraId="228A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4" w:type="pct"/>
            <w:noWrap w:val="0"/>
            <w:tcMar>
              <w:top w:w="75" w:type="dxa"/>
              <w:left w:w="150" w:type="dxa"/>
              <w:bottom w:w="75" w:type="dxa"/>
              <w:right w:w="150" w:type="dxa"/>
            </w:tcMar>
            <w:vAlign w:val="center"/>
          </w:tcPr>
          <w:p w14:paraId="638CD78A">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1036" w:type="pct"/>
            <w:noWrap w:val="0"/>
            <w:tcMar>
              <w:top w:w="75" w:type="dxa"/>
              <w:left w:w="150" w:type="dxa"/>
              <w:bottom w:w="75" w:type="dxa"/>
              <w:right w:w="150" w:type="dxa"/>
            </w:tcMar>
            <w:vAlign w:val="center"/>
          </w:tcPr>
          <w:p w14:paraId="300F827A">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采购计划文号</w:t>
            </w:r>
          </w:p>
        </w:tc>
        <w:tc>
          <w:tcPr>
            <w:tcW w:w="630" w:type="pct"/>
            <w:noWrap w:val="0"/>
            <w:tcMar>
              <w:top w:w="75" w:type="dxa"/>
              <w:left w:w="150" w:type="dxa"/>
              <w:bottom w:w="75" w:type="dxa"/>
              <w:right w:w="150" w:type="dxa"/>
            </w:tcMar>
            <w:vAlign w:val="center"/>
          </w:tcPr>
          <w:p w14:paraId="4E0E34DA">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采购目录</w:t>
            </w:r>
          </w:p>
        </w:tc>
        <w:tc>
          <w:tcPr>
            <w:tcW w:w="714" w:type="pct"/>
            <w:noWrap w:val="0"/>
            <w:tcMar>
              <w:top w:w="75" w:type="dxa"/>
              <w:left w:w="150" w:type="dxa"/>
              <w:bottom w:w="75" w:type="dxa"/>
              <w:right w:w="150" w:type="dxa"/>
            </w:tcMar>
            <w:vAlign w:val="center"/>
          </w:tcPr>
          <w:p w14:paraId="7CEA1ECE">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数量</w:t>
            </w:r>
          </w:p>
        </w:tc>
        <w:tc>
          <w:tcPr>
            <w:tcW w:w="714" w:type="pct"/>
            <w:noWrap w:val="0"/>
            <w:tcMar>
              <w:top w:w="75" w:type="dxa"/>
              <w:left w:w="150" w:type="dxa"/>
              <w:bottom w:w="75" w:type="dxa"/>
              <w:right w:w="150" w:type="dxa"/>
            </w:tcMar>
            <w:vAlign w:val="center"/>
          </w:tcPr>
          <w:p w14:paraId="7435492D">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预算资金</w:t>
            </w:r>
          </w:p>
        </w:tc>
        <w:tc>
          <w:tcPr>
            <w:tcW w:w="714" w:type="pct"/>
            <w:noWrap w:val="0"/>
            <w:tcMar>
              <w:top w:w="75" w:type="dxa"/>
              <w:left w:w="150" w:type="dxa"/>
              <w:bottom w:w="75" w:type="dxa"/>
              <w:right w:w="150" w:type="dxa"/>
            </w:tcMar>
            <w:vAlign w:val="center"/>
          </w:tcPr>
          <w:p w14:paraId="2A532F3E">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资金来源性质</w:t>
            </w:r>
          </w:p>
        </w:tc>
        <w:tc>
          <w:tcPr>
            <w:tcW w:w="714" w:type="pct"/>
            <w:noWrap w:val="0"/>
            <w:tcMar>
              <w:top w:w="75" w:type="dxa"/>
              <w:left w:w="150" w:type="dxa"/>
              <w:bottom w:w="75" w:type="dxa"/>
              <w:right w:w="150" w:type="dxa"/>
            </w:tcMar>
            <w:vAlign w:val="center"/>
          </w:tcPr>
          <w:p w14:paraId="279B8AF5">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rPr>
              <w:t>资金支付方式</w:t>
            </w:r>
          </w:p>
        </w:tc>
      </w:tr>
      <w:tr w14:paraId="1CBA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4" w:type="pct"/>
            <w:noWrap w:val="0"/>
            <w:tcMar>
              <w:top w:w="75" w:type="dxa"/>
              <w:left w:w="150" w:type="dxa"/>
              <w:bottom w:w="75" w:type="dxa"/>
              <w:right w:w="150" w:type="dxa"/>
            </w:tcMar>
            <w:vAlign w:val="center"/>
          </w:tcPr>
          <w:p w14:paraId="709E9AEC">
            <w:pPr>
              <w:keepNext w:val="0"/>
              <w:keepLines w:val="0"/>
              <w:widowControl/>
              <w:suppressLineNumbers w:val="0"/>
              <w:wordWrap w:val="0"/>
              <w:spacing w:before="0" w:beforeAutospacing="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36" w:type="pct"/>
            <w:noWrap w:val="0"/>
            <w:tcMar>
              <w:top w:w="75" w:type="dxa"/>
              <w:left w:w="150" w:type="dxa"/>
              <w:bottom w:w="75" w:type="dxa"/>
              <w:right w:w="150" w:type="dxa"/>
            </w:tcMar>
            <w:vAlign w:val="center"/>
          </w:tcPr>
          <w:p w14:paraId="17AA426A">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广西政采[2025]25258号</w:t>
            </w:r>
          </w:p>
        </w:tc>
        <w:tc>
          <w:tcPr>
            <w:tcW w:w="630" w:type="pct"/>
            <w:noWrap w:val="0"/>
            <w:tcMar>
              <w:top w:w="75" w:type="dxa"/>
              <w:left w:w="150" w:type="dxa"/>
              <w:bottom w:w="75" w:type="dxa"/>
              <w:right w:w="150" w:type="dxa"/>
            </w:tcMar>
            <w:vAlign w:val="center"/>
          </w:tcPr>
          <w:p w14:paraId="53C52A48">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[C17010200]网络接入服务</w:t>
            </w:r>
          </w:p>
        </w:tc>
        <w:tc>
          <w:tcPr>
            <w:tcW w:w="714" w:type="pct"/>
            <w:noWrap w:val="0"/>
            <w:tcMar>
              <w:top w:w="75" w:type="dxa"/>
              <w:left w:w="150" w:type="dxa"/>
              <w:bottom w:w="75" w:type="dxa"/>
              <w:right w:w="150" w:type="dxa"/>
            </w:tcMar>
            <w:vAlign w:val="center"/>
          </w:tcPr>
          <w:p w14:paraId="18A1A727">
            <w:pPr>
              <w:keepNext w:val="0"/>
              <w:keepLines w:val="0"/>
              <w:widowControl/>
              <w:suppressLineNumbers w:val="0"/>
              <w:wordWrap w:val="0"/>
              <w:spacing w:before="0" w:beforeAutospacing="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714" w:type="pct"/>
            <w:noWrap w:val="0"/>
            <w:tcMar>
              <w:top w:w="75" w:type="dxa"/>
              <w:left w:w="150" w:type="dxa"/>
              <w:bottom w:w="75" w:type="dxa"/>
              <w:right w:w="150" w:type="dxa"/>
            </w:tcMar>
            <w:vAlign w:val="center"/>
          </w:tcPr>
          <w:p w14:paraId="206C6078">
            <w:pPr>
              <w:keepNext w:val="0"/>
              <w:keepLines w:val="0"/>
              <w:widowControl/>
              <w:suppressLineNumbers w:val="0"/>
              <w:wordWrap w:val="0"/>
              <w:spacing w:before="0" w:beforeAutospacing="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660000.00</w:t>
            </w:r>
          </w:p>
        </w:tc>
        <w:tc>
          <w:tcPr>
            <w:tcW w:w="714" w:type="pct"/>
            <w:noWrap w:val="0"/>
            <w:tcMar>
              <w:top w:w="75" w:type="dxa"/>
              <w:left w:w="150" w:type="dxa"/>
              <w:bottom w:w="75" w:type="dxa"/>
              <w:right w:w="150" w:type="dxa"/>
            </w:tcMar>
            <w:vAlign w:val="center"/>
          </w:tcPr>
          <w:p w14:paraId="12B26665">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b w:val="0"/>
                <w:bCs w:val="0"/>
                <w:sz w:val="24"/>
                <w:szCs w:val="24"/>
              </w:rPr>
              <w:t>事业收入资金</w:t>
            </w:r>
          </w:p>
        </w:tc>
        <w:tc>
          <w:tcPr>
            <w:tcW w:w="714" w:type="pct"/>
            <w:noWrap w:val="0"/>
            <w:tcMar>
              <w:top w:w="75" w:type="dxa"/>
              <w:left w:w="150" w:type="dxa"/>
              <w:bottom w:w="75" w:type="dxa"/>
              <w:right w:w="150" w:type="dxa"/>
            </w:tcMar>
            <w:vAlign w:val="center"/>
          </w:tcPr>
          <w:p w14:paraId="76857A4B">
            <w:pPr>
              <w:keepNext w:val="0"/>
              <w:keepLines w:val="0"/>
              <w:widowControl/>
              <w:suppressLineNumbers w:val="0"/>
              <w:wordWrap w:val="0"/>
              <w:spacing w:before="0" w:beforeAutospacing="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其他支付</w:t>
            </w:r>
          </w:p>
        </w:tc>
      </w:tr>
    </w:tbl>
    <w:p w14:paraId="054EAEDC">
      <w:pPr>
        <w:widowControl/>
        <w:jc w:val="left"/>
        <w:rPr>
          <w:rFonts w:hint="eastAsia" w:ascii="宋体" w:hAnsi="宋体" w:eastAsia="宋体" w:cs="宋体"/>
          <w:sz w:val="24"/>
          <w:szCs w:val="24"/>
        </w:rPr>
      </w:pPr>
      <w:r>
        <w:rPr>
          <w:rFonts w:hint="eastAsia" w:ascii="宋体" w:hAnsi="宋体" w:eastAsia="宋体" w:cs="宋体"/>
          <w:kern w:val="0"/>
          <w:sz w:val="24"/>
          <w:szCs w:val="24"/>
          <w:shd w:val="clear" w:color="auto" w:fill="FFFFFF"/>
        </w:rPr>
        <w:t> </w:t>
      </w:r>
    </w:p>
    <w:p w14:paraId="3381CEE6">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注：</w:t>
      </w:r>
    </w:p>
    <w:p w14:paraId="053BDDC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1、资金来源性质包括预算内资金、专户资金、其它、核算其它、预算内暂存、专户资金暂存、核算其它暂存等，根据采购计划核定的性质填写。</w:t>
      </w:r>
    </w:p>
    <w:p w14:paraId="1B40A96C">
      <w:pPr>
        <w:pStyle w:val="12"/>
        <w:widowControl/>
        <w:shd w:val="clear" w:color="auto" w:fill="FFFFFF"/>
        <w:spacing w:beforeAutospacing="0" w:after="24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2、资金支付方式包括财政直接支付或财政授权支付、单位自行支付，根据采购计划核定的方式填写。</w:t>
      </w:r>
    </w:p>
    <w:p w14:paraId="6F6428C4">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16" w:name="_Toc14544"/>
      <w:r>
        <w:rPr>
          <w:rStyle w:val="17"/>
          <w:rFonts w:hint="eastAsia" w:ascii="宋体" w:hAnsi="宋体" w:eastAsia="宋体" w:cs="宋体"/>
          <w:bCs/>
          <w:sz w:val="24"/>
          <w:szCs w:val="24"/>
          <w:shd w:val="clear" w:color="auto" w:fill="FFFFFF"/>
        </w:rPr>
        <w:t>四、货款结算</w:t>
      </w:r>
      <w:bookmarkEnd w:id="16"/>
    </w:p>
    <w:p w14:paraId="74C6AF82">
      <w:pPr>
        <w:pStyle w:val="12"/>
        <w:widowControl/>
        <w:shd w:val="clear" w:color="auto" w:fill="FFFFFF"/>
        <w:spacing w:beforeAutospacing="0" w:afterAutospacing="0"/>
        <w:ind w:firstLine="420"/>
        <w:outlineLvl w:val="1"/>
        <w:rPr>
          <w:rFonts w:hint="eastAsia" w:ascii="宋体" w:hAnsi="宋体" w:eastAsia="宋体" w:cs="宋体"/>
          <w:sz w:val="24"/>
          <w:szCs w:val="24"/>
        </w:rPr>
      </w:pPr>
      <w:r>
        <w:rPr>
          <w:rFonts w:hint="eastAsia" w:ascii="宋体" w:hAnsi="宋体" w:eastAsia="宋体" w:cs="宋体"/>
          <w:sz w:val="24"/>
          <w:szCs w:val="24"/>
          <w:shd w:val="clear" w:color="auto" w:fill="FFFFFF"/>
        </w:rPr>
        <w:t>1、甲方按以下第</w:t>
      </w:r>
      <w:r>
        <w:rPr>
          <w:rFonts w:hint="eastAsia" w:ascii="宋体" w:hAnsi="宋体" w:eastAsia="宋体" w:cs="宋体"/>
          <w:sz w:val="24"/>
          <w:szCs w:val="24"/>
          <w:u w:val="single"/>
          <w:shd w:val="clear" w:color="auto" w:fill="FFFFFF"/>
        </w:rPr>
        <w:t xml:space="preserve">   </w:t>
      </w:r>
      <w:r>
        <w:rPr>
          <w:rFonts w:hint="eastAsia" w:ascii="宋体" w:hAnsi="宋体" w:eastAsia="宋体" w:cs="宋体"/>
          <w:color w:val="FF0000"/>
          <w:sz w:val="24"/>
          <w:szCs w:val="24"/>
          <w:u w:val="single"/>
          <w:shd w:val="clear" w:color="auto" w:fill="FFFFFF"/>
        </w:rPr>
        <w:t>（2）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种方式支付乙方合同价款。</w:t>
      </w:r>
    </w:p>
    <w:p w14:paraId="1D0E5197">
      <w:pPr>
        <w:pStyle w:val="12"/>
        <w:widowControl/>
        <w:shd w:val="clear" w:color="auto" w:fill="FFFFFF"/>
        <w:spacing w:beforeAutospacing="0" w:afterAutospacing="0"/>
        <w:ind w:firstLine="420"/>
        <w:outlineLvl w:val="2"/>
        <w:rPr>
          <w:rFonts w:hint="eastAsia" w:ascii="宋体" w:hAnsi="宋体" w:eastAsia="宋体" w:cs="宋体"/>
          <w:sz w:val="24"/>
          <w:szCs w:val="24"/>
        </w:rPr>
      </w:pPr>
      <w:r>
        <w:rPr>
          <w:rFonts w:hint="eastAsia" w:ascii="宋体" w:hAnsi="宋体" w:eastAsia="宋体" w:cs="宋体"/>
          <w:sz w:val="24"/>
          <w:szCs w:val="24"/>
          <w:shd w:val="clear" w:color="auto" w:fill="FFFFFF"/>
        </w:rPr>
        <w:t>（1）一次性支付：</w:t>
      </w:r>
    </w:p>
    <w:p w14:paraId="42669276">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本合同项下的全部货物安装调试完毕并经最终验收合格后</w:t>
      </w:r>
      <w:r>
        <w:rPr>
          <w:rFonts w:hint="eastAsia" w:ascii="宋体" w:hAnsi="宋体" w:eastAsia="宋体" w:cs="宋体"/>
          <w:sz w:val="24"/>
          <w:szCs w:val="24"/>
          <w:u w:val="single"/>
          <w:shd w:val="clear" w:color="auto" w:fill="FFFFFF"/>
        </w:rPr>
        <w:t xml:space="preserve">     </w:t>
      </w:r>
      <w:r>
        <w:rPr>
          <w:rFonts w:hint="eastAsia"/>
          <w:sz w:val="24"/>
          <w:szCs w:val="24"/>
          <w:lang w:val="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个工作日内，甲方向乙方支付全部合同价款。</w:t>
      </w:r>
    </w:p>
    <w:p w14:paraId="4F2275B3">
      <w:pPr>
        <w:pStyle w:val="12"/>
        <w:widowControl/>
        <w:shd w:val="clear" w:color="auto" w:fill="FFFFFF"/>
        <w:spacing w:beforeAutospacing="0" w:afterAutospacing="0"/>
        <w:ind w:firstLine="42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（2）分期支付：</w:t>
      </w:r>
    </w:p>
    <w:p w14:paraId="494F9525">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highlight w:val="none"/>
          <w:shd w:val="clear" w:color="auto" w:fill="FFFFFF"/>
        </w:rPr>
        <w:t>①</w:t>
      </w:r>
      <w:r>
        <w:rPr>
          <w:rFonts w:hint="eastAsia" w:ascii="宋体" w:hAnsi="宋体" w:eastAsia="宋体" w:cs="宋体"/>
          <w:sz w:val="24"/>
          <w:szCs w:val="24"/>
          <w:shd w:val="clear" w:color="auto" w:fill="FFFFFF"/>
        </w:rPr>
        <w:t xml:space="preserve">甲方应于本合同生效后  </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个工作日内向乙方支付合同总价款的  </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作为预付款，计￥  元（大写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w:t>
      </w:r>
    </w:p>
    <w:p w14:paraId="5291E304">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②全部货物验收合格后  </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个工作日内，甲方向乙方支付合同总价款的</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color w:val="FF0000"/>
          <w:sz w:val="24"/>
          <w:szCs w:val="24"/>
          <w:shd w:val="clear" w:color="auto" w:fill="FFFFFF"/>
          <w:lang w:val="en-US" w:eastAsia="zh-CN"/>
        </w:rPr>
        <w:t>/</w:t>
      </w:r>
      <w:r>
        <w:rPr>
          <w:rFonts w:hint="eastAsia" w:ascii="宋体" w:hAnsi="宋体" w:eastAsia="宋体" w:cs="宋体"/>
          <w:sz w:val="24"/>
          <w:szCs w:val="24"/>
          <w:shd w:val="clear" w:color="auto" w:fill="FFFFFF"/>
        </w:rPr>
        <w:t xml:space="preserve"> ，计 </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￥元（大写  </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w:t>
      </w:r>
    </w:p>
    <w:p w14:paraId="4D28813A">
      <w:pPr>
        <w:pStyle w:val="12"/>
        <w:widowControl/>
        <w:shd w:val="clear" w:color="auto" w:fill="FFFFFF"/>
        <w:spacing w:beforeAutospacing="0" w:afterAutospacing="0"/>
        <w:ind w:firstLine="420"/>
        <w:rPr>
          <w:rFonts w:hint="eastAsia" w:ascii="宋体" w:hAnsi="宋体" w:eastAsia="宋体" w:cs="宋体"/>
          <w:color w:val="FF0000"/>
          <w:sz w:val="24"/>
          <w:szCs w:val="24"/>
          <w:shd w:val="clear" w:color="auto" w:fill="FFFFFF"/>
        </w:rPr>
      </w:pPr>
      <w:r>
        <w:rPr>
          <w:rFonts w:hint="eastAsia" w:ascii="宋体" w:hAnsi="宋体" w:eastAsia="宋体" w:cs="宋体"/>
          <w:i w:val="0"/>
          <w:iCs w:val="0"/>
          <w:color w:val="FF0000"/>
          <w:kern w:val="0"/>
          <w:sz w:val="24"/>
          <w:szCs w:val="24"/>
          <w:highlight w:val="none"/>
          <w:u w:val="none"/>
          <w:lang w:val="en-US" w:eastAsia="zh-CN" w:bidi="ar"/>
        </w:rPr>
        <w:t>③合同签订后，每半年服务期满验收合格后支付当期服务费。乙方凭开具的当期合法、有效的发票及书面服务报告、维修记录、验收单等材料向甲方提出付费申请，自材料审核完成之日起10个工作日内采购人完成支付。</w:t>
      </w:r>
    </w:p>
    <w:p w14:paraId="5555FDA4">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14:paraId="6EA9E8DE">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未实行国库集中支付的单位：由甲方在规定期限内自行将货款直接支付给乙方。</w:t>
      </w:r>
    </w:p>
    <w:p w14:paraId="07E7D50A">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3、甲方付款前，乙方应向甲方开具等额有效的增值税发票，甲方未收到发票的，有权不予支付相应款项直至乙方提供合格发票，并不承担延迟付款责任。发票认证通过是付款的必要前提之一。</w:t>
      </w:r>
    </w:p>
    <w:p w14:paraId="4F9C2809">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zh-CN"/>
        </w:rPr>
        <w:t>/</w:t>
      </w:r>
      <w:r>
        <w:rPr>
          <w:rFonts w:hint="eastAsia" w:ascii="宋体" w:hAnsi="宋体" w:eastAsia="宋体" w:cs="宋体"/>
          <w:sz w:val="24"/>
          <w:szCs w:val="24"/>
          <w:shd w:val="clear" w:color="auto" w:fill="FFFFFF"/>
        </w:rPr>
        <w:t xml:space="preserve">  </w:t>
      </w:r>
    </w:p>
    <w:p w14:paraId="0B2B4414">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17" w:name="_Toc14843"/>
      <w:r>
        <w:rPr>
          <w:rStyle w:val="17"/>
          <w:rFonts w:hint="eastAsia" w:ascii="宋体" w:hAnsi="宋体" w:eastAsia="宋体" w:cs="宋体"/>
          <w:bCs/>
          <w:sz w:val="24"/>
          <w:szCs w:val="24"/>
          <w:shd w:val="clear" w:color="auto" w:fill="FFFFFF"/>
        </w:rPr>
        <w:t>五、履约保证金</w:t>
      </w:r>
      <w:bookmarkEnd w:id="17"/>
    </w:p>
    <w:p w14:paraId="0AF43D3A">
      <w:pPr>
        <w:pStyle w:val="5"/>
        <w:rPr>
          <w:rFonts w:hint="eastAsia"/>
          <w:sz w:val="24"/>
          <w:szCs w:val="24"/>
          <w:lang w:val="zh-CN"/>
        </w:rPr>
      </w:pPr>
      <w:r>
        <w:rPr>
          <w:rFonts w:hint="eastAsia"/>
          <w:sz w:val="24"/>
          <w:szCs w:val="24"/>
          <w:lang w:val="zh-CN"/>
        </w:rPr>
        <w:t>1 、本合同签订后/个工作日内，乙方应向甲方支付合同总价/%的履约保证金，作为乙方认真履行合同条款的保证。</w:t>
      </w:r>
    </w:p>
    <w:p w14:paraId="626BA0E3">
      <w:pPr>
        <w:pStyle w:val="5"/>
        <w:rPr>
          <w:rFonts w:hint="eastAsia"/>
          <w:sz w:val="24"/>
          <w:szCs w:val="24"/>
          <w:lang w:val="zh-CN"/>
        </w:rPr>
      </w:pPr>
      <w:r>
        <w:rPr>
          <w:rFonts w:hint="eastAsia"/>
          <w:sz w:val="24"/>
          <w:szCs w:val="24"/>
          <w:lang w:val="zh-CN"/>
        </w:rPr>
        <w:t>2 、乙方没有履行本合同项下约定的责任和义务所需承担的违约金、赔偿金及其他费用，甲方有权直接从履约保证金中扣除，履约保证金中不足以扣除的，甲方有权从任何一笔货款中扣除。剩余履约保证金（如有）自合同约定的质保期届满后由甲方无息返还给乙方。</w:t>
      </w:r>
    </w:p>
    <w:p w14:paraId="00D255D3">
      <w:pPr>
        <w:pStyle w:val="5"/>
        <w:rPr>
          <w:rFonts w:hint="eastAsia"/>
          <w:sz w:val="24"/>
          <w:szCs w:val="24"/>
          <w:lang w:val="zh-CN"/>
        </w:rPr>
      </w:pPr>
      <w:r>
        <w:rPr>
          <w:rFonts w:hint="eastAsia"/>
          <w:sz w:val="24"/>
          <w:szCs w:val="24"/>
          <w:lang w:val="zh-CN"/>
        </w:rPr>
        <w:t>3 、</w:t>
      </w:r>
      <w:r>
        <w:rPr>
          <w:rFonts w:hint="eastAsia"/>
          <w:color w:val="FF0000"/>
          <w:sz w:val="24"/>
          <w:szCs w:val="24"/>
          <w:lang w:val="zh-CN"/>
        </w:rPr>
        <w:t>签订合同前，</w:t>
      </w:r>
      <w:r>
        <w:rPr>
          <w:rFonts w:hint="eastAsia"/>
          <w:color w:val="FF0000"/>
          <w:sz w:val="24"/>
          <w:szCs w:val="24"/>
          <w:lang w:val="en-US" w:eastAsia="zh-CN"/>
        </w:rPr>
        <w:t>乙方</w:t>
      </w:r>
      <w:r>
        <w:rPr>
          <w:rFonts w:hint="eastAsia"/>
          <w:color w:val="FF0000"/>
          <w:sz w:val="24"/>
          <w:szCs w:val="24"/>
          <w:lang w:val="zh-CN"/>
        </w:rPr>
        <w:t>按合同金额的2%向</w:t>
      </w:r>
      <w:r>
        <w:rPr>
          <w:rFonts w:hint="eastAsia"/>
          <w:color w:val="FF0000"/>
          <w:sz w:val="24"/>
          <w:szCs w:val="24"/>
          <w:lang w:val="en-US" w:eastAsia="zh-CN"/>
        </w:rPr>
        <w:t>甲方</w:t>
      </w:r>
      <w:r>
        <w:rPr>
          <w:rFonts w:hint="eastAsia"/>
          <w:color w:val="FF0000"/>
          <w:sz w:val="24"/>
          <w:szCs w:val="24"/>
          <w:lang w:val="zh-CN"/>
        </w:rPr>
        <w:t>支付履约保证金或银行、担保机构出具的同等额度的履</w:t>
      </w:r>
      <w:bookmarkStart w:id="29" w:name="_GoBack"/>
      <w:bookmarkEnd w:id="29"/>
      <w:r>
        <w:rPr>
          <w:rFonts w:hint="eastAsia"/>
          <w:color w:val="FF0000"/>
          <w:sz w:val="24"/>
          <w:szCs w:val="24"/>
          <w:lang w:val="zh-CN"/>
        </w:rPr>
        <w:t>约保函。</w:t>
      </w:r>
      <w:r>
        <w:rPr>
          <w:rFonts w:hint="eastAsia"/>
          <w:color w:val="FF0000"/>
          <w:sz w:val="24"/>
          <w:szCs w:val="24"/>
          <w:lang w:val="en-US" w:eastAsia="zh-CN"/>
        </w:rPr>
        <w:t>乙方</w:t>
      </w:r>
      <w:r>
        <w:rPr>
          <w:rFonts w:hint="eastAsia"/>
          <w:color w:val="FF0000"/>
          <w:sz w:val="24"/>
          <w:szCs w:val="24"/>
          <w:lang w:val="zh-CN"/>
        </w:rPr>
        <w:t>供货至服务期结束，通过</w:t>
      </w:r>
      <w:r>
        <w:rPr>
          <w:rFonts w:hint="eastAsia"/>
          <w:color w:val="FF0000"/>
          <w:sz w:val="24"/>
          <w:szCs w:val="24"/>
          <w:lang w:val="en-US" w:eastAsia="zh-CN"/>
        </w:rPr>
        <w:t>甲方</w:t>
      </w:r>
      <w:r>
        <w:rPr>
          <w:rFonts w:hint="eastAsia"/>
          <w:color w:val="FF0000"/>
          <w:sz w:val="24"/>
          <w:szCs w:val="24"/>
          <w:lang w:val="zh-CN"/>
        </w:rPr>
        <w:t>验收合格后，如无质量纠纷，经</w:t>
      </w:r>
      <w:r>
        <w:rPr>
          <w:rFonts w:hint="eastAsia"/>
          <w:color w:val="FF0000"/>
          <w:sz w:val="24"/>
          <w:szCs w:val="24"/>
          <w:lang w:val="en-US" w:eastAsia="zh-CN"/>
        </w:rPr>
        <w:t>乙方</w:t>
      </w:r>
      <w:r>
        <w:rPr>
          <w:rFonts w:hint="eastAsia"/>
          <w:color w:val="FF0000"/>
          <w:sz w:val="24"/>
          <w:szCs w:val="24"/>
          <w:lang w:val="zh-CN"/>
        </w:rPr>
        <w:t>申请，</w:t>
      </w:r>
      <w:r>
        <w:rPr>
          <w:rFonts w:hint="eastAsia"/>
          <w:color w:val="FF0000"/>
          <w:sz w:val="24"/>
          <w:szCs w:val="24"/>
          <w:lang w:val="en-US" w:eastAsia="zh-CN"/>
        </w:rPr>
        <w:t>甲方</w:t>
      </w:r>
      <w:r>
        <w:rPr>
          <w:rFonts w:hint="eastAsia"/>
          <w:color w:val="FF0000"/>
          <w:sz w:val="24"/>
          <w:szCs w:val="24"/>
          <w:lang w:val="zh-CN"/>
        </w:rPr>
        <w:t>于三十个工作日内无息退回履约保证金（按合同约定被扣除的除外）。</w:t>
      </w:r>
      <w:r>
        <w:rPr>
          <w:rFonts w:hint="eastAsia"/>
          <w:color w:val="FF0000"/>
          <w:sz w:val="24"/>
          <w:szCs w:val="24"/>
          <w:lang w:val="en-US" w:eastAsia="zh-CN"/>
        </w:rPr>
        <w:t>乙方</w:t>
      </w:r>
      <w:r>
        <w:rPr>
          <w:rFonts w:hint="eastAsia"/>
          <w:color w:val="FF0000"/>
          <w:sz w:val="24"/>
          <w:szCs w:val="24"/>
          <w:lang w:val="zh-CN"/>
        </w:rPr>
        <w:t>在服务期内如有违约事项，</w:t>
      </w:r>
      <w:r>
        <w:rPr>
          <w:rFonts w:hint="eastAsia"/>
          <w:color w:val="FF0000"/>
          <w:sz w:val="24"/>
          <w:szCs w:val="24"/>
          <w:lang w:val="en-US" w:eastAsia="zh-CN"/>
        </w:rPr>
        <w:t>甲方</w:t>
      </w:r>
      <w:r>
        <w:rPr>
          <w:rFonts w:hint="eastAsia"/>
          <w:color w:val="FF0000"/>
          <w:sz w:val="24"/>
          <w:szCs w:val="24"/>
          <w:lang w:val="zh-CN"/>
        </w:rPr>
        <w:t>有权直接从履约保证金中扣减违约金并要求</w:t>
      </w:r>
      <w:r>
        <w:rPr>
          <w:rFonts w:hint="eastAsia"/>
          <w:color w:val="FF0000"/>
          <w:sz w:val="24"/>
          <w:szCs w:val="24"/>
          <w:lang w:val="en-US" w:eastAsia="zh-CN"/>
        </w:rPr>
        <w:t>乙方</w:t>
      </w:r>
      <w:r>
        <w:rPr>
          <w:rFonts w:hint="eastAsia"/>
          <w:color w:val="FF0000"/>
          <w:sz w:val="24"/>
          <w:szCs w:val="24"/>
          <w:lang w:val="zh-CN"/>
        </w:rPr>
        <w:t>补足。履约保证金不足以赔偿损失的，超出部分由</w:t>
      </w:r>
      <w:r>
        <w:rPr>
          <w:rFonts w:hint="eastAsia"/>
          <w:color w:val="FF0000"/>
          <w:sz w:val="24"/>
          <w:szCs w:val="24"/>
          <w:lang w:val="en-US" w:eastAsia="zh-CN"/>
        </w:rPr>
        <w:t>乙方</w:t>
      </w:r>
      <w:r>
        <w:rPr>
          <w:rFonts w:hint="eastAsia"/>
          <w:color w:val="FF0000"/>
          <w:sz w:val="24"/>
          <w:szCs w:val="24"/>
          <w:lang w:val="zh-CN"/>
        </w:rPr>
        <w:t>另行赔偿。</w:t>
      </w:r>
    </w:p>
    <w:p w14:paraId="5B32C70F">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18" w:name="_Toc23510"/>
      <w:r>
        <w:rPr>
          <w:rStyle w:val="17"/>
          <w:rFonts w:hint="eastAsia" w:ascii="宋体" w:hAnsi="宋体" w:eastAsia="宋体" w:cs="宋体"/>
          <w:bCs/>
          <w:sz w:val="24"/>
          <w:szCs w:val="24"/>
          <w:shd w:val="clear" w:color="auto" w:fill="FFFFFF"/>
        </w:rPr>
        <w:t>六、质量保证与权利保证</w:t>
      </w:r>
      <w:bookmarkEnd w:id="18"/>
    </w:p>
    <w:p w14:paraId="2B629626">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14:paraId="26226699">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2、货物质量应符合生产厂家的出厂标准和现行国家、行业各项标准，出厂标准与国家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行业标准要求不一致时，以要求较高者为准。</w:t>
      </w:r>
    </w:p>
    <w:p w14:paraId="495B9FA5">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3、乙方保证其对货物及服务项下所有内容拥有完整、独立、有效的所有权，且完全有能力授权甲方永久、免费、全球范围内使用货物附属软件（如有）。</w:t>
      </w:r>
    </w:p>
    <w:p w14:paraId="5B6BA57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4、乙方保证其交付的所有货物、软件及服务等，不会侵犯任何第三方的知识产权和其它权益。如因此发生任何针对甲方的争议、索赔、诉讼等，产生的一切法律责任与费用均由乙方承担。</w:t>
      </w:r>
    </w:p>
    <w:p w14:paraId="766CDB47">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05366D54">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19" w:name="_Toc4190"/>
      <w:r>
        <w:rPr>
          <w:rStyle w:val="17"/>
          <w:rFonts w:hint="eastAsia" w:ascii="宋体" w:hAnsi="宋体" w:eastAsia="宋体" w:cs="宋体"/>
          <w:bCs/>
          <w:sz w:val="24"/>
          <w:szCs w:val="24"/>
          <w:shd w:val="clear" w:color="auto" w:fill="FFFFFF"/>
        </w:rPr>
        <w:t>七、转包或分包</w:t>
      </w:r>
      <w:bookmarkEnd w:id="19"/>
    </w:p>
    <w:p w14:paraId="373A23B9">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1、本合同范围的货物，应由乙方直接供应，不得转让他人供应，否则，甲方有权解除合同，没收履约保证金并追究乙方的违约责任。</w:t>
      </w:r>
    </w:p>
    <w:p w14:paraId="31F9CA09">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2E0731A0">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20" w:name="_Toc17897"/>
      <w:r>
        <w:rPr>
          <w:rStyle w:val="17"/>
          <w:rFonts w:hint="eastAsia" w:ascii="宋体" w:hAnsi="宋体" w:eastAsia="宋体" w:cs="宋体"/>
          <w:bCs/>
          <w:sz w:val="24"/>
          <w:szCs w:val="24"/>
          <w:shd w:val="clear" w:color="auto" w:fill="FFFFFF"/>
        </w:rPr>
        <w:t>八、货物包装</w:t>
      </w:r>
      <w:bookmarkEnd w:id="20"/>
    </w:p>
    <w:p w14:paraId="2836D1EC">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均由乙方承担。</w:t>
      </w:r>
    </w:p>
    <w:p w14:paraId="026AD50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乙方应向甲方提供使用货物的有关技术资料，包括相应的每套设备和仪器的中文技术文件，例如：商品目录、图纸、使用说明、质量检验证明、操作手册，维护手册或服务指南等。该类文件应包装好随货发运。</w:t>
      </w:r>
    </w:p>
    <w:p w14:paraId="1DA02AE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  </w:t>
      </w:r>
    </w:p>
    <w:p w14:paraId="3B96E55A">
      <w:pPr>
        <w:pStyle w:val="12"/>
        <w:widowControl/>
        <w:shd w:val="clear" w:color="auto" w:fill="FFFFFF"/>
        <w:spacing w:before="156" w:beforeLines="50" w:beforeAutospacing="0" w:after="156" w:afterLines="50" w:afterAutospacing="0"/>
        <w:outlineLvl w:val="0"/>
        <w:rPr>
          <w:rFonts w:hint="eastAsia" w:ascii="宋体" w:hAnsi="宋体" w:eastAsia="宋体" w:cs="宋体"/>
          <w:sz w:val="24"/>
          <w:szCs w:val="24"/>
        </w:rPr>
      </w:pPr>
      <w:bookmarkStart w:id="21" w:name="_Toc1936"/>
      <w:r>
        <w:rPr>
          <w:rStyle w:val="17"/>
          <w:rFonts w:hint="eastAsia" w:ascii="宋体" w:hAnsi="宋体" w:eastAsia="宋体" w:cs="宋体"/>
          <w:bCs/>
          <w:sz w:val="24"/>
          <w:szCs w:val="24"/>
          <w:shd w:val="clear" w:color="auto" w:fill="FFFFFF"/>
        </w:rPr>
        <w:t>九、货物交付</w:t>
      </w:r>
      <w:bookmarkEnd w:id="21"/>
    </w:p>
    <w:p w14:paraId="45D0DEBD">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1、交货期：自合同签订之日起甲方书面通知乙方要求供货，</w:t>
      </w:r>
      <w:r>
        <w:rPr>
          <w:rFonts w:hint="eastAsia" w:ascii="宋体" w:hAnsi="宋体" w:eastAsia="宋体" w:cs="宋体"/>
          <w:sz w:val="24"/>
          <w:szCs w:val="24"/>
          <w:shd w:val="clear" w:color="auto" w:fill="FFFFFF"/>
          <w:lang w:val="en-US" w:eastAsia="zh-CN"/>
        </w:rPr>
        <w:t>自甲方书面通知之日起</w:t>
      </w:r>
      <w:r>
        <w:rPr>
          <w:rFonts w:hint="eastAsia" w:ascii="宋体" w:hAnsi="宋体" w:eastAsia="宋体" w:cs="宋体"/>
          <w:sz w:val="24"/>
          <w:szCs w:val="24"/>
          <w:u w:val="single"/>
          <w:shd w:val="clear" w:color="auto" w:fill="FFFFFF"/>
        </w:rPr>
        <w:t xml:space="preserve">  </w:t>
      </w:r>
      <w:r>
        <w:rPr>
          <w:rFonts w:hint="eastAsia" w:ascii="宋体" w:hAnsi="宋体" w:eastAsia="宋体" w:cs="宋体"/>
          <w:color w:val="FF0000"/>
          <w:sz w:val="24"/>
          <w:szCs w:val="24"/>
          <w:u w:val="single"/>
          <w:shd w:val="clear" w:color="auto" w:fill="FFFFFF"/>
        </w:rPr>
        <w:t>30</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日内交付并安装验收完毕。</w:t>
      </w:r>
    </w:p>
    <w:p w14:paraId="31AC8738">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2、交货方式：</w:t>
      </w:r>
      <w:r>
        <w:rPr>
          <w:rFonts w:hint="eastAsia" w:ascii="宋体" w:hAnsi="宋体" w:eastAsia="宋体" w:cs="宋体"/>
          <w:sz w:val="24"/>
          <w:szCs w:val="24"/>
          <w:u w:val="single"/>
          <w:shd w:val="clear" w:color="auto" w:fill="FFFFFF"/>
        </w:rPr>
        <w:t xml:space="preserve">  </w:t>
      </w:r>
      <w:r>
        <w:rPr>
          <w:rFonts w:hint="eastAsia" w:ascii="宋体" w:hAnsi="宋体" w:eastAsia="宋体" w:cs="宋体"/>
          <w:color w:val="FF0000"/>
          <w:sz w:val="24"/>
          <w:szCs w:val="24"/>
          <w:u w:val="single"/>
          <w:shd w:val="clear" w:color="auto" w:fill="FFFFFF"/>
        </w:rPr>
        <w:t>现场交货</w:t>
      </w:r>
      <w:r>
        <w:rPr>
          <w:rFonts w:hint="eastAsia" w:ascii="宋体" w:hAnsi="宋体" w:eastAsia="宋体" w:cs="宋体"/>
          <w:sz w:val="24"/>
          <w:szCs w:val="24"/>
          <w:u w:val="single"/>
          <w:shd w:val="clear" w:color="auto" w:fill="FFFFFF"/>
        </w:rPr>
        <w:t xml:space="preserve">  </w:t>
      </w:r>
    </w:p>
    <w:p w14:paraId="604ADB0D">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3、收货信息：</w:t>
      </w:r>
    </w:p>
    <w:p w14:paraId="3259FC3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（1）收货人：</w:t>
      </w:r>
      <w:r>
        <w:rPr>
          <w:rFonts w:hint="eastAsia" w:ascii="宋体" w:hAnsi="宋体" w:eastAsia="宋体" w:cs="宋体"/>
          <w:color w:val="FF0000"/>
          <w:sz w:val="24"/>
          <w:szCs w:val="24"/>
          <w:shd w:val="clear" w:color="auto" w:fill="FFFFFF"/>
        </w:rPr>
        <w:t>曹尉锦 15777156141</w:t>
      </w:r>
      <w:r>
        <w:rPr>
          <w:rFonts w:hint="eastAsia" w:ascii="宋体" w:hAnsi="宋体" w:eastAsia="宋体" w:cs="宋体"/>
          <w:sz w:val="24"/>
          <w:szCs w:val="24"/>
          <w:shd w:val="clear" w:color="auto" w:fill="FFFFFF"/>
        </w:rPr>
        <w:t>；手机号码：</w:t>
      </w:r>
      <w:r>
        <w:rPr>
          <w:rFonts w:hint="eastAsia" w:ascii="宋体" w:hAnsi="宋体" w:eastAsia="宋体" w:cs="宋体"/>
          <w:color w:val="FF0000"/>
          <w:sz w:val="24"/>
          <w:szCs w:val="24"/>
          <w:shd w:val="clear" w:color="auto" w:fill="FFFFFF"/>
        </w:rPr>
        <w:t>13978679635</w:t>
      </w:r>
      <w:r>
        <w:rPr>
          <w:rFonts w:hint="eastAsia" w:ascii="宋体" w:hAnsi="宋体" w:eastAsia="宋体" w:cs="宋体"/>
          <w:sz w:val="24"/>
          <w:szCs w:val="24"/>
          <w:shd w:val="clear" w:color="auto" w:fill="FFFFFF"/>
        </w:rPr>
        <w:t>；收货地址：</w:t>
      </w:r>
      <w:r>
        <w:rPr>
          <w:rFonts w:hint="eastAsia" w:ascii="宋体" w:hAnsi="宋体" w:eastAsia="宋体" w:cs="宋体"/>
          <w:color w:val="FF0000"/>
          <w:sz w:val="24"/>
          <w:szCs w:val="24"/>
          <w:shd w:val="clear" w:color="auto" w:fill="FFFFFF"/>
        </w:rPr>
        <w:t>甲方指定地点</w:t>
      </w:r>
      <w:r>
        <w:rPr>
          <w:rFonts w:hint="eastAsia" w:ascii="宋体" w:hAnsi="宋体" w:eastAsia="宋体" w:cs="宋体"/>
          <w:sz w:val="24"/>
          <w:szCs w:val="24"/>
          <w:shd w:val="clear" w:color="auto" w:fill="FFFFFF"/>
        </w:rPr>
        <w:t>；</w:t>
      </w:r>
    </w:p>
    <w:p w14:paraId="50682E21">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4、乙方应提前</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天以书面形式通知甲方货物备妥待运日期及装箱清单，甲方应为接收货物做好前期准备。如甲方不具备接收货物的条件，应在约定的交货日期</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日前以书面形式通知乙方，并重新确定交货日期。</w:t>
      </w:r>
    </w:p>
    <w:p w14:paraId="57DF4BFA">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5、交货前，乙方应对货物作出全面检查和对验收文件进行整理，并列出清单，作为甲方收货验收和使用的技术条件依据，检验的结果应随货物交甲方。</w:t>
      </w:r>
    </w:p>
    <w:p w14:paraId="674A88C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6、</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 </w:t>
      </w:r>
    </w:p>
    <w:p w14:paraId="31C51A4E">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2" w:name="_Toc18616"/>
      <w:r>
        <w:rPr>
          <w:rStyle w:val="17"/>
          <w:rFonts w:hint="eastAsia" w:ascii="宋体" w:hAnsi="宋体" w:eastAsia="宋体" w:cs="宋体"/>
          <w:bCs/>
          <w:sz w:val="24"/>
          <w:szCs w:val="24"/>
          <w:shd w:val="clear" w:color="auto" w:fill="FFFFFF"/>
        </w:rPr>
        <w:t>十、安装与验收</w:t>
      </w:r>
      <w:bookmarkEnd w:id="22"/>
    </w:p>
    <w:p w14:paraId="696C55F4">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1、到货验收：货物运抵甲方指定地点后，甲方应依据本合同及</w:t>
      </w:r>
      <w:r>
        <w:rPr>
          <w:rFonts w:hint="eastAsia" w:ascii="宋体" w:hAnsi="宋体" w:cs="宋体"/>
          <w:sz w:val="24"/>
          <w:szCs w:val="24"/>
          <w:shd w:val="clear" w:color="auto" w:fill="FFFFFF"/>
          <w:lang w:eastAsia="zh-CN"/>
        </w:rPr>
        <w:t>在线询价</w:t>
      </w:r>
      <w:r>
        <w:rPr>
          <w:rFonts w:hint="eastAsia" w:ascii="宋体" w:hAnsi="宋体" w:eastAsia="宋体" w:cs="宋体"/>
          <w:sz w:val="24"/>
          <w:szCs w:val="24"/>
          <w:shd w:val="clear" w:color="auto" w:fill="FFFFFF"/>
        </w:rPr>
        <w:t>文件上的技术规格要求和国家有关质量标准及时进行验收。如发生所供货物与合同约定不符，甲方有权退货或要求乙方进行更换、补齐，因此造成逾期交货的，乙方应承担逾期交货的违约责任。乙方应在接到甲方要求后</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日内予以补救，所产生的费用及法律后果由乙方承担。</w:t>
      </w:r>
    </w:p>
    <w:p w14:paraId="799DD1AE">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安装调试：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14:paraId="38836ADC">
      <w:pPr>
        <w:pStyle w:val="12"/>
        <w:widowControl/>
        <w:shd w:val="clear" w:color="auto" w:fill="FFFFFF"/>
        <w:spacing w:beforeAutospacing="0" w:afterAutospacing="0"/>
        <w:rPr>
          <w:rFonts w:hint="eastAsia" w:ascii="宋体" w:hAnsi="宋体" w:eastAsia="宋体" w:cs="宋体"/>
          <w:sz w:val="24"/>
          <w:szCs w:val="24"/>
        </w:rPr>
      </w:pPr>
      <w:r>
        <w:rPr>
          <w:rFonts w:hint="eastAsia" w:ascii="宋体" w:hAnsi="宋体" w:eastAsia="宋体" w:cs="宋体"/>
          <w:sz w:val="24"/>
          <w:szCs w:val="24"/>
          <w:shd w:val="clear" w:color="auto" w:fill="FFFFFF"/>
        </w:rPr>
        <w:t>安装调试过程中，乙方应采取安全保障措施，保证人员安全。如因乙方原因造成人员伤亡和财产损失的，乙方应承担全部赔偿责任。</w:t>
      </w:r>
    </w:p>
    <w:p w14:paraId="38CE6F9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日内采取措施消除缺陷后重新申请终验，并承担由此产生的费用。</w:t>
      </w:r>
    </w:p>
    <w:p w14:paraId="000773DA">
      <w:pPr>
        <w:pStyle w:val="5"/>
        <w:ind w:firstLine="480" w:firstLineChars="200"/>
        <w:rPr>
          <w:rFonts w:hint="eastAsia" w:ascii="宋体" w:hAnsi="宋体" w:eastAsia="宋体" w:cs="宋体"/>
          <w:sz w:val="24"/>
          <w:szCs w:val="24"/>
        </w:rPr>
      </w:pPr>
      <w:r>
        <w:rPr>
          <w:rFonts w:hint="eastAsia" w:ascii="宋体" w:hAnsi="宋体" w:eastAsia="宋体" w:cs="宋体"/>
          <w:sz w:val="24"/>
          <w:szCs w:val="24"/>
          <w:highlight w:val="none"/>
          <w:shd w:val="clear" w:color="auto" w:fill="FFFFFF"/>
        </w:rPr>
        <w:t>4、</w:t>
      </w:r>
      <w:r>
        <w:rPr>
          <w:rFonts w:hint="eastAsia"/>
          <w:sz w:val="24"/>
          <w:szCs w:val="24"/>
          <w:lang w:val="zh-CN"/>
        </w:rPr>
        <w:t>对技术复杂的货物，甲方可请国家认可的专业检测机构参与验收，并由其出具质量检测报告，检测费用由/方承担。</w:t>
      </w:r>
    </w:p>
    <w:p w14:paraId="23709E21">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5、货物毁损、灭失的风险，自货物最终验收合格之日起由甲方承担。</w:t>
      </w:r>
    </w:p>
    <w:p w14:paraId="797C7B1A">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6、</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3E0A7472">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3" w:name="_Toc11290"/>
      <w:r>
        <w:rPr>
          <w:rStyle w:val="17"/>
          <w:rFonts w:hint="eastAsia" w:ascii="宋体" w:hAnsi="宋体" w:eastAsia="宋体" w:cs="宋体"/>
          <w:bCs/>
          <w:sz w:val="24"/>
          <w:szCs w:val="24"/>
          <w:shd w:val="clear" w:color="auto" w:fill="FFFFFF"/>
        </w:rPr>
        <w:t>十一、保修与售后服务</w:t>
      </w:r>
      <w:bookmarkEnd w:id="23"/>
    </w:p>
    <w:p w14:paraId="78C799A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1、质保期为</w:t>
      </w:r>
      <w:r>
        <w:rPr>
          <w:rFonts w:hint="eastAsia" w:ascii="宋体" w:hAnsi="宋体" w:eastAsia="宋体" w:cs="宋体"/>
          <w:sz w:val="24"/>
          <w:szCs w:val="24"/>
          <w:u w:val="single"/>
          <w:shd w:val="clear" w:color="auto" w:fill="FFFFFF"/>
        </w:rPr>
        <w:t xml:space="preserve"> 3</w:t>
      </w:r>
      <w:r>
        <w:rPr>
          <w:rFonts w:hint="eastAsia" w:ascii="宋体" w:hAnsi="宋体" w:eastAsia="宋体" w:cs="宋体"/>
          <w:sz w:val="24"/>
          <w:szCs w:val="24"/>
          <w:shd w:val="clear" w:color="auto" w:fill="FFFFFF"/>
        </w:rPr>
        <w:t>年</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若厂家免费质保期超过此年限的，按厂家规定执行，并提供终身维护支持</w:t>
      </w:r>
      <w:r>
        <w:rPr>
          <w:rFonts w:hint="eastAsia" w:ascii="宋体" w:hAnsi="宋体" w:eastAsia="宋体" w:cs="宋体"/>
          <w:sz w:val="24"/>
          <w:szCs w:val="24"/>
          <w:u w:val="none"/>
          <w:shd w:val="clear" w:color="auto" w:fill="FFFFFF"/>
          <w:lang w:eastAsia="zh-CN"/>
        </w:rPr>
        <w:t>）</w:t>
      </w:r>
      <w:r>
        <w:rPr>
          <w:rFonts w:hint="eastAsia" w:ascii="宋体" w:hAnsi="宋体" w:eastAsia="宋体" w:cs="宋体"/>
          <w:sz w:val="24"/>
          <w:szCs w:val="24"/>
          <w:shd w:val="clear" w:color="auto" w:fill="FFFFFF"/>
        </w:rPr>
        <w:t>，</w:t>
      </w:r>
      <w:r>
        <w:rPr>
          <w:rFonts w:hint="eastAsia" w:ascii="宋体" w:hAnsi="宋体" w:eastAsia="宋体" w:cs="宋体"/>
          <w:sz w:val="24"/>
          <w:szCs w:val="24"/>
          <w:u w:val="single"/>
          <w:shd w:val="clear" w:color="auto" w:fill="FFFFFF"/>
        </w:rPr>
        <w:t xml:space="preserve"> 自验收合格之日 </w:t>
      </w:r>
      <w:r>
        <w:rPr>
          <w:rFonts w:hint="eastAsia" w:ascii="宋体" w:hAnsi="宋体" w:eastAsia="宋体" w:cs="宋体"/>
          <w:sz w:val="24"/>
          <w:szCs w:val="24"/>
          <w:shd w:val="clear" w:color="auto" w:fill="FFFFFF"/>
        </w:rPr>
        <w:t>起至质保期届满且经甲方确认无任何质量问题时止。</w:t>
      </w:r>
    </w:p>
    <w:p w14:paraId="7146028A">
      <w:pPr>
        <w:pStyle w:val="12"/>
        <w:widowControl/>
        <w:shd w:val="clear" w:color="auto" w:fill="FFFFFF"/>
        <w:spacing w:beforeAutospacing="0" w:afterAutospacing="0"/>
        <w:ind w:firstLine="420"/>
        <w:outlineLvl w:val="1"/>
        <w:rPr>
          <w:rFonts w:hint="eastAsia" w:ascii="宋体" w:hAnsi="宋体" w:eastAsia="宋体" w:cs="宋体"/>
          <w:sz w:val="24"/>
          <w:szCs w:val="24"/>
        </w:rPr>
      </w:pPr>
      <w:r>
        <w:rPr>
          <w:rFonts w:hint="eastAsia" w:ascii="宋体" w:hAnsi="宋体" w:eastAsia="宋体" w:cs="宋体"/>
          <w:sz w:val="24"/>
          <w:szCs w:val="24"/>
          <w:shd w:val="clear" w:color="auto" w:fill="FFFFFF"/>
        </w:rPr>
        <w:t>2、技术支持</w:t>
      </w:r>
    </w:p>
    <w:p w14:paraId="6F3EBD4E">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（1）远程技术支持：乙方应具有稳定的技术支持队伍和完善的服务支持网络，提供</w:t>
      </w:r>
      <w:r>
        <w:rPr>
          <w:rFonts w:hint="eastAsia" w:ascii="宋体" w:hAnsi="宋体" w:eastAsia="宋体" w:cs="宋体"/>
          <w:sz w:val="24"/>
          <w:szCs w:val="24"/>
          <w:u w:val="single"/>
          <w:shd w:val="clear" w:color="auto" w:fill="FFFFFF"/>
        </w:rPr>
        <w:t xml:space="preserve">   24   </w:t>
      </w:r>
      <w:r>
        <w:rPr>
          <w:rFonts w:hint="eastAsia" w:ascii="宋体" w:hAnsi="宋体" w:eastAsia="宋体" w:cs="宋体"/>
          <w:sz w:val="24"/>
          <w:szCs w:val="24"/>
          <w:shd w:val="clear" w:color="auto" w:fill="FFFFFF"/>
        </w:rPr>
        <w:t>小时技术支持服务，及时响应甲方的技术服务支持需求，提出有效的解决方案，解决甲方在货物使用过程中遇到的实际问题。</w:t>
      </w:r>
    </w:p>
    <w:p w14:paraId="3358AA8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（2）现场技术支持：对于通过电话、邮件等远程技术支持不能解决的问题，乙方应在</w:t>
      </w:r>
      <w:r>
        <w:rPr>
          <w:rFonts w:hint="eastAsia" w:ascii="宋体" w:hAnsi="宋体" w:eastAsia="宋体" w:cs="宋体"/>
          <w:sz w:val="24"/>
          <w:szCs w:val="24"/>
          <w:u w:val="single"/>
          <w:shd w:val="clear" w:color="auto" w:fill="FFFFFF"/>
        </w:rPr>
        <w:t xml:space="preserve">   2   </w:t>
      </w:r>
      <w:r>
        <w:rPr>
          <w:rFonts w:hint="eastAsia" w:ascii="宋体" w:hAnsi="宋体" w:eastAsia="宋体" w:cs="宋体"/>
          <w:sz w:val="24"/>
          <w:szCs w:val="24"/>
          <w:shd w:val="clear" w:color="auto" w:fill="FFFFFF"/>
        </w:rPr>
        <w:t>小时内派遣相关人员赶赴现场，</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 xml:space="preserve">12 </w:t>
      </w:r>
      <w:r>
        <w:rPr>
          <w:rFonts w:hint="eastAsia" w:ascii="宋体" w:hAnsi="宋体" w:eastAsia="宋体" w:cs="宋体"/>
          <w:sz w:val="24"/>
          <w:szCs w:val="24"/>
          <w:shd w:val="clear" w:color="auto" w:fill="FFFFFF"/>
        </w:rPr>
        <w:t>小时内维修完毕；发生紧急抢修事故的，乙方应在接到甲方通知后</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小时内到达现场抢修，并于到达现场</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12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小时之内排除故障。乙方未在约定时间内修复的或同一货物经</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次维修后仍不能稳定、可靠运行的，甲方有权要求乙方免费更换。返修或更换后的部件保修期应重新计算。</w:t>
      </w:r>
    </w:p>
    <w:p w14:paraId="33D899D6">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（3）技术升级支持：乙方应提供货物所配置软件的终身免费维护和升级服务，保证货物正常运行，且不影响甲方其它运行环境。</w:t>
      </w:r>
    </w:p>
    <w:p w14:paraId="0E69D3A9">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3、在质保期内，乙方应对货物出现的质量及安全问题负责处理解决并承担一切费用。</w:t>
      </w:r>
    </w:p>
    <w:p w14:paraId="61522F8B">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4、质保期届满后，乙方对本合同项下货物提供终身维修服务，且维修时只收取所需维修部件的成本费，服务内容应与质保期内的要求相一致。</w:t>
      </w:r>
    </w:p>
    <w:p w14:paraId="2120DDCC">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w:t>
      </w:r>
      <w:r>
        <w:rPr>
          <w:rFonts w:hint="eastAsia" w:ascii="宋体" w:hAnsi="宋体" w:eastAsia="宋体" w:cs="宋体"/>
          <w:sz w:val="24"/>
          <w:szCs w:val="24"/>
          <w:u w:val="single"/>
          <w:shd w:val="clear" w:color="auto" w:fill="FFFFFF"/>
        </w:rPr>
        <w:t>在服务期内，</w:t>
      </w:r>
      <w:r>
        <w:rPr>
          <w:rFonts w:hint="eastAsia" w:ascii="宋体" w:hAnsi="宋体" w:eastAsia="宋体" w:cs="宋体"/>
          <w:sz w:val="24"/>
          <w:szCs w:val="24"/>
          <w:u w:val="single"/>
          <w:shd w:val="clear" w:color="auto" w:fill="FFFFFF"/>
          <w:lang w:val="en-US" w:eastAsia="zh-CN"/>
        </w:rPr>
        <w:t>乙方</w:t>
      </w:r>
      <w:r>
        <w:rPr>
          <w:rFonts w:hint="eastAsia" w:ascii="宋体" w:hAnsi="宋体" w:eastAsia="宋体" w:cs="宋体"/>
          <w:sz w:val="24"/>
          <w:szCs w:val="24"/>
          <w:u w:val="single"/>
          <w:shd w:val="clear" w:color="auto" w:fill="FFFFFF"/>
        </w:rPr>
        <w:t>应严格遵守《中华人民共和国电信条例》，维护双方权益，按工信部颁布的《电信服务标准》的电路质量要求，保证</w:t>
      </w:r>
      <w:r>
        <w:rPr>
          <w:rFonts w:hint="eastAsia" w:ascii="宋体" w:hAnsi="宋体" w:eastAsia="宋体" w:cs="宋体"/>
          <w:sz w:val="24"/>
          <w:szCs w:val="24"/>
          <w:u w:val="single"/>
          <w:shd w:val="clear" w:color="auto" w:fill="FFFFFF"/>
          <w:lang w:val="en-US" w:eastAsia="zh-CN"/>
        </w:rPr>
        <w:t>甲方</w:t>
      </w:r>
      <w:r>
        <w:rPr>
          <w:rFonts w:hint="eastAsia" w:ascii="宋体" w:hAnsi="宋体" w:eastAsia="宋体" w:cs="宋体"/>
          <w:sz w:val="24"/>
          <w:szCs w:val="24"/>
          <w:u w:val="single"/>
          <w:shd w:val="clear" w:color="auto" w:fill="FFFFFF"/>
        </w:rPr>
        <w:t xml:space="preserve">系统畅通及安全使用。为保证采购人网络的连续稳定运行。     </w:t>
      </w:r>
    </w:p>
    <w:p w14:paraId="0697D0A6">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4" w:name="_Toc8659"/>
      <w:r>
        <w:rPr>
          <w:rStyle w:val="17"/>
          <w:rFonts w:hint="eastAsia" w:ascii="宋体" w:hAnsi="宋体" w:eastAsia="宋体" w:cs="宋体"/>
          <w:bCs/>
          <w:sz w:val="24"/>
          <w:szCs w:val="24"/>
          <w:shd w:val="clear" w:color="auto" w:fill="FFFFFF"/>
        </w:rPr>
        <w:t>十二、保密条款</w:t>
      </w:r>
      <w:bookmarkEnd w:id="24"/>
    </w:p>
    <w:p w14:paraId="06761112">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1、乙方对履行合同过程中所获悉的属于甲方的且无法自公开渠道获得的文件及资料，应负保密义务，未经甲方书面同意，不得擅自利用或对外发表或披露。违反前述约定的，乙方应向甲方支付违约金</w:t>
      </w:r>
      <w:r>
        <w:rPr>
          <w:rFonts w:hint="eastAsia" w:ascii="宋体" w:hAnsi="宋体" w:eastAsia="宋体" w:cs="宋体"/>
          <w:sz w:val="24"/>
          <w:szCs w:val="24"/>
          <w:u w:val="single"/>
          <w:shd w:val="clear" w:color="auto" w:fill="FFFFFF"/>
        </w:rPr>
        <w:t xml:space="preserve"> 壹 </w:t>
      </w:r>
      <w:r>
        <w:rPr>
          <w:rFonts w:hint="eastAsia" w:ascii="宋体" w:hAnsi="宋体" w:eastAsia="宋体" w:cs="宋体"/>
          <w:sz w:val="24"/>
          <w:szCs w:val="24"/>
          <w:shd w:val="clear" w:color="auto" w:fill="FFFFFF"/>
        </w:rPr>
        <w:t>万元；违约金不足以弥补甲方损失的，乙方还应负责赔偿。保密期限自乙方接收或知悉甲方信息资料之日起至该信息资料公开之日或甲方书面解除乙方保密义务之日止。</w:t>
      </w:r>
    </w:p>
    <w:p w14:paraId="39F2E8C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2C4AE884">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5" w:name="_Toc25527"/>
      <w:r>
        <w:rPr>
          <w:rStyle w:val="17"/>
          <w:rFonts w:hint="eastAsia" w:ascii="宋体" w:hAnsi="宋体" w:eastAsia="宋体" w:cs="宋体"/>
          <w:bCs/>
          <w:sz w:val="24"/>
          <w:szCs w:val="24"/>
          <w:shd w:val="clear" w:color="auto" w:fill="FFFFFF"/>
        </w:rPr>
        <w:t>十三、违约责任</w:t>
      </w:r>
      <w:bookmarkEnd w:id="25"/>
    </w:p>
    <w:p w14:paraId="412D298A">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1、本合同项下货物在交货、安装调试、验收及质保期等任何阶段内不符合合同约定的技术规范要求和验收标准的，甲方有权向乙方索赔并选择下列一项或多项补救措施：</w:t>
      </w:r>
    </w:p>
    <w:p w14:paraId="32378009">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（1）由乙方采取措施消除设备缺陷或不符合合同之处，如果乙方不能及时消除缺陷，甲方有权自行消除缺陷或不符合合同之处，由此产生的一切费用均由乙方承担。</w:t>
      </w:r>
    </w:p>
    <w:p w14:paraId="68D79B96">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（2）由乙方在接到甲方通知后</w:t>
      </w:r>
      <w:r>
        <w:rPr>
          <w:rFonts w:hint="eastAsia" w:ascii="宋体" w:hAnsi="宋体" w:eastAsia="宋体" w:cs="宋体"/>
          <w:sz w:val="24"/>
          <w:szCs w:val="24"/>
          <w:u w:val="single"/>
          <w:shd w:val="clear" w:color="auto" w:fill="FFFFFF"/>
        </w:rPr>
        <w:t xml:space="preserve">  15 </w:t>
      </w:r>
      <w:r>
        <w:rPr>
          <w:rFonts w:hint="eastAsia" w:ascii="宋体" w:hAnsi="宋体" w:eastAsia="宋体" w:cs="宋体"/>
          <w:sz w:val="24"/>
          <w:szCs w:val="24"/>
          <w:shd w:val="clear" w:color="auto" w:fill="FFFFFF"/>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3C835FF1">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（3）根据货物的低劣程度、损坏程度以及甲方所遭受损失的数额，乙方必须降低货物的价格。</w:t>
      </w:r>
    </w:p>
    <w:p w14:paraId="109C5D1E">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（4）退货，乙方应退还甲方支付的全部合同款，同时应承担该货物的直接费用（运输、保险、检验、货款利息及银行手续费等）。</w:t>
      </w:r>
    </w:p>
    <w:p w14:paraId="211B1FD0">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2、甲方无正当理由拒收货物的，应向乙方偿付拒收货款总值</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%的违约金。</w:t>
      </w:r>
    </w:p>
    <w:p w14:paraId="246AFC42">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3、甲方无故逾期验收和办理货款支付手续的，每逾期一日，应按逾期付款总额</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‰向乙方支付违约金。</w:t>
      </w:r>
    </w:p>
    <w:p w14:paraId="6F5E42F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4、乙方逾期交付货物的，每逾期一日，应按逾期交货总额</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20</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‰向甲方支付违约金。逾期超过约定日期</w:t>
      </w:r>
      <w:r>
        <w:rPr>
          <w:rFonts w:hint="eastAsia" w:ascii="宋体" w:hAnsi="宋体" w:eastAsia="宋体" w:cs="宋体"/>
          <w:sz w:val="24"/>
          <w:szCs w:val="24"/>
          <w:u w:val="single"/>
          <w:shd w:val="clear" w:color="auto" w:fill="FFFFFF"/>
        </w:rPr>
        <w:t xml:space="preserve">  1</w:t>
      </w:r>
      <w:r>
        <w:rPr>
          <w:rFonts w:hint="eastAsia" w:ascii="宋体" w:hAnsi="宋体" w:eastAsia="宋体" w:cs="宋体"/>
          <w:sz w:val="24"/>
          <w:szCs w:val="24"/>
          <w:u w:val="single"/>
          <w:shd w:val="clear" w:color="auto" w:fill="FFFFFF"/>
          <w:lang w:val="en-US" w:eastAsia="zh-CN"/>
        </w:rPr>
        <w:t>0</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个工作日不能交货的，甲方有权解除本合同，并要求乙方支付合同总额</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30</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%的违约金。乙方未在约定时间内完成安装调试的，参照前款约定承担违约责任。</w:t>
      </w:r>
    </w:p>
    <w:p w14:paraId="7AD11DDD">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5、乙方所交付的货物品种、型号、规格、技术参数、质量不符合合同规定及</w:t>
      </w:r>
      <w:r>
        <w:rPr>
          <w:rFonts w:hint="eastAsia" w:ascii="宋体" w:hAnsi="宋体" w:cs="宋体"/>
          <w:sz w:val="24"/>
          <w:szCs w:val="24"/>
          <w:shd w:val="clear" w:color="auto" w:fill="FFFFFF"/>
          <w:lang w:eastAsia="zh-CN"/>
        </w:rPr>
        <w:t>在线询价</w:t>
      </w:r>
      <w:r>
        <w:rPr>
          <w:rFonts w:hint="eastAsia" w:ascii="宋体" w:hAnsi="宋体" w:eastAsia="宋体" w:cs="宋体"/>
          <w:sz w:val="24"/>
          <w:szCs w:val="24"/>
          <w:shd w:val="clear" w:color="auto" w:fill="FFFFFF"/>
        </w:rPr>
        <w:t>文件规定标准的，甲方有权拒收该货物</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如甲方要求更换，</w:t>
      </w:r>
      <w:r>
        <w:rPr>
          <w:rFonts w:hint="eastAsia" w:ascii="宋体" w:hAnsi="宋体" w:eastAsia="宋体" w:cs="宋体"/>
          <w:sz w:val="24"/>
          <w:szCs w:val="24"/>
          <w:shd w:val="clear" w:color="auto" w:fill="FFFFFF"/>
        </w:rPr>
        <w:t>乙方愿意更换货物，</w:t>
      </w:r>
      <w:r>
        <w:rPr>
          <w:rFonts w:hint="eastAsia" w:ascii="宋体" w:hAnsi="宋体" w:eastAsia="宋体" w:cs="宋体"/>
          <w:sz w:val="24"/>
          <w:szCs w:val="24"/>
          <w:shd w:val="clear" w:color="auto" w:fill="FFFFFF"/>
          <w:lang w:val="en-US" w:eastAsia="zh-CN"/>
        </w:rPr>
        <w:t>仍</w:t>
      </w:r>
      <w:r>
        <w:rPr>
          <w:rFonts w:hint="eastAsia" w:ascii="宋体" w:hAnsi="宋体" w:eastAsia="宋体" w:cs="宋体"/>
          <w:sz w:val="24"/>
          <w:szCs w:val="24"/>
          <w:shd w:val="clear" w:color="auto" w:fill="FFFFFF"/>
        </w:rPr>
        <w:t>按乙方逾期交货处理。乙方拒绝更换货物的，甲方可单方面解除合同，并要求乙方支付合同总值</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%的违约金，违约金不足以弥补甲方损失的，乙方还应负责赔偿。</w:t>
      </w:r>
    </w:p>
    <w:p w14:paraId="1877BA6E">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6、乙方未能按约定要求履行保修义务的，每发生一次应向甲方支付</w:t>
      </w:r>
      <w:r>
        <w:rPr>
          <w:rFonts w:hint="eastAsia" w:ascii="宋体" w:hAnsi="宋体" w:eastAsia="宋体" w:cs="宋体"/>
          <w:sz w:val="24"/>
          <w:szCs w:val="24"/>
          <w:u w:val="single"/>
          <w:shd w:val="clear" w:color="auto" w:fill="FFFFFF"/>
        </w:rPr>
        <w:t xml:space="preserve">  1000  </w:t>
      </w:r>
      <w:r>
        <w:rPr>
          <w:rFonts w:hint="eastAsia" w:ascii="宋体" w:hAnsi="宋体" w:eastAsia="宋体" w:cs="宋体"/>
          <w:sz w:val="24"/>
          <w:szCs w:val="24"/>
          <w:shd w:val="clear" w:color="auto" w:fill="FFFFFF"/>
        </w:rPr>
        <w:t>元的违约金，同时，甲方有权委托第三方进行保修，所产生的费用由乙方承担。若因货物缺陷或乙方服务质量等问题造成甲方或任何人员人身、财产损害的，乙方应承担有关责任并作出相应赔偿。</w:t>
      </w:r>
    </w:p>
    <w:p w14:paraId="7403A543">
      <w:pPr>
        <w:pStyle w:val="12"/>
        <w:widowControl/>
        <w:shd w:val="clear" w:color="auto" w:fill="FFFFFF"/>
        <w:spacing w:beforeAutospacing="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7、因乙方其他违约行为导致甲方解除合同的，乙方应向甲方支付合同总值</w:t>
      </w:r>
      <w:r>
        <w:rPr>
          <w:rFonts w:hint="eastAsia" w:ascii="宋体" w:hAnsi="宋体" w:eastAsia="宋体" w:cs="宋体"/>
          <w:sz w:val="24"/>
          <w:szCs w:val="24"/>
          <w:u w:val="single"/>
          <w:shd w:val="clear" w:color="auto" w:fill="FFFFFF"/>
        </w:rPr>
        <w:t xml:space="preserve">  3  </w:t>
      </w:r>
      <w:r>
        <w:rPr>
          <w:rFonts w:hint="eastAsia" w:ascii="宋体" w:hAnsi="宋体" w:eastAsia="宋体" w:cs="宋体"/>
          <w:sz w:val="24"/>
          <w:szCs w:val="24"/>
          <w:shd w:val="clear" w:color="auto" w:fill="FFFFFF"/>
        </w:rPr>
        <w:t>%的违约金，如造成甲方损失超过违约金的，超出部分由乙方继续承担赔偿责任。</w:t>
      </w:r>
    </w:p>
    <w:p w14:paraId="7BE9779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8、</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  </w:t>
      </w:r>
    </w:p>
    <w:p w14:paraId="36FEA8E5">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6" w:name="_Toc27860"/>
      <w:r>
        <w:rPr>
          <w:rStyle w:val="17"/>
          <w:rFonts w:hint="eastAsia" w:ascii="宋体" w:hAnsi="宋体" w:eastAsia="宋体" w:cs="宋体"/>
          <w:bCs/>
          <w:sz w:val="24"/>
          <w:szCs w:val="24"/>
          <w:shd w:val="clear" w:color="auto" w:fill="FFFFFF"/>
        </w:rPr>
        <w:t>十四、不可抗力</w:t>
      </w:r>
      <w:bookmarkEnd w:id="26"/>
    </w:p>
    <w:p w14:paraId="4FEDFDD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1、在合同有效期内，任何一方因不可抗力事件导致不能履行合同，则合同履行期可延长，其延长期与不可抗力影响期相同。</w:t>
      </w:r>
    </w:p>
    <w:p w14:paraId="12CAAEED">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5F859818">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3、不可抗力事件发生后，受不可抗力事件影响的一方应立即通知对方，并寄送有关权威机构出具的证明。同时应立即尽一切合理努力采取措施，消除影响，减少损失。</w:t>
      </w:r>
    </w:p>
    <w:p w14:paraId="63E5A081">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4、如果不可抗力事件延续</w:t>
      </w:r>
      <w:r>
        <w:rPr>
          <w:rFonts w:hint="eastAsia" w:ascii="宋体" w:hAnsi="宋体" w:eastAsia="宋体" w:cs="宋体"/>
          <w:sz w:val="24"/>
          <w:szCs w:val="24"/>
          <w:u w:val="single"/>
          <w:shd w:val="clear" w:color="auto" w:fill="FFFFFF"/>
        </w:rPr>
        <w:t xml:space="preserve">    30   </w:t>
      </w:r>
      <w:r>
        <w:rPr>
          <w:rFonts w:hint="eastAsia" w:ascii="宋体" w:hAnsi="宋体" w:eastAsia="宋体" w:cs="宋体"/>
          <w:sz w:val="24"/>
          <w:szCs w:val="24"/>
          <w:shd w:val="clear" w:color="auto" w:fill="FFFFFF"/>
        </w:rPr>
        <w:t>日以上，双方应通过友好协商，确定是否继续履行合同。</w:t>
      </w:r>
    </w:p>
    <w:p w14:paraId="7BABF25D">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5、</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6D0F2F70">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7" w:name="_Toc32083"/>
      <w:r>
        <w:rPr>
          <w:rStyle w:val="17"/>
          <w:rFonts w:hint="eastAsia" w:ascii="宋体" w:hAnsi="宋体" w:eastAsia="宋体" w:cs="宋体"/>
          <w:bCs/>
          <w:sz w:val="24"/>
          <w:szCs w:val="24"/>
          <w:shd w:val="clear" w:color="auto" w:fill="FFFFFF"/>
        </w:rPr>
        <w:t>十五、法律适用与争议解决</w:t>
      </w:r>
      <w:bookmarkEnd w:id="27"/>
    </w:p>
    <w:p w14:paraId="3260656A">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1、本合同的订立、解释、履行及争议解决，均适用中华人民共和国法律。</w:t>
      </w:r>
    </w:p>
    <w:p w14:paraId="53A8F1B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2、本合同履行过程中发生争议的，甲乙双方应友好协商；协商不成的，任何一方可向甲方所在地人民法院起诉。</w:t>
      </w:r>
    </w:p>
    <w:p w14:paraId="060DBED2">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35D9A01D">
      <w:pPr>
        <w:pStyle w:val="12"/>
        <w:widowControl/>
        <w:shd w:val="clear" w:color="auto" w:fill="FFFFFF"/>
        <w:spacing w:before="312" w:beforeLines="100" w:beforeAutospacing="0" w:after="312" w:afterLines="100" w:afterAutospacing="0"/>
        <w:outlineLvl w:val="0"/>
        <w:rPr>
          <w:rFonts w:hint="eastAsia" w:ascii="宋体" w:hAnsi="宋体" w:eastAsia="宋体" w:cs="宋体"/>
          <w:sz w:val="24"/>
          <w:szCs w:val="24"/>
        </w:rPr>
      </w:pPr>
      <w:bookmarkStart w:id="28" w:name="_Toc16321"/>
      <w:r>
        <w:rPr>
          <w:rStyle w:val="17"/>
          <w:rFonts w:hint="eastAsia" w:ascii="宋体" w:hAnsi="宋体" w:eastAsia="宋体" w:cs="宋体"/>
          <w:bCs/>
          <w:sz w:val="24"/>
          <w:szCs w:val="24"/>
          <w:shd w:val="clear" w:color="auto" w:fill="FFFFFF"/>
        </w:rPr>
        <w:t>十六、合同生效及其他</w:t>
      </w:r>
      <w:bookmarkEnd w:id="28"/>
    </w:p>
    <w:p w14:paraId="068DB524">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1、本合同经甲、乙双方加盖单位公章后生效，合同一式</w:t>
      </w:r>
      <w:r>
        <w:rPr>
          <w:rFonts w:hint="eastAsia" w:ascii="宋体" w:hAnsi="宋体" w:eastAsia="宋体" w:cs="宋体"/>
          <w:sz w:val="24"/>
          <w:szCs w:val="24"/>
          <w:shd w:val="clear" w:color="auto" w:fill="FFFFFF"/>
          <w:lang w:val="en-US" w:eastAsia="zh-CN"/>
        </w:rPr>
        <w:t>伍</w:t>
      </w:r>
      <w:r>
        <w:rPr>
          <w:rFonts w:hint="eastAsia" w:ascii="宋体" w:hAnsi="宋体" w:eastAsia="宋体" w:cs="宋体"/>
          <w:sz w:val="24"/>
          <w:szCs w:val="24"/>
          <w:shd w:val="clear" w:color="auto" w:fill="FFFFFF"/>
        </w:rPr>
        <w:t>份，甲方执肆份、乙方执壹份，具有同等法律效力。</w:t>
      </w:r>
    </w:p>
    <w:p w14:paraId="052AAED2">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2、</w:t>
      </w:r>
      <w:r>
        <w:rPr>
          <w:rFonts w:hint="eastAsia" w:ascii="宋体" w:hAnsi="宋体" w:eastAsia="宋体" w:cs="宋体"/>
          <w:sz w:val="24"/>
          <w:szCs w:val="24"/>
          <w:highlight w:val="none"/>
          <w:shd w:val="clear" w:color="auto" w:fill="FFFFFF"/>
        </w:rPr>
        <w:t>本次采购过程中形成的</w:t>
      </w:r>
      <w:r>
        <w:rPr>
          <w:rFonts w:hint="eastAsia" w:ascii="宋体" w:hAnsi="宋体" w:cs="宋体"/>
          <w:sz w:val="24"/>
          <w:szCs w:val="24"/>
          <w:highlight w:val="none"/>
          <w:shd w:val="clear" w:color="auto" w:fill="FFFFFF"/>
          <w:lang w:eastAsia="zh-CN"/>
        </w:rPr>
        <w:t>在线询价</w:t>
      </w:r>
      <w:r>
        <w:rPr>
          <w:rFonts w:hint="eastAsia" w:ascii="宋体" w:hAnsi="宋体" w:eastAsia="宋体" w:cs="宋体"/>
          <w:sz w:val="24"/>
          <w:szCs w:val="24"/>
          <w:highlight w:val="none"/>
          <w:shd w:val="clear" w:color="auto" w:fill="FFFFFF"/>
        </w:rPr>
        <w:t>文件、响应文件、补充协议、附件等与本合同具有同等法律效力</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val="en-US" w:eastAsia="zh-CN"/>
        </w:rPr>
        <w:t>为本合同的组成部分</w:t>
      </w:r>
      <w:r>
        <w:rPr>
          <w:rFonts w:hint="eastAsia" w:ascii="宋体" w:hAnsi="宋体" w:eastAsia="宋体" w:cs="宋体"/>
          <w:sz w:val="24"/>
          <w:szCs w:val="24"/>
          <w:shd w:val="clear" w:color="auto" w:fill="FFFFFF"/>
        </w:rPr>
        <w:t>。</w:t>
      </w:r>
    </w:p>
    <w:p w14:paraId="077E5727">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3、本合同未尽事宜，遵照《政府采购法》、《民法典》有关条文执行。</w:t>
      </w:r>
    </w:p>
    <w:p w14:paraId="1B37350F">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4、本合同的核心内容必须与成交结果一致。同时，未经同级财政部门批准，甲乙双方不得以任何方式签订合同以外的补充协议，擅自修改合同条款，否则将追究其相关责任。</w:t>
      </w:r>
    </w:p>
    <w:p w14:paraId="15BEA13B">
      <w:pPr>
        <w:pStyle w:val="12"/>
        <w:widowControl/>
        <w:shd w:val="clear" w:color="auto" w:fill="FFFFFF"/>
        <w:spacing w:beforeAutospacing="0" w:afterAutospacing="0"/>
        <w:ind w:firstLine="420"/>
        <w:outlineLvl w:val="1"/>
        <w:rPr>
          <w:rFonts w:hint="eastAsia" w:ascii="宋体" w:hAnsi="宋体" w:eastAsia="宋体" w:cs="宋体"/>
          <w:sz w:val="24"/>
          <w:szCs w:val="24"/>
        </w:rPr>
      </w:pPr>
      <w:r>
        <w:rPr>
          <w:rFonts w:hint="eastAsia" w:ascii="宋体" w:hAnsi="宋体" w:eastAsia="宋体" w:cs="宋体"/>
          <w:sz w:val="24"/>
          <w:szCs w:val="24"/>
          <w:shd w:val="clear" w:color="auto" w:fill="FFFFFF"/>
        </w:rPr>
        <w:t>5、本合同必须在规定时间内备案、公告。</w:t>
      </w:r>
    </w:p>
    <w:p w14:paraId="6BB344C3">
      <w:pPr>
        <w:pStyle w:val="12"/>
        <w:widowControl/>
        <w:shd w:val="clear" w:color="auto" w:fill="FFFFFF"/>
        <w:spacing w:beforeAutospacing="0" w:afterAutospacing="0"/>
        <w:ind w:firstLine="420"/>
        <w:rPr>
          <w:rFonts w:hint="eastAsia" w:ascii="宋体" w:hAnsi="宋体" w:eastAsia="宋体" w:cs="宋体"/>
          <w:sz w:val="24"/>
          <w:szCs w:val="24"/>
        </w:rPr>
      </w:pPr>
      <w:r>
        <w:rPr>
          <w:rFonts w:hint="eastAsia" w:ascii="宋体" w:hAnsi="宋体" w:eastAsia="宋体" w:cs="宋体"/>
          <w:sz w:val="24"/>
          <w:szCs w:val="24"/>
          <w:shd w:val="clear" w:color="auto" w:fill="FFFFFF"/>
        </w:rPr>
        <w:t>6、</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w:t>
      </w:r>
      <w:r>
        <w:rPr>
          <w:rFonts w:hint="eastAsia" w:ascii="宋体" w:hAnsi="宋体" w:eastAsia="宋体" w:cs="宋体"/>
          <w:sz w:val="24"/>
          <w:szCs w:val="24"/>
          <w:u w:val="single"/>
          <w:shd w:val="clear" w:color="auto" w:fill="FFFFFF"/>
        </w:rPr>
        <w:t xml:space="preserve">     </w:t>
      </w:r>
    </w:p>
    <w:p w14:paraId="6C1C6B5E">
      <w:pPr>
        <w:pStyle w:val="12"/>
        <w:widowControl/>
        <w:shd w:val="clear" w:color="auto" w:fill="FFFFFF"/>
        <w:spacing w:beforeAutospacing="0" w:afterAutospacing="0"/>
        <w:rPr>
          <w:rFonts w:hint="eastAsia" w:ascii="宋体" w:hAnsi="宋体" w:eastAsia="宋体" w:cs="宋体"/>
          <w:sz w:val="24"/>
          <w:szCs w:val="24"/>
        </w:rPr>
      </w:pPr>
    </w:p>
    <w:p w14:paraId="04CD4C38">
      <w:pPr>
        <w:pStyle w:val="12"/>
        <w:widowControl/>
        <w:shd w:val="clear" w:color="auto" w:fill="FFFFFF"/>
        <w:spacing w:beforeAutospacing="0" w:afterAutospacing="0"/>
        <w:rPr>
          <w:rFonts w:hint="eastAsia" w:ascii="宋体" w:hAnsi="宋体" w:eastAsia="宋体" w:cs="宋体"/>
          <w:sz w:val="24"/>
          <w:szCs w:val="24"/>
        </w:rPr>
      </w:pPr>
    </w:p>
    <w:p w14:paraId="186ABAA3">
      <w:pPr>
        <w:pStyle w:val="12"/>
        <w:widowControl/>
        <w:shd w:val="clear" w:color="auto" w:fill="FFFFFF"/>
        <w:spacing w:beforeAutospacing="0" w:afterAutospacing="0"/>
        <w:rPr>
          <w:rFonts w:hint="eastAsia" w:ascii="宋体" w:hAnsi="宋体" w:eastAsia="宋体" w:cs="宋体"/>
          <w:sz w:val="24"/>
          <w:szCs w:val="24"/>
        </w:rPr>
      </w:pPr>
    </w:p>
    <w:p w14:paraId="1291BF61">
      <w:pPr>
        <w:pStyle w:val="12"/>
        <w:widowControl/>
        <w:shd w:val="clear" w:color="auto" w:fill="FFFFFF"/>
        <w:spacing w:beforeAutospacing="0" w:afterAutospacing="0"/>
        <w:rPr>
          <w:rFonts w:hint="eastAsia" w:ascii="宋体" w:hAnsi="宋体" w:eastAsia="宋体" w:cs="宋体"/>
          <w:sz w:val="24"/>
          <w:szCs w:val="24"/>
        </w:rPr>
      </w:pPr>
    </w:p>
    <w:p w14:paraId="316190B5">
      <w:pPr>
        <w:pStyle w:val="12"/>
        <w:widowControl/>
        <w:shd w:val="clear" w:color="auto" w:fill="FFFFFF"/>
        <w:spacing w:beforeAutospacing="0" w:after="240" w:afterAutospacing="0"/>
        <w:ind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（本页无正文，为《政府采购</w:t>
      </w:r>
      <w:r>
        <w:rPr>
          <w:rFonts w:hint="eastAsia" w:ascii="宋体" w:hAnsi="宋体" w:cs="宋体"/>
          <w:sz w:val="24"/>
          <w:szCs w:val="24"/>
          <w:shd w:val="clear" w:color="auto" w:fill="FFFFFF"/>
          <w:lang w:eastAsia="zh-CN"/>
        </w:rPr>
        <w:t>在线询价</w:t>
      </w:r>
      <w:r>
        <w:rPr>
          <w:rFonts w:hint="eastAsia" w:ascii="宋体" w:hAnsi="宋体" w:eastAsia="宋体" w:cs="宋体"/>
          <w:sz w:val="24"/>
          <w:szCs w:val="24"/>
          <w:shd w:val="clear" w:color="auto" w:fill="FFFFFF"/>
        </w:rPr>
        <w:t>合同》之签章页）</w:t>
      </w:r>
    </w:p>
    <w:p w14:paraId="7FCECD81">
      <w:pPr>
        <w:pStyle w:val="12"/>
        <w:widowControl/>
        <w:shd w:val="clear" w:color="auto" w:fill="FFFFFF"/>
        <w:spacing w:beforeAutospacing="0" w:after="240" w:afterAutospacing="0"/>
        <w:ind w:firstLine="420"/>
        <w:rPr>
          <w:rFonts w:hint="eastAsia" w:ascii="宋体" w:hAnsi="宋体" w:eastAsia="宋体" w:cs="宋体"/>
          <w:sz w:val="24"/>
          <w:szCs w:val="24"/>
          <w:shd w:val="clear" w:color="auto" w:fill="FFFFFF"/>
        </w:rPr>
      </w:pPr>
    </w:p>
    <w:tbl>
      <w:tblPr>
        <w:tblStyle w:val="14"/>
        <w:tblW w:w="0" w:type="auto"/>
        <w:jc w:val="center"/>
        <w:shd w:val="clear" w:color="auto" w:fill="FFFFFF"/>
        <w:tblLayout w:type="autofit"/>
        <w:tblCellMar>
          <w:top w:w="15" w:type="dxa"/>
          <w:left w:w="15" w:type="dxa"/>
          <w:bottom w:w="15" w:type="dxa"/>
          <w:right w:w="15" w:type="dxa"/>
        </w:tblCellMar>
      </w:tblPr>
      <w:tblGrid>
        <w:gridCol w:w="4756"/>
        <w:gridCol w:w="5023"/>
      </w:tblGrid>
      <w:tr w14:paraId="0ABF6679">
        <w:tblPrEx>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3742A465">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甲方（公章）：</w:t>
            </w:r>
          </w:p>
        </w:tc>
        <w:tc>
          <w:tcPr>
            <w:tcW w:w="5023" w:type="dxa"/>
            <w:shd w:val="clear" w:color="auto" w:fill="FFFFFF"/>
            <w:noWrap w:val="0"/>
            <w:tcMar>
              <w:top w:w="150" w:type="dxa"/>
              <w:left w:w="150" w:type="dxa"/>
              <w:bottom w:w="150" w:type="dxa"/>
              <w:right w:w="150" w:type="dxa"/>
            </w:tcMar>
            <w:vAlign w:val="center"/>
          </w:tcPr>
          <w:p w14:paraId="3C0FA7AD">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lang w:val="en-US" w:eastAsia="zh-CN"/>
              </w:rPr>
            </w:pPr>
            <w:r>
              <w:rPr>
                <w:rFonts w:hint="eastAsia" w:ascii="宋体" w:hAnsi="宋体" w:eastAsia="宋体" w:cs="宋体"/>
                <w:kern w:val="0"/>
                <w:sz w:val="24"/>
                <w:szCs w:val="24"/>
              </w:rPr>
              <w:t>乙方（公章）：</w:t>
            </w:r>
            <w:r>
              <w:rPr>
                <w:rFonts w:hint="eastAsia" w:ascii="宋体" w:hAnsi="宋体" w:eastAsia="宋体" w:cs="宋体"/>
                <w:kern w:val="0"/>
                <w:sz w:val="24"/>
                <w:szCs w:val="24"/>
                <w:lang w:val="en-US" w:eastAsia="zh-CN"/>
              </w:rPr>
              <w:t xml:space="preserve"> </w:t>
            </w:r>
          </w:p>
        </w:tc>
      </w:tr>
      <w:tr w14:paraId="62EF8BEE">
        <w:tblPrEx>
          <w:shd w:val="clear" w:color="auto" w:fill="FFFFFF"/>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5E3B838E">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法定（授权）代表人（签字</w:t>
            </w:r>
            <w:r>
              <w:rPr>
                <w:rFonts w:hint="eastAsia" w:ascii="宋体" w:hAnsi="宋体" w:eastAsia="宋体" w:cs="宋体"/>
                <w:kern w:val="0"/>
                <w:sz w:val="24"/>
                <w:szCs w:val="24"/>
                <w:lang w:val="en-US" w:eastAsia="zh-CN"/>
              </w:rPr>
              <w:t>或盖章</w:t>
            </w:r>
            <w:r>
              <w:rPr>
                <w:rFonts w:hint="eastAsia" w:ascii="宋体" w:hAnsi="宋体" w:eastAsia="宋体" w:cs="宋体"/>
                <w:kern w:val="0"/>
                <w:sz w:val="24"/>
                <w:szCs w:val="24"/>
              </w:rPr>
              <w:t>）：</w:t>
            </w:r>
          </w:p>
        </w:tc>
        <w:tc>
          <w:tcPr>
            <w:tcW w:w="5023" w:type="dxa"/>
            <w:shd w:val="clear" w:color="auto" w:fill="FFFFFF"/>
            <w:noWrap w:val="0"/>
            <w:tcMar>
              <w:top w:w="150" w:type="dxa"/>
              <w:left w:w="150" w:type="dxa"/>
              <w:bottom w:w="150" w:type="dxa"/>
              <w:right w:w="150" w:type="dxa"/>
            </w:tcMar>
            <w:vAlign w:val="center"/>
          </w:tcPr>
          <w:p w14:paraId="7A276493">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法定（授权）代表人（签字</w:t>
            </w:r>
            <w:r>
              <w:rPr>
                <w:rFonts w:hint="eastAsia" w:ascii="宋体" w:hAnsi="宋体" w:eastAsia="宋体" w:cs="宋体"/>
                <w:kern w:val="0"/>
                <w:sz w:val="24"/>
                <w:szCs w:val="24"/>
                <w:lang w:val="en-US" w:eastAsia="zh-CN"/>
              </w:rPr>
              <w:t>或盖章</w:t>
            </w:r>
            <w:r>
              <w:rPr>
                <w:rFonts w:hint="eastAsia" w:ascii="宋体" w:hAnsi="宋体" w:eastAsia="宋体" w:cs="宋体"/>
                <w:kern w:val="0"/>
                <w:sz w:val="24"/>
                <w:szCs w:val="24"/>
              </w:rPr>
              <w:t>）： </w:t>
            </w:r>
          </w:p>
        </w:tc>
      </w:tr>
      <w:tr w14:paraId="7FE88E7E">
        <w:tblPrEx>
          <w:shd w:val="clear" w:color="auto" w:fill="FFFFFF"/>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00FFE823">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地址：</w:t>
            </w:r>
          </w:p>
        </w:tc>
        <w:tc>
          <w:tcPr>
            <w:tcW w:w="5023" w:type="dxa"/>
            <w:shd w:val="clear" w:color="auto" w:fill="FFFFFF"/>
            <w:noWrap w:val="0"/>
            <w:tcMar>
              <w:top w:w="150" w:type="dxa"/>
              <w:left w:w="150" w:type="dxa"/>
              <w:bottom w:w="150" w:type="dxa"/>
              <w:right w:w="150" w:type="dxa"/>
            </w:tcMar>
            <w:vAlign w:val="center"/>
          </w:tcPr>
          <w:p w14:paraId="61F15E8D">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地址：</w:t>
            </w:r>
          </w:p>
        </w:tc>
      </w:tr>
      <w:tr w14:paraId="62FF23E9">
        <w:tblPrEx>
          <w:shd w:val="clear" w:color="auto" w:fill="FFFFFF"/>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00E1B911">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电话：</w:t>
            </w:r>
          </w:p>
        </w:tc>
        <w:tc>
          <w:tcPr>
            <w:tcW w:w="5023" w:type="dxa"/>
            <w:shd w:val="clear" w:color="auto" w:fill="FFFFFF"/>
            <w:noWrap w:val="0"/>
            <w:tcMar>
              <w:top w:w="150" w:type="dxa"/>
              <w:left w:w="150" w:type="dxa"/>
              <w:bottom w:w="150" w:type="dxa"/>
              <w:right w:w="150" w:type="dxa"/>
            </w:tcMar>
            <w:vAlign w:val="center"/>
          </w:tcPr>
          <w:p w14:paraId="40F56BFA">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xml:space="preserve">电话：  </w:t>
            </w:r>
          </w:p>
        </w:tc>
      </w:tr>
      <w:tr w14:paraId="7EF712A7">
        <w:tblPrEx>
          <w:shd w:val="clear" w:color="auto" w:fill="FFFFFF"/>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1A860381">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开户银行：</w:t>
            </w:r>
          </w:p>
        </w:tc>
        <w:tc>
          <w:tcPr>
            <w:tcW w:w="5023" w:type="dxa"/>
            <w:shd w:val="clear" w:color="auto" w:fill="auto"/>
            <w:noWrap w:val="0"/>
            <w:tcMar>
              <w:top w:w="150" w:type="dxa"/>
              <w:left w:w="150" w:type="dxa"/>
              <w:bottom w:w="150" w:type="dxa"/>
              <w:right w:w="150" w:type="dxa"/>
            </w:tcMar>
            <w:vAlign w:val="center"/>
          </w:tcPr>
          <w:p w14:paraId="267DF983">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开户银行：</w:t>
            </w:r>
          </w:p>
        </w:tc>
      </w:tr>
      <w:tr w14:paraId="5E4B9655">
        <w:tblPrEx>
          <w:shd w:val="clear" w:color="auto" w:fill="FFFFFF"/>
          <w:tblCellMar>
            <w:top w:w="15" w:type="dxa"/>
            <w:left w:w="15" w:type="dxa"/>
            <w:bottom w:w="15" w:type="dxa"/>
            <w:right w:w="15" w:type="dxa"/>
          </w:tblCellMar>
        </w:tblPrEx>
        <w:trPr>
          <w:trHeight w:val="578" w:hRule="atLeast"/>
          <w:jc w:val="center"/>
        </w:trPr>
        <w:tc>
          <w:tcPr>
            <w:tcW w:w="4756" w:type="dxa"/>
            <w:shd w:val="clear" w:color="auto" w:fill="FFFFFF"/>
            <w:noWrap w:val="0"/>
            <w:tcMar>
              <w:top w:w="150" w:type="dxa"/>
              <w:left w:w="150" w:type="dxa"/>
              <w:bottom w:w="150" w:type="dxa"/>
              <w:right w:w="150" w:type="dxa"/>
            </w:tcMar>
            <w:vAlign w:val="center"/>
          </w:tcPr>
          <w:p w14:paraId="28D25240">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账号：</w:t>
            </w:r>
          </w:p>
        </w:tc>
        <w:tc>
          <w:tcPr>
            <w:tcW w:w="5023" w:type="dxa"/>
            <w:shd w:val="clear" w:color="auto" w:fill="auto"/>
            <w:noWrap w:val="0"/>
            <w:tcMar>
              <w:top w:w="150" w:type="dxa"/>
              <w:left w:w="150" w:type="dxa"/>
              <w:bottom w:w="150" w:type="dxa"/>
              <w:right w:w="150" w:type="dxa"/>
            </w:tcMar>
            <w:vAlign w:val="center"/>
          </w:tcPr>
          <w:p w14:paraId="3153322F">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账号： </w:t>
            </w:r>
          </w:p>
        </w:tc>
      </w:tr>
      <w:tr w14:paraId="7B5DA94F">
        <w:tblPrEx>
          <w:shd w:val="clear" w:color="auto" w:fill="FFFFFF"/>
          <w:tblCellMar>
            <w:top w:w="15" w:type="dxa"/>
            <w:left w:w="15" w:type="dxa"/>
            <w:bottom w:w="15" w:type="dxa"/>
            <w:right w:w="15" w:type="dxa"/>
          </w:tblCellMar>
        </w:tblPrEx>
        <w:trPr>
          <w:trHeight w:val="300" w:hRule="atLeast"/>
          <w:jc w:val="center"/>
        </w:trPr>
        <w:tc>
          <w:tcPr>
            <w:tcW w:w="4756" w:type="dxa"/>
            <w:shd w:val="clear" w:color="auto" w:fill="FFFFFF"/>
            <w:noWrap w:val="0"/>
            <w:tcMar>
              <w:top w:w="150" w:type="dxa"/>
              <w:left w:w="150" w:type="dxa"/>
              <w:bottom w:w="150" w:type="dxa"/>
              <w:right w:w="150" w:type="dxa"/>
            </w:tcMar>
            <w:vAlign w:val="center"/>
          </w:tcPr>
          <w:p w14:paraId="37B60950">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 签订日期：    年   月    日</w:t>
            </w:r>
          </w:p>
        </w:tc>
        <w:tc>
          <w:tcPr>
            <w:tcW w:w="5023" w:type="dxa"/>
            <w:shd w:val="clear" w:color="auto" w:fill="FFFFFF"/>
            <w:noWrap w:val="0"/>
            <w:tcMar>
              <w:top w:w="150" w:type="dxa"/>
              <w:left w:w="150" w:type="dxa"/>
              <w:bottom w:w="150" w:type="dxa"/>
              <w:right w:w="150" w:type="dxa"/>
            </w:tcMar>
            <w:vAlign w:val="center"/>
          </w:tcPr>
          <w:p w14:paraId="13172AFE">
            <w:pPr>
              <w:keepNext w:val="0"/>
              <w:keepLines w:val="0"/>
              <w:widowControl/>
              <w:suppressLineNumbers w:val="0"/>
              <w:wordWrap w:val="0"/>
              <w:spacing w:before="0" w:beforeAutospacing="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rPr>
              <w:t>签订日期：    年   月    日</w:t>
            </w:r>
          </w:p>
        </w:tc>
      </w:tr>
    </w:tbl>
    <w:p w14:paraId="4383AB4C">
      <w:pPr>
        <w:rPr>
          <w:sz w:val="24"/>
          <w:szCs w:val="24"/>
        </w:rPr>
      </w:pPr>
    </w:p>
    <w:p w14:paraId="125DF07F">
      <w:pPr>
        <w:rPr>
          <w:sz w:val="24"/>
          <w:szCs w:val="24"/>
        </w:rPr>
      </w:pPr>
    </w:p>
    <w:p w14:paraId="368AC138">
      <w:pPr>
        <w:rPr>
          <w:sz w:val="24"/>
          <w:szCs w:val="24"/>
        </w:rPr>
      </w:pPr>
    </w:p>
    <w:p w14:paraId="5AA20802">
      <w:pPr>
        <w:rPr>
          <w:sz w:val="24"/>
          <w:szCs w:val="24"/>
        </w:rPr>
      </w:pPr>
    </w:p>
    <w:p w14:paraId="39CBE9D7">
      <w:pPr>
        <w:rPr>
          <w:sz w:val="24"/>
          <w:szCs w:val="24"/>
        </w:rPr>
      </w:pPr>
    </w:p>
    <w:p w14:paraId="62524AE8">
      <w:pPr>
        <w:rPr>
          <w:sz w:val="24"/>
          <w:szCs w:val="24"/>
        </w:rPr>
      </w:pPr>
    </w:p>
    <w:p w14:paraId="29DE3C63">
      <w:pPr>
        <w:rPr>
          <w:sz w:val="24"/>
          <w:szCs w:val="24"/>
        </w:rPr>
      </w:pPr>
    </w:p>
    <w:p w14:paraId="22CA025E">
      <w:pPr>
        <w:rPr>
          <w:sz w:val="24"/>
          <w:szCs w:val="24"/>
        </w:rPr>
      </w:pPr>
    </w:p>
    <w:p w14:paraId="7C07472B">
      <w:pPr>
        <w:rPr>
          <w:sz w:val="24"/>
          <w:szCs w:val="24"/>
        </w:rPr>
      </w:pPr>
    </w:p>
    <w:p w14:paraId="607786B2">
      <w:pPr>
        <w:rPr>
          <w:sz w:val="24"/>
          <w:szCs w:val="24"/>
        </w:rPr>
      </w:pPr>
    </w:p>
    <w:p w14:paraId="41C3750C">
      <w:pPr>
        <w:rPr>
          <w:sz w:val="24"/>
          <w:szCs w:val="24"/>
        </w:rPr>
      </w:pPr>
    </w:p>
    <w:p w14:paraId="007D54B9">
      <w:pPr>
        <w:rPr>
          <w:sz w:val="24"/>
          <w:szCs w:val="24"/>
        </w:rPr>
      </w:pPr>
    </w:p>
    <w:p w14:paraId="512051CE">
      <w:pPr>
        <w:rPr>
          <w:sz w:val="24"/>
          <w:szCs w:val="24"/>
        </w:rPr>
      </w:pPr>
    </w:p>
    <w:p w14:paraId="268666AB">
      <w:pPr>
        <w:rPr>
          <w:sz w:val="24"/>
          <w:szCs w:val="24"/>
        </w:rPr>
      </w:pPr>
    </w:p>
    <w:p w14:paraId="03C75FBC">
      <w:pPr>
        <w:rPr>
          <w:sz w:val="24"/>
          <w:szCs w:val="24"/>
        </w:rPr>
      </w:pPr>
    </w:p>
    <w:p w14:paraId="27F7327E">
      <w:pPr>
        <w:pStyle w:val="13"/>
        <w:ind w:left="0" w:leftChars="0" w:firstLine="0" w:firstLineChars="0"/>
        <w:rPr>
          <w:rFonts w:hint="eastAsia" w:ascii="宋体" w:hAnsi="宋体" w:eastAsia="宋体" w:cs="宋体"/>
          <w:sz w:val="24"/>
          <w:szCs w:val="24"/>
        </w:rPr>
      </w:pPr>
    </w:p>
    <w:p w14:paraId="25DAD7A6">
      <w:pPr>
        <w:snapToGrid w:val="0"/>
        <w:jc w:val="center"/>
        <w:rPr>
          <w:rFonts w:hint="eastAsia" w:ascii="宋体" w:hAnsi="宋体"/>
          <w:b/>
          <w:sz w:val="24"/>
          <w:szCs w:val="24"/>
        </w:rPr>
      </w:pPr>
      <w:r>
        <w:rPr>
          <w:rFonts w:hint="eastAsia" w:ascii="宋体" w:hAnsi="宋体"/>
          <w:b/>
          <w:sz w:val="24"/>
          <w:szCs w:val="24"/>
        </w:rPr>
        <w:t>合 同 附 件</w:t>
      </w:r>
    </w:p>
    <w:p w14:paraId="0BB034CA">
      <w:pPr>
        <w:snapToGrid w:val="0"/>
        <w:jc w:val="center"/>
        <w:rPr>
          <w:rFonts w:hint="eastAsia" w:ascii="宋体" w:hAnsi="宋体"/>
          <w:b/>
          <w:sz w:val="24"/>
          <w:szCs w:val="24"/>
        </w:rPr>
      </w:pPr>
    </w:p>
    <w:tbl>
      <w:tblPr>
        <w:tblStyle w:val="14"/>
        <w:tblW w:w="0" w:type="auto"/>
        <w:jc w:val="center"/>
        <w:tblLayout w:type="autofit"/>
        <w:tblCellMar>
          <w:top w:w="0" w:type="dxa"/>
          <w:left w:w="108" w:type="dxa"/>
          <w:bottom w:w="0" w:type="dxa"/>
          <w:right w:w="108" w:type="dxa"/>
        </w:tblCellMar>
      </w:tblPr>
      <w:tblGrid>
        <w:gridCol w:w="4496"/>
        <w:gridCol w:w="4667"/>
      </w:tblGrid>
      <w:tr w14:paraId="3A3110EA">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noWrap w:val="0"/>
            <w:vAlign w:val="top"/>
          </w:tcPr>
          <w:p w14:paraId="4A21BBEC">
            <w:pPr>
              <w:keepNext w:val="0"/>
              <w:keepLines w:val="0"/>
              <w:widowControl/>
              <w:numPr>
                <w:ilvl w:val="0"/>
                <w:numId w:val="7"/>
              </w:numPr>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供应商承诺具体事项：</w:t>
            </w:r>
          </w:p>
          <w:p w14:paraId="7FB927D0">
            <w:pPr>
              <w:keepNext w:val="0"/>
              <w:keepLines w:val="0"/>
              <w:widowControl/>
              <w:numPr>
                <w:ilvl w:val="0"/>
                <w:numId w:val="0"/>
              </w:numPr>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供应商承诺响应全部内容（包括货物采购需求、商务要求及售后要求等），详见后文附件及本次采购过程中形成的在线询价文件、响应文件等材料。</w:t>
            </w:r>
          </w:p>
          <w:p w14:paraId="2AB86B51">
            <w:pPr>
              <w:pStyle w:val="13"/>
              <w:keepNext w:val="0"/>
              <w:keepLines w:val="0"/>
              <w:widowControl/>
              <w:numPr>
                <w:ilvl w:val="0"/>
                <w:numId w:val="0"/>
              </w:numPr>
              <w:suppressLineNumbers w:val="0"/>
              <w:spacing w:before="0" w:beforeAutospacing="0" w:afterAutospacing="0"/>
              <w:ind w:right="0"/>
              <w:rPr>
                <w:rFonts w:hint="eastAsia" w:asciiTheme="minorEastAsia" w:hAnsiTheme="minorEastAsia" w:eastAsiaTheme="minorEastAsia" w:cstheme="minorEastAsia"/>
                <w:sz w:val="24"/>
                <w:szCs w:val="24"/>
              </w:rPr>
            </w:pPr>
          </w:p>
        </w:tc>
      </w:tr>
      <w:tr w14:paraId="4B54A530">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noWrap w:val="0"/>
            <w:vAlign w:val="top"/>
          </w:tcPr>
          <w:p w14:paraId="5E658C30">
            <w:pPr>
              <w:keepNext w:val="0"/>
              <w:keepLines w:val="0"/>
              <w:widowControl/>
              <w:numPr>
                <w:ilvl w:val="0"/>
                <w:numId w:val="7"/>
              </w:numPr>
              <w:suppressLineNumbers w:val="0"/>
              <w:snapToGrid w:val="0"/>
              <w:spacing w:before="0" w:beforeAutospacing="0" w:afterAutospacing="0" w:line="400" w:lineRule="exact"/>
              <w:ind w:left="0" w:leftChars="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售后服务具体事项：</w:t>
            </w:r>
          </w:p>
          <w:p w14:paraId="055EADE8">
            <w:pPr>
              <w:keepNext w:val="0"/>
              <w:keepLines w:val="0"/>
              <w:widowControl/>
              <w:numPr>
                <w:ilvl w:val="0"/>
                <w:numId w:val="0"/>
              </w:numPr>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供应商承诺响应全部内容，详见后文附件及本次采购过程中形成的在线询价文件、响应文件等材料。</w:t>
            </w:r>
          </w:p>
          <w:p w14:paraId="0122B0D0">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tc>
      </w:tr>
      <w:tr w14:paraId="13C0E0F1">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noWrap w:val="0"/>
            <w:vAlign w:val="top"/>
          </w:tcPr>
          <w:p w14:paraId="05A103C4">
            <w:pPr>
              <w:keepNext w:val="0"/>
              <w:keepLines w:val="0"/>
              <w:widowControl/>
              <w:numPr>
                <w:ilvl w:val="0"/>
                <w:numId w:val="7"/>
              </w:numPr>
              <w:suppressLineNumbers w:val="0"/>
              <w:snapToGrid w:val="0"/>
              <w:spacing w:before="0" w:beforeAutospacing="0" w:afterAutospacing="0" w:line="400" w:lineRule="exact"/>
              <w:ind w:left="0" w:leftChars="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保修期责任：</w:t>
            </w:r>
          </w:p>
          <w:p w14:paraId="05009DF1">
            <w:pPr>
              <w:keepNext w:val="0"/>
              <w:keepLines w:val="0"/>
              <w:widowControl/>
              <w:numPr>
                <w:ilvl w:val="0"/>
                <w:numId w:val="0"/>
              </w:numPr>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供应商承诺响应全部内容，详见后文附件及本次采购过程中形成的在线询价文件、响应文件等材料。</w:t>
            </w:r>
          </w:p>
          <w:p w14:paraId="74EB1C4C">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tc>
      </w:tr>
      <w:tr w14:paraId="4413E9F4">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noWrap w:val="0"/>
            <w:vAlign w:val="top"/>
          </w:tcPr>
          <w:p w14:paraId="4342EDC9">
            <w:pPr>
              <w:keepNext w:val="0"/>
              <w:keepLines w:val="0"/>
              <w:widowControl/>
              <w:numPr>
                <w:ilvl w:val="0"/>
                <w:numId w:val="7"/>
              </w:numPr>
              <w:suppressLineNumbers w:val="0"/>
              <w:snapToGrid w:val="0"/>
              <w:spacing w:before="0" w:beforeAutospacing="0" w:afterAutospacing="0" w:line="400" w:lineRule="exact"/>
              <w:ind w:left="0" w:leftChars="0" w:right="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其他具体事项：</w:t>
            </w:r>
          </w:p>
          <w:p w14:paraId="1A80AAFA">
            <w:pPr>
              <w:keepNext w:val="0"/>
              <w:keepLines w:val="0"/>
              <w:widowControl/>
              <w:numPr>
                <w:ilvl w:val="0"/>
                <w:numId w:val="0"/>
              </w:numPr>
              <w:suppressLineNumbers w:val="0"/>
              <w:snapToGrid w:val="0"/>
              <w:spacing w:before="0" w:beforeAutospacing="0" w:afterAutospacing="0" w:line="400" w:lineRule="exact"/>
              <w:ind w:left="440" w:leftChars="200" w:right="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详见附件等材料。</w:t>
            </w:r>
          </w:p>
        </w:tc>
      </w:tr>
      <w:tr w14:paraId="55E9646F">
        <w:tblPrEx>
          <w:tblCellMar>
            <w:top w:w="0" w:type="dxa"/>
            <w:left w:w="108" w:type="dxa"/>
            <w:bottom w:w="0" w:type="dxa"/>
            <w:right w:w="108" w:type="dxa"/>
          </w:tblCellMar>
        </w:tblPrEx>
        <w:trPr>
          <w:trHeight w:val="2173" w:hRule="atLeast"/>
          <w:jc w:val="center"/>
        </w:trPr>
        <w:tc>
          <w:tcPr>
            <w:tcW w:w="4496" w:type="dxa"/>
            <w:tcBorders>
              <w:top w:val="single" w:color="auto" w:sz="4" w:space="0"/>
              <w:left w:val="single" w:color="auto" w:sz="4" w:space="0"/>
              <w:bottom w:val="single" w:color="auto" w:sz="4" w:space="0"/>
              <w:right w:val="single" w:color="auto" w:sz="4" w:space="0"/>
            </w:tcBorders>
            <w:noWrap w:val="0"/>
            <w:vAlign w:val="center"/>
          </w:tcPr>
          <w:p w14:paraId="1169E55A">
            <w:pPr>
              <w:keepNext w:val="0"/>
              <w:keepLines w:val="0"/>
              <w:widowControl/>
              <w:suppressLineNumbers w:val="0"/>
              <w:snapToGrid w:val="0"/>
              <w:spacing w:before="0" w:beforeAutospacing="0" w:afterAutospacing="0" w:line="400" w:lineRule="exact"/>
              <w:ind w:left="0" w:right="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甲方（章）</w:t>
            </w:r>
          </w:p>
          <w:p w14:paraId="668B739D">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p w14:paraId="3832560C">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p w14:paraId="29BDC07D">
            <w:pPr>
              <w:keepNext w:val="0"/>
              <w:keepLines w:val="0"/>
              <w:widowControl/>
              <w:suppressLineNumbers w:val="0"/>
              <w:snapToGrid w:val="0"/>
              <w:spacing w:before="0" w:beforeAutospacing="0" w:afterAutospacing="0" w:line="400" w:lineRule="exact"/>
              <w:ind w:left="0" w:right="0" w:firstLine="482" w:firstLineChars="20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14:paraId="57B7204B">
            <w:pPr>
              <w:keepNext w:val="0"/>
              <w:keepLines w:val="0"/>
              <w:widowControl/>
              <w:suppressLineNumbers w:val="0"/>
              <w:snapToGrid w:val="0"/>
              <w:spacing w:before="0" w:beforeAutospacing="0" w:afterAutospacing="0" w:line="400" w:lineRule="exact"/>
              <w:ind w:left="0" w:right="0" w:firstLine="482" w:firstLineChars="20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年   月   日 </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3DB9A363">
            <w:pPr>
              <w:keepNext w:val="0"/>
              <w:keepLines w:val="0"/>
              <w:widowControl/>
              <w:suppressLineNumbers w:val="0"/>
              <w:snapToGrid w:val="0"/>
              <w:spacing w:before="0" w:beforeAutospacing="0" w:afterAutospacing="0" w:line="400" w:lineRule="exact"/>
              <w:ind w:left="0" w:right="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乙方（章）</w:t>
            </w:r>
          </w:p>
          <w:p w14:paraId="4A88DC51">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p w14:paraId="7692E7AF">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p w14:paraId="11BE256A">
            <w:pPr>
              <w:keepNext w:val="0"/>
              <w:keepLines w:val="0"/>
              <w:widowControl/>
              <w:suppressLineNumbers w:val="0"/>
              <w:snapToGrid w:val="0"/>
              <w:spacing w:before="0" w:beforeAutospacing="0" w:afterAutospacing="0" w:line="400" w:lineRule="exact"/>
              <w:ind w:left="0" w:right="0" w:firstLine="482" w:firstLineChars="200"/>
              <w:rPr>
                <w:rFonts w:hint="eastAsia" w:asciiTheme="minorEastAsia" w:hAnsiTheme="minorEastAsia" w:eastAsiaTheme="minorEastAsia" w:cstheme="minorEastAsia"/>
                <w:b/>
                <w:sz w:val="24"/>
                <w:szCs w:val="24"/>
              </w:rPr>
            </w:pPr>
          </w:p>
          <w:p w14:paraId="6F164172">
            <w:pPr>
              <w:keepNext w:val="0"/>
              <w:keepLines w:val="0"/>
              <w:widowControl/>
              <w:suppressLineNumbers w:val="0"/>
              <w:snapToGrid w:val="0"/>
              <w:spacing w:before="0" w:beforeAutospacing="0" w:afterAutospacing="0" w:line="400" w:lineRule="exact"/>
              <w:ind w:left="0" w:right="0" w:firstLine="482" w:firstLineChars="200"/>
              <w:jc w:val="righ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年   月   日</w:t>
            </w:r>
          </w:p>
        </w:tc>
      </w:tr>
    </w:tbl>
    <w:p w14:paraId="54B30FC1">
      <w:pPr>
        <w:rPr>
          <w:rFonts w:hint="eastAsia" w:asciiTheme="minorEastAsia" w:hAnsiTheme="minorEastAsia" w:eastAsiaTheme="minorEastAsia" w:cstheme="minorEastAsia"/>
          <w:b/>
          <w:bCs/>
          <w:color w:val="000000"/>
          <w:kern w:val="0"/>
          <w:sz w:val="24"/>
          <w:szCs w:val="24"/>
        </w:rPr>
        <w:sectPr>
          <w:headerReference r:id="rId4" w:type="default"/>
          <w:footerReference r:id="rId5" w:type="default"/>
          <w:pgSz w:w="11906" w:h="16838"/>
          <w:pgMar w:top="283" w:right="624" w:bottom="283" w:left="624" w:header="283" w:footer="170"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Theme="minorEastAsia" w:hAnsiTheme="minorEastAsia" w:eastAsiaTheme="minorEastAsia" w:cstheme="minorEastAsia"/>
          <w:sz w:val="24"/>
          <w:szCs w:val="24"/>
        </w:rPr>
        <w:t xml:space="preserve">    注：售后服务事项填不下时可另加附</w:t>
      </w:r>
    </w:p>
    <w:p w14:paraId="1B418E6E">
      <w:pPr>
        <w:keepNext w:val="0"/>
        <w:keepLines w:val="0"/>
        <w:widowControl/>
        <w:suppressLineNumbers w:val="0"/>
        <w:spacing w:before="0" w:beforeAutospacing="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C9E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E3A8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3E3A8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7587">
    <w:pPr>
      <w:pStyle w:val="10"/>
      <w:pBdr>
        <w:bottom w:val="none" w:color="auto" w:sz="0" w:space="1"/>
      </w:pBdr>
      <w:rPr>
        <w:rFonts w:hint="eastAsia" w:eastAsia="微软雅黑"/>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5E7FC"/>
    <w:multiLevelType w:val="singleLevel"/>
    <w:tmpl w:val="D095E7FC"/>
    <w:lvl w:ilvl="0" w:tentative="0">
      <w:start w:val="1"/>
      <w:numFmt w:val="decimal"/>
      <w:lvlText w:val="%1."/>
      <w:lvlJc w:val="left"/>
      <w:pPr>
        <w:tabs>
          <w:tab w:val="left" w:pos="312"/>
        </w:tabs>
      </w:pPr>
    </w:lvl>
  </w:abstractNum>
  <w:abstractNum w:abstractNumId="1">
    <w:nsid w:val="198C7BD4"/>
    <w:multiLevelType w:val="singleLevel"/>
    <w:tmpl w:val="198C7BD4"/>
    <w:lvl w:ilvl="0" w:tentative="0">
      <w:start w:val="1"/>
      <w:numFmt w:val="decimal"/>
      <w:lvlText w:val="%1."/>
      <w:lvlJc w:val="left"/>
      <w:pPr>
        <w:tabs>
          <w:tab w:val="left" w:pos="312"/>
        </w:tabs>
      </w:pPr>
    </w:lvl>
  </w:abstractNum>
  <w:abstractNum w:abstractNumId="2">
    <w:nsid w:val="1A357AFF"/>
    <w:multiLevelType w:val="singleLevel"/>
    <w:tmpl w:val="1A357AFF"/>
    <w:lvl w:ilvl="0" w:tentative="0">
      <w:start w:val="1"/>
      <w:numFmt w:val="decimal"/>
      <w:suff w:val="nothing"/>
      <w:lvlText w:val="%1、"/>
      <w:lvlJc w:val="left"/>
    </w:lvl>
  </w:abstractNum>
  <w:abstractNum w:abstractNumId="3">
    <w:nsid w:val="3E270DCF"/>
    <w:multiLevelType w:val="multilevel"/>
    <w:tmpl w:val="3E270DCF"/>
    <w:lvl w:ilvl="0" w:tentative="0">
      <w:start w:val="1"/>
      <w:numFmt w:val="decimal"/>
      <w:suff w:val="space"/>
      <w:lvlText w:val="%1."/>
      <w:lvlJc w:val="left"/>
      <w:pPr>
        <w:ind w:left="0" w:firstLine="0"/>
      </w:pPr>
      <w:rPr>
        <w:rFonts w:hint="default" w:ascii="微软雅黑" w:hAnsi="微软雅黑" w:eastAsia="微软雅黑"/>
      </w:rPr>
    </w:lvl>
    <w:lvl w:ilvl="1" w:tentative="0">
      <w:start w:val="1"/>
      <w:numFmt w:val="decimal"/>
      <w:suff w:val="space"/>
      <w:lvlText w:val="%1.%2."/>
      <w:lvlJc w:val="left"/>
      <w:pPr>
        <w:ind w:left="0" w:firstLine="0"/>
      </w:pPr>
      <w:rPr>
        <w:rFonts w:hint="default" w:ascii="微软雅黑" w:hAnsi="微软雅黑" w:eastAsia="微软雅黑"/>
      </w:rPr>
    </w:lvl>
    <w:lvl w:ilvl="2" w:tentative="0">
      <w:start w:val="1"/>
      <w:numFmt w:val="decimal"/>
      <w:suff w:val="space"/>
      <w:lvlText w:val="%1.%2.%3."/>
      <w:lvlJc w:val="left"/>
      <w:pPr>
        <w:ind w:left="0" w:firstLine="0"/>
      </w:pPr>
      <w:rPr>
        <w:rFonts w:hint="default" w:ascii="微软雅黑" w:hAnsi="微软雅黑" w:eastAsia="微软雅黑"/>
      </w:rPr>
    </w:lvl>
    <w:lvl w:ilvl="3" w:tentative="0">
      <w:start w:val="1"/>
      <w:numFmt w:val="decimal"/>
      <w:pStyle w:val="3"/>
      <w:suff w:val="space"/>
      <w:lvlText w:val="%1.%2.%3.%4."/>
      <w:lvlJc w:val="left"/>
      <w:pPr>
        <w:ind w:left="0" w:firstLine="0"/>
      </w:pPr>
      <w:rPr>
        <w:rFonts w:hint="default" w:ascii="微软雅黑" w:hAnsi="微软雅黑" w:eastAsia="微软雅黑"/>
      </w:rPr>
    </w:lvl>
    <w:lvl w:ilvl="4" w:tentative="0">
      <w:start w:val="1"/>
      <w:numFmt w:val="decimal"/>
      <w:lvlText w:val="%1.%2.%3.%4.%5."/>
      <w:lvlJc w:val="left"/>
      <w:pPr>
        <w:tabs>
          <w:tab w:val="left" w:pos="0"/>
        </w:tabs>
        <w:ind w:left="0" w:firstLine="0"/>
      </w:pPr>
      <w:rPr>
        <w:rFonts w:hint="default" w:ascii="微软雅黑" w:hAnsi="微软雅黑" w:eastAsia="微软雅黑"/>
      </w:rPr>
    </w:lvl>
    <w:lvl w:ilvl="5" w:tentative="0">
      <w:start w:val="1"/>
      <w:numFmt w:val="decimal"/>
      <w:suff w:val="space"/>
      <w:lvlText w:val="%1.%2.%3.%4.%5.%6."/>
      <w:lvlJc w:val="left"/>
      <w:pPr>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lvlText w:val="%1.%2.%3.%4.%5.%6.%7.%8.%9."/>
      <w:lvlJc w:val="left"/>
      <w:pPr>
        <w:tabs>
          <w:tab w:val="left" w:pos="0"/>
        </w:tabs>
        <w:ind w:left="0" w:firstLine="0"/>
      </w:pPr>
      <w:rPr>
        <w:rFonts w:hint="default"/>
      </w:rPr>
    </w:lvl>
  </w:abstractNum>
  <w:abstractNum w:abstractNumId="4">
    <w:nsid w:val="55178E84"/>
    <w:multiLevelType w:val="singleLevel"/>
    <w:tmpl w:val="55178E84"/>
    <w:lvl w:ilvl="0" w:tentative="0">
      <w:start w:val="1"/>
      <w:numFmt w:val="decimal"/>
      <w:suff w:val="nothing"/>
      <w:lvlText w:val="%1、"/>
      <w:lvlJc w:val="left"/>
    </w:lvl>
  </w:abstractNum>
  <w:abstractNum w:abstractNumId="5">
    <w:nsid w:val="693239D1"/>
    <w:multiLevelType w:val="singleLevel"/>
    <w:tmpl w:val="693239D1"/>
    <w:lvl w:ilvl="0" w:tentative="0">
      <w:start w:val="2"/>
      <w:numFmt w:val="decimal"/>
      <w:suff w:val="nothing"/>
      <w:lvlText w:val="%1、"/>
      <w:lvlJc w:val="left"/>
    </w:lvl>
  </w:abstractNum>
  <w:abstractNum w:abstractNumId="6">
    <w:nsid w:val="694FB2B7"/>
    <w:multiLevelType w:val="singleLevel"/>
    <w:tmpl w:val="694FB2B7"/>
    <w:lvl w:ilvl="0" w:tentative="0">
      <w:start w:val="1"/>
      <w:numFmt w:val="decimal"/>
      <w:lvlText w:val="%1."/>
      <w:lvlJc w:val="left"/>
      <w:pPr>
        <w:tabs>
          <w:tab w:val="left" w:pos="312"/>
        </w:tabs>
      </w:p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E383B"/>
    <w:rsid w:val="04FC6AE0"/>
    <w:rsid w:val="0A717628"/>
    <w:rsid w:val="0ACE383B"/>
    <w:rsid w:val="183E176E"/>
    <w:rsid w:val="1DCB4E4A"/>
    <w:rsid w:val="1ECC0E79"/>
    <w:rsid w:val="31FB58A6"/>
    <w:rsid w:val="34AF4725"/>
    <w:rsid w:val="3E577B11"/>
    <w:rsid w:val="402E5FF7"/>
    <w:rsid w:val="4125649B"/>
    <w:rsid w:val="46530D8D"/>
    <w:rsid w:val="4CF15D4A"/>
    <w:rsid w:val="4DFFFA07"/>
    <w:rsid w:val="5519308E"/>
    <w:rsid w:val="5CDA4186"/>
    <w:rsid w:val="637D3ABD"/>
    <w:rsid w:val="63C8357A"/>
    <w:rsid w:val="66CA7430"/>
    <w:rsid w:val="6FA216C7"/>
    <w:rsid w:val="7371716D"/>
    <w:rsid w:val="757E1883"/>
    <w:rsid w:val="7CA943D8"/>
    <w:rsid w:val="7FB920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imes New Roman"/>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rFonts w:ascii="Calibri" w:hAnsi="Calibri" w:eastAsia="宋体"/>
    </w:rPr>
  </w:style>
  <w:style w:type="paragraph" w:styleId="5">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Body Text Indent"/>
    <w:basedOn w:val="1"/>
    <w:next w:val="7"/>
    <w:qFormat/>
    <w:uiPriority w:val="0"/>
    <w:pPr>
      <w:spacing w:line="200" w:lineRule="exact"/>
      <w:ind w:firstLine="301"/>
    </w:pPr>
    <w:rPr>
      <w:rFonts w:ascii="宋体" w:hAnsi="Courier New" w:eastAsia="宋体"/>
      <w:spacing w:val="-4"/>
      <w:sz w:val="18"/>
      <w:szCs w:val="20"/>
    </w:rPr>
  </w:style>
  <w:style w:type="paragraph" w:styleId="7">
    <w:name w:val="annotation subject"/>
    <w:basedOn w:val="4"/>
    <w:next w:val="1"/>
    <w:semiHidden/>
    <w:qFormat/>
    <w:uiPriority w:val="0"/>
    <w:rPr>
      <w:b/>
      <w:bCs/>
    </w:rPr>
  </w:style>
  <w:style w:type="paragraph" w:styleId="8">
    <w:name w:val="Plain Text"/>
    <w:basedOn w:val="1"/>
    <w:next w:val="3"/>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6"/>
    <w:qFormat/>
    <w:uiPriority w:val="0"/>
    <w:pPr>
      <w:spacing w:after="120" w:line="240" w:lineRule="auto"/>
      <w:ind w:left="200" w:leftChars="200" w:firstLine="200" w:firstLineChars="20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NormalCharacter"/>
    <w:qFormat/>
    <w:uiPriority w:val="0"/>
  </w:style>
  <w:style w:type="character" w:customStyle="1" w:styleId="19">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13603</Words>
  <Characters>14212</Characters>
  <Lines>0</Lines>
  <Paragraphs>0</Paragraphs>
  <TotalTime>68</TotalTime>
  <ScaleCrop>false</ScaleCrop>
  <LinksUpToDate>false</LinksUpToDate>
  <CharactersWithSpaces>15324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2025-12-17T02:00:00Z</dcterms:created>
  <dc:creator>lhy</dc:creator>
  <cp:lastModifiedBy>lhy</cp:lastModifiedBy>
  <dcterms:modified xsi:type="dcterms:W3CDTF">2026-01-16T03:14:13Z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2E68E07FE92F44FDB6907B78CA95261B_13</vt:lpwstr>
  </property>
  <property fmtid="{D5CDD505-2E9C-101B-9397-08002B2CF9AE}" pid="4" name="KSOTemplateDocerSaveRecord">
    <vt:lpwstr>eyJoZGlkIjoiMmQwZThmMmNhMjRmYTNjYjAxNjMyOWJhOWFlZDExMDUiLCJ1c2VySWQiOiIzMjMwMjM0MTIifQ==</vt:lpwstr>
  </property>
</Properties>
</file>