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val="0"/>
        <w:snapToGrid w:val="0"/>
        <w:spacing w:line="560" w:lineRule="exact"/>
        <w:ind w:right="-218" w:rightChars="-104"/>
        <w:textAlignment w:val="auto"/>
        <w:rPr>
          <w:rFonts w:hint="eastAsia" w:ascii="黑体" w:hAnsi="宋体" w:eastAsia="黑体"/>
          <w:bCs/>
          <w:sz w:val="32"/>
          <w:szCs w:val="32"/>
        </w:rPr>
      </w:pP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880" w:firstLineChars="200"/>
        <w:jc w:val="center"/>
        <w:textAlignment w:val="auto"/>
        <w:rPr>
          <w:rFonts w:hint="eastAsia" w:ascii="方正小标宋简体" w:hAnsi="Times New Roman" w:eastAsia="方正小标宋简体"/>
          <w:sz w:val="44"/>
          <w:szCs w:val="44"/>
          <w:lang w:val="en-US" w:eastAsia="zh-CN"/>
        </w:rPr>
      </w:pPr>
      <w:r>
        <w:rPr>
          <w:rFonts w:hint="eastAsia" w:ascii="方正小标宋简体" w:hAnsi="Times New Roman" w:eastAsia="方正小标宋简体"/>
          <w:sz w:val="44"/>
          <w:szCs w:val="44"/>
          <w:lang w:val="en-US" w:eastAsia="zh-CN"/>
        </w:rPr>
        <w:t>广西医科大学第一附属医院</w:t>
      </w: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880" w:firstLineChars="200"/>
        <w:jc w:val="center"/>
        <w:textAlignment w:val="auto"/>
        <w:rPr>
          <w:rFonts w:hint="eastAsia" w:ascii="黑体" w:hAnsi="宋体" w:eastAsia="方正小标宋简体"/>
          <w:bCs/>
          <w:sz w:val="32"/>
          <w:szCs w:val="32"/>
          <w:lang w:eastAsia="zh-CN"/>
        </w:rPr>
      </w:pPr>
      <w:r>
        <w:rPr>
          <w:rFonts w:hint="eastAsia" w:ascii="方正小标宋简体" w:hAnsi="Times New Roman" w:eastAsia="方正小标宋简体"/>
          <w:sz w:val="44"/>
          <w:szCs w:val="44"/>
          <w:lang w:eastAsia="zh-CN"/>
        </w:rPr>
        <w:t>2026年</w:t>
      </w:r>
      <w:r>
        <w:rPr>
          <w:rFonts w:hint="eastAsia" w:ascii="方正小标宋简体" w:hAnsi="Times New Roman" w:eastAsia="方正小标宋简体"/>
          <w:sz w:val="44"/>
          <w:szCs w:val="44"/>
        </w:rPr>
        <w:t>单位预算公开</w:t>
      </w:r>
      <w:r>
        <w:rPr>
          <w:rFonts w:hint="eastAsia" w:ascii="方正小标宋简体" w:hAnsi="Times New Roman" w:eastAsia="方正小标宋简体"/>
          <w:sz w:val="44"/>
          <w:szCs w:val="44"/>
          <w:lang w:eastAsia="zh-CN"/>
        </w:rPr>
        <w:t>说明</w:t>
      </w: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640" w:firstLineChars="200"/>
        <w:jc w:val="center"/>
        <w:textAlignment w:val="auto"/>
        <w:rPr>
          <w:rFonts w:hint="eastAsia" w:ascii="黑体" w:hAnsi="宋体" w:eastAsia="黑体"/>
          <w:bCs/>
          <w:sz w:val="32"/>
          <w:szCs w:val="32"/>
        </w:rPr>
      </w:pP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640" w:firstLineChars="200"/>
        <w:jc w:val="center"/>
        <w:textAlignment w:val="auto"/>
        <w:rPr>
          <w:rFonts w:hint="eastAsia" w:ascii="黑体" w:hAnsi="宋体" w:eastAsia="黑体"/>
          <w:bCs/>
          <w:sz w:val="32"/>
          <w:szCs w:val="32"/>
        </w:rPr>
      </w:pPr>
      <w:r>
        <w:rPr>
          <w:rFonts w:hint="eastAsia" w:ascii="黑体" w:hAnsi="宋体" w:eastAsia="黑体"/>
          <w:bCs/>
          <w:sz w:val="32"/>
          <w:szCs w:val="32"/>
        </w:rPr>
        <w:t>目  录</w:t>
      </w: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640" w:firstLineChars="200"/>
        <w:textAlignment w:val="auto"/>
        <w:rPr>
          <w:rFonts w:hint="eastAsia" w:ascii="黑体" w:hAnsi="宋体" w:eastAsia="黑体"/>
          <w:bCs/>
          <w:sz w:val="32"/>
          <w:szCs w:val="32"/>
        </w:rPr>
      </w:pP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640" w:firstLineChars="200"/>
        <w:textAlignment w:val="auto"/>
        <w:rPr>
          <w:rFonts w:hint="eastAsia" w:ascii="黑体" w:hAnsi="宋体" w:eastAsia="黑体"/>
          <w:bCs/>
          <w:sz w:val="32"/>
          <w:szCs w:val="32"/>
        </w:rPr>
      </w:pPr>
      <w:r>
        <w:rPr>
          <w:rFonts w:hint="eastAsia" w:ascii="黑体" w:hAnsi="宋体" w:eastAsia="黑体"/>
          <w:bCs/>
          <w:sz w:val="32"/>
          <w:szCs w:val="32"/>
        </w:rPr>
        <w:t>第一部分：单位概况</w:t>
      </w: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640" w:firstLineChars="200"/>
        <w:textAlignment w:val="auto"/>
        <w:rPr>
          <w:rFonts w:hint="eastAsia" w:ascii="黑体" w:hAnsi="宋体" w:eastAsia="黑体"/>
          <w:bCs/>
          <w:sz w:val="32"/>
          <w:szCs w:val="32"/>
        </w:rPr>
      </w:pP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640" w:firstLineChars="200"/>
        <w:textAlignment w:val="auto"/>
        <w:rPr>
          <w:rFonts w:hint="eastAsia" w:ascii="黑体" w:hAnsi="Times New Roman" w:eastAsia="黑体"/>
          <w:sz w:val="32"/>
          <w:szCs w:val="32"/>
          <w:highlight w:val="none"/>
        </w:rPr>
      </w:pPr>
      <w:r>
        <w:rPr>
          <w:rFonts w:hint="eastAsia" w:ascii="黑体" w:hAnsi="Times New Roman" w:eastAsia="黑体"/>
          <w:sz w:val="32"/>
          <w:szCs w:val="32"/>
          <w:highlight w:val="none"/>
        </w:rPr>
        <w:t>第二部分：</w:t>
      </w:r>
      <w:r>
        <w:rPr>
          <w:rFonts w:hint="eastAsia" w:ascii="黑体" w:hAnsi="宋体" w:eastAsia="黑体"/>
          <w:sz w:val="32"/>
          <w:szCs w:val="32"/>
          <w:highlight w:val="none"/>
        </w:rPr>
        <w:t>广西医科大学第一附属医院</w:t>
      </w:r>
      <w:r>
        <w:rPr>
          <w:rFonts w:hint="eastAsia" w:ascii="黑体" w:hAnsi="宋体" w:eastAsia="黑体"/>
          <w:sz w:val="32"/>
          <w:szCs w:val="32"/>
          <w:highlight w:val="none"/>
          <w:lang w:eastAsia="zh-CN"/>
        </w:rPr>
        <w:t>2026年</w:t>
      </w:r>
      <w:r>
        <w:rPr>
          <w:rFonts w:hint="eastAsia" w:ascii="黑体" w:hAnsi="Times New Roman" w:eastAsia="黑体"/>
          <w:sz w:val="32"/>
          <w:szCs w:val="32"/>
          <w:highlight w:val="none"/>
        </w:rPr>
        <w:t>单位预算</w:t>
      </w: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2240" w:firstLineChars="700"/>
        <w:textAlignment w:val="auto"/>
        <w:rPr>
          <w:rFonts w:hint="eastAsia" w:ascii="黑体" w:hAnsi="宋体" w:eastAsia="黑体"/>
          <w:bCs/>
          <w:sz w:val="32"/>
          <w:szCs w:val="32"/>
          <w:highlight w:val="none"/>
        </w:rPr>
      </w:pPr>
      <w:r>
        <w:rPr>
          <w:rFonts w:hint="eastAsia" w:ascii="黑体" w:hAnsi="Times New Roman" w:eastAsia="黑体"/>
          <w:sz w:val="32"/>
          <w:szCs w:val="32"/>
          <w:highlight w:val="none"/>
        </w:rPr>
        <w:t>情况说明</w:t>
      </w: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640" w:firstLineChars="200"/>
        <w:textAlignment w:val="auto"/>
        <w:rPr>
          <w:rFonts w:hint="eastAsia" w:ascii="黑体" w:hAnsi="宋体" w:eastAsia="黑体"/>
          <w:bCs/>
          <w:sz w:val="32"/>
          <w:szCs w:val="32"/>
          <w:highlight w:val="none"/>
        </w:rPr>
      </w:pP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640" w:firstLineChars="200"/>
        <w:textAlignment w:val="auto"/>
        <w:rPr>
          <w:rFonts w:hint="eastAsia" w:ascii="黑体" w:hAnsi="宋体" w:eastAsia="黑体"/>
          <w:bCs/>
          <w:sz w:val="32"/>
          <w:szCs w:val="32"/>
          <w:highlight w:val="none"/>
        </w:rPr>
      </w:pPr>
      <w:r>
        <w:rPr>
          <w:rFonts w:hint="eastAsia" w:ascii="黑体" w:hAnsi="Times New Roman" w:eastAsia="黑体"/>
          <w:sz w:val="32"/>
          <w:szCs w:val="32"/>
          <w:highlight w:val="none"/>
        </w:rPr>
        <w:t>第三部分：名词解释</w:t>
      </w: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640" w:firstLineChars="200"/>
        <w:textAlignment w:val="auto"/>
        <w:rPr>
          <w:rFonts w:hint="eastAsia" w:ascii="黑体" w:hAnsi="宋体" w:eastAsia="黑体"/>
          <w:bCs/>
          <w:sz w:val="32"/>
          <w:szCs w:val="32"/>
          <w:highlight w:val="none"/>
        </w:rPr>
      </w:pP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640" w:firstLineChars="200"/>
        <w:textAlignment w:val="auto"/>
        <w:rPr>
          <w:rFonts w:hint="eastAsia" w:ascii="黑体" w:hAnsi="Times New Roman" w:eastAsia="黑体"/>
          <w:sz w:val="32"/>
          <w:szCs w:val="32"/>
          <w:highlight w:val="none"/>
        </w:rPr>
      </w:pPr>
      <w:r>
        <w:rPr>
          <w:rFonts w:hint="eastAsia" w:ascii="黑体" w:hAnsi="宋体" w:eastAsia="黑体"/>
          <w:bCs/>
          <w:sz w:val="32"/>
          <w:szCs w:val="32"/>
          <w:highlight w:val="none"/>
        </w:rPr>
        <w:t>第四部分：</w:t>
      </w:r>
      <w:r>
        <w:rPr>
          <w:rFonts w:hint="eastAsia" w:ascii="黑体" w:hAnsi="宋体" w:eastAsia="黑体"/>
          <w:sz w:val="32"/>
          <w:szCs w:val="32"/>
          <w:highlight w:val="none"/>
        </w:rPr>
        <w:t>广西医科大学第一附属医院</w:t>
      </w:r>
      <w:r>
        <w:rPr>
          <w:rFonts w:hint="eastAsia" w:ascii="黑体" w:hAnsi="宋体" w:eastAsia="黑体"/>
          <w:sz w:val="32"/>
          <w:szCs w:val="32"/>
          <w:highlight w:val="none"/>
          <w:lang w:eastAsia="zh-CN"/>
        </w:rPr>
        <w:t>2026年</w:t>
      </w:r>
      <w:r>
        <w:rPr>
          <w:rFonts w:hint="eastAsia" w:ascii="黑体" w:hAnsi="Times New Roman" w:eastAsia="黑体"/>
          <w:sz w:val="32"/>
          <w:szCs w:val="32"/>
          <w:highlight w:val="none"/>
        </w:rPr>
        <w:t>单位预算</w:t>
      </w: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2240" w:firstLineChars="700"/>
        <w:textAlignment w:val="auto"/>
        <w:rPr>
          <w:rFonts w:hint="eastAsia" w:ascii="黑体" w:hAnsi="宋体" w:eastAsia="黑体"/>
          <w:bCs/>
          <w:sz w:val="32"/>
          <w:szCs w:val="32"/>
          <w:highlight w:val="none"/>
        </w:rPr>
      </w:pPr>
      <w:r>
        <w:rPr>
          <w:rFonts w:hint="eastAsia" w:ascii="黑体" w:hAnsi="Times New Roman" w:eastAsia="黑体"/>
          <w:sz w:val="32"/>
          <w:szCs w:val="32"/>
          <w:highlight w:val="none"/>
        </w:rPr>
        <w:t>公开报表</w:t>
      </w: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640" w:firstLineChars="200"/>
        <w:textAlignment w:val="auto"/>
        <w:rPr>
          <w:rFonts w:hint="eastAsia" w:ascii="黑体" w:hAnsi="宋体" w:eastAsia="黑体"/>
          <w:bCs/>
          <w:sz w:val="32"/>
          <w:szCs w:val="32"/>
        </w:rPr>
      </w:pP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640" w:firstLineChars="200"/>
        <w:textAlignment w:val="auto"/>
        <w:rPr>
          <w:rFonts w:hint="eastAsia" w:ascii="黑体" w:hAnsi="宋体" w:eastAsia="黑体"/>
          <w:bCs/>
          <w:sz w:val="32"/>
          <w:szCs w:val="32"/>
        </w:rPr>
      </w:pP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640" w:firstLineChars="200"/>
        <w:textAlignment w:val="auto"/>
        <w:rPr>
          <w:rFonts w:hint="eastAsia" w:ascii="黑体" w:hAnsi="宋体" w:eastAsia="黑体"/>
          <w:bCs/>
          <w:sz w:val="32"/>
          <w:szCs w:val="32"/>
        </w:rPr>
      </w:pP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640" w:firstLineChars="200"/>
        <w:textAlignment w:val="auto"/>
        <w:rPr>
          <w:rFonts w:hint="eastAsia" w:ascii="黑体" w:hAnsi="宋体" w:eastAsia="黑体"/>
          <w:bCs/>
          <w:sz w:val="32"/>
          <w:szCs w:val="32"/>
        </w:rPr>
      </w:pP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640" w:firstLineChars="200"/>
        <w:textAlignment w:val="auto"/>
        <w:rPr>
          <w:rFonts w:hint="eastAsia" w:ascii="黑体" w:hAnsi="宋体" w:eastAsia="黑体"/>
          <w:bCs/>
          <w:sz w:val="32"/>
          <w:szCs w:val="32"/>
        </w:rPr>
      </w:pP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640" w:firstLineChars="200"/>
        <w:textAlignment w:val="auto"/>
        <w:rPr>
          <w:rFonts w:hint="eastAsia" w:ascii="黑体" w:hAnsi="宋体" w:eastAsia="黑体"/>
          <w:bCs/>
          <w:sz w:val="32"/>
          <w:szCs w:val="32"/>
        </w:rPr>
      </w:pP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640" w:firstLineChars="200"/>
        <w:textAlignment w:val="auto"/>
        <w:rPr>
          <w:rFonts w:hint="eastAsia" w:ascii="黑体" w:hAnsi="宋体" w:eastAsia="黑体"/>
          <w:bCs/>
          <w:sz w:val="32"/>
          <w:szCs w:val="32"/>
        </w:rPr>
      </w:pPr>
      <w:r>
        <w:rPr>
          <w:rFonts w:hint="eastAsia" w:ascii="黑体" w:hAnsi="宋体" w:eastAsia="黑体"/>
          <w:bCs/>
          <w:sz w:val="32"/>
          <w:szCs w:val="32"/>
        </w:rPr>
        <w:br w:type="page"/>
      </w:r>
      <w:r>
        <w:rPr>
          <w:rFonts w:hint="eastAsia" w:ascii="黑体" w:hAnsi="宋体" w:eastAsia="黑体"/>
          <w:bCs/>
          <w:sz w:val="32"/>
          <w:szCs w:val="32"/>
        </w:rPr>
        <w:t>第一部分：单位概况</w:t>
      </w:r>
    </w:p>
    <w:p>
      <w:pPr>
        <w:keepNext w:val="0"/>
        <w:keepLines w:val="0"/>
        <w:pageBreakBefore w:val="0"/>
        <w:widowControl w:val="0"/>
        <w:kinsoku/>
        <w:wordWrap/>
        <w:overflowPunct/>
        <w:topLinePunct w:val="0"/>
        <w:autoSpaceDE/>
        <w:bidi w:val="0"/>
        <w:adjustRightInd w:val="0"/>
        <w:snapToGrid w:val="0"/>
        <w:spacing w:line="560" w:lineRule="exact"/>
        <w:ind w:right="-218" w:rightChars="-104" w:firstLine="640" w:firstLineChars="200"/>
        <w:textAlignment w:val="auto"/>
        <w:rPr>
          <w:rFonts w:hint="eastAsia" w:ascii="黑体" w:hAnsi="宋体" w:eastAsia="黑体"/>
          <w:sz w:val="32"/>
          <w:szCs w:val="32"/>
        </w:rPr>
      </w:pPr>
      <w:r>
        <w:rPr>
          <w:rFonts w:hint="eastAsia" w:ascii="黑体" w:hAnsi="宋体" w:eastAsia="黑体"/>
          <w:bCs/>
          <w:sz w:val="32"/>
          <w:szCs w:val="32"/>
        </w:rPr>
        <w:t>一</w:t>
      </w:r>
      <w:r>
        <w:rPr>
          <w:rFonts w:hint="eastAsia" w:ascii="黑体" w:hAnsi="宋体" w:eastAsia="黑体"/>
          <w:sz w:val="32"/>
          <w:szCs w:val="32"/>
        </w:rPr>
        <w:t>、单位主要职能</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黑体" w:hAnsi="宋体" w:eastAsia="仿宋_GB2312"/>
          <w:sz w:val="32"/>
          <w:szCs w:val="32"/>
          <w:lang w:eastAsia="zh-CN"/>
        </w:rPr>
      </w:pPr>
      <w:r>
        <w:rPr>
          <w:rFonts w:hint="eastAsia" w:ascii="仿宋_GB2312" w:hAnsi="宋体" w:eastAsia="仿宋_GB2312"/>
          <w:sz w:val="32"/>
          <w:szCs w:val="32"/>
        </w:rPr>
        <w:t>贯彻落实党的路线、方针政策、法规和上级指示；为广大群众提供医疗救护、预防保健、健康检查、康复服务，服务范围辐射广西省内省外乃至东南亚等地，并承担中央首长、外国元首及外宾等来广西视察、访问的医疗保健任务；参与省范围内突发公共卫生事件的应急处理工作；为广西培养高层次医学人才，并接收广西各级医院技术骨干的进修学习，同时对基层医院提供技术指导与帮助；努力完成上级党政府部门及区卫健委行政主管部门下达的各项任务；医院坚持公益性，勇于担社会责任</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黑体" w:hAnsi="宋体" w:eastAsia="黑体"/>
          <w:sz w:val="32"/>
          <w:szCs w:val="32"/>
        </w:rPr>
      </w:pPr>
      <w:r>
        <w:rPr>
          <w:rFonts w:hint="eastAsia" w:ascii="黑体" w:hAnsi="宋体" w:eastAsia="黑体"/>
          <w:sz w:val="32"/>
          <w:szCs w:val="32"/>
        </w:rPr>
        <w:t>二、机构设置情况</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行政职能部门由党委办公室、医院办公室、医务部、组织人事科、基建办、财务办公室、国有资产管理科、宣传科、团委、医院质量管理办公室、医院感染管理科、教务部、研究生和毕业后教育培训部、工会委员会、后勤办公室、门诊办公室、医疗保险管理办公室、医德医风管理办公室、科研部、学科建设办公室、审计科、保卫科、护理部、医疗设备科、干部保健科、预防保健科、国际合作和对外交流部、信息中心、医疗设备科、离退休职工管理办公室、病案信息管理科、互联网医院运营部、临床技能培训中心、纪检监察室、学生工作部、危旧房改住房改造办公室等构成。</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黑体" w:hAnsi="Times New Roman" w:eastAsia="黑体"/>
          <w:sz w:val="32"/>
          <w:szCs w:val="32"/>
        </w:rPr>
      </w:pPr>
      <w:r>
        <w:rPr>
          <w:rFonts w:hint="eastAsia" w:ascii="仿宋_GB2312" w:hAnsi="宋体" w:eastAsia="仿宋_GB2312"/>
          <w:sz w:val="32"/>
          <w:szCs w:val="32"/>
        </w:rPr>
        <w:t>医院有临床科室46个，医技科室19个，开设病区72个，编制床位</w:t>
      </w:r>
      <w:r>
        <w:rPr>
          <w:rFonts w:hint="eastAsia" w:ascii="仿宋_GB2312" w:hAnsi="宋体" w:eastAsia="仿宋_GB2312"/>
          <w:sz w:val="32"/>
          <w:szCs w:val="32"/>
          <w:lang w:val="en-US" w:eastAsia="zh-CN"/>
        </w:rPr>
        <w:t>3125</w:t>
      </w:r>
      <w:r>
        <w:rPr>
          <w:rFonts w:hint="eastAsia" w:ascii="仿宋_GB2312" w:hAnsi="宋体" w:eastAsia="仿宋_GB2312"/>
          <w:sz w:val="32"/>
          <w:szCs w:val="32"/>
        </w:rPr>
        <w:t>张。</w:t>
      </w:r>
      <w:bookmarkStart w:id="0" w:name="_GoBack"/>
      <w:bookmarkEnd w:id="0"/>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Times New Roman" w:eastAsia="黑体"/>
          <w:sz w:val="32"/>
          <w:szCs w:val="32"/>
          <w:highlight w:val="none"/>
        </w:rPr>
        <w:t>第二部分：</w:t>
      </w:r>
      <w:r>
        <w:rPr>
          <w:rFonts w:hint="eastAsia" w:ascii="黑体" w:hAnsi="宋体" w:eastAsia="黑体"/>
          <w:sz w:val="32"/>
          <w:szCs w:val="32"/>
          <w:highlight w:val="none"/>
        </w:rPr>
        <w:t>广西医科大学第一附属医院</w:t>
      </w:r>
      <w:r>
        <w:rPr>
          <w:rFonts w:hint="eastAsia" w:ascii="黑体" w:hAnsi="宋体" w:eastAsia="黑体"/>
          <w:sz w:val="32"/>
          <w:szCs w:val="32"/>
          <w:highlight w:val="none"/>
          <w:lang w:eastAsia="zh-CN"/>
        </w:rPr>
        <w:t>2026年</w:t>
      </w:r>
      <w:r>
        <w:rPr>
          <w:rFonts w:hint="eastAsia" w:ascii="黑体" w:hAnsi="Times New Roman" w:eastAsia="黑体"/>
          <w:sz w:val="32"/>
          <w:szCs w:val="32"/>
          <w:highlight w:val="none"/>
        </w:rPr>
        <w:t>单位预算情况说明</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黑体" w:hAnsi="Times New Roman" w:eastAsia="黑体"/>
          <w:sz w:val="32"/>
          <w:szCs w:val="32"/>
        </w:rPr>
      </w:pPr>
      <w:r>
        <w:rPr>
          <w:rFonts w:hint="eastAsia" w:ascii="黑体" w:hAnsi="Times New Roman" w:eastAsia="黑体"/>
          <w:sz w:val="32"/>
          <w:szCs w:val="32"/>
        </w:rPr>
        <w:t>一、单位</w:t>
      </w:r>
      <w:r>
        <w:rPr>
          <w:rFonts w:hint="eastAsia" w:ascii="黑体" w:hAnsi="Times New Roman" w:eastAsia="黑体"/>
          <w:sz w:val="32"/>
          <w:szCs w:val="32"/>
          <w:lang w:eastAsia="zh-CN"/>
        </w:rPr>
        <w:t>预算</w:t>
      </w:r>
      <w:r>
        <w:rPr>
          <w:rFonts w:hint="eastAsia" w:ascii="黑体" w:hAnsi="Times New Roman" w:eastAsia="黑体"/>
          <w:sz w:val="32"/>
          <w:szCs w:val="32"/>
        </w:rPr>
        <w:t>收支</w:t>
      </w:r>
      <w:r>
        <w:rPr>
          <w:rFonts w:hint="eastAsia" w:ascii="黑体" w:hAnsi="Times New Roman" w:eastAsia="黑体"/>
          <w:sz w:val="32"/>
          <w:szCs w:val="32"/>
          <w:lang w:eastAsia="zh-CN"/>
        </w:rPr>
        <w:t>增减变化</w:t>
      </w:r>
      <w:r>
        <w:rPr>
          <w:rFonts w:hint="eastAsia" w:ascii="黑体" w:hAnsi="Times New Roman" w:eastAsia="黑体"/>
          <w:sz w:val="32"/>
          <w:szCs w:val="32"/>
        </w:rPr>
        <w:t>情况说明</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我院总预算收入625097.73万元，总支出625097.73万元（不含财政拨款上年未列支结转收支数）。总收入较上年增长1161.58万元，增长0.19%，主要原因是受上年我院中国-东盟医疗保健合作中心(广西)开业、DRG结算方式、医疗服务价格调价等因素影响，预计总预算收入与上年基本持平。总支出较上年增长1161.58万元，增长0.19%，与上年基本持平。</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黑体" w:hAnsi="Times New Roman" w:eastAsia="黑体"/>
          <w:sz w:val="32"/>
          <w:szCs w:val="32"/>
        </w:rPr>
      </w:pPr>
      <w:r>
        <w:rPr>
          <w:rFonts w:hint="eastAsia" w:ascii="黑体" w:hAnsi="Times New Roman" w:eastAsia="黑体"/>
          <w:sz w:val="32"/>
          <w:szCs w:val="32"/>
        </w:rPr>
        <w:t>二、单位</w:t>
      </w:r>
      <w:r>
        <w:rPr>
          <w:rFonts w:hint="eastAsia" w:ascii="黑体" w:hAnsi="Times New Roman" w:eastAsia="黑体"/>
          <w:sz w:val="32"/>
          <w:szCs w:val="32"/>
          <w:lang w:eastAsia="zh-CN"/>
        </w:rPr>
        <w:t>预算</w:t>
      </w:r>
      <w:r>
        <w:rPr>
          <w:rFonts w:hint="eastAsia" w:ascii="黑体" w:hAnsi="Times New Roman" w:eastAsia="黑体"/>
          <w:sz w:val="32"/>
          <w:szCs w:val="32"/>
        </w:rPr>
        <w:t>收入总体情况说明</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我院总预算收入625097.73万元，较上年增长1161.58万元，同比增长0.19%，与上年基本持平。其中：</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一般公共预算拨款收入7700.46万元，占总预算收入的1.23%，</w:t>
      </w:r>
      <w:r>
        <w:rPr>
          <w:rFonts w:hint="eastAsia" w:ascii="仿宋_GB2312" w:hAnsi="Times New Roman" w:eastAsia="仿宋_GB2312"/>
          <w:sz w:val="32"/>
          <w:szCs w:val="32"/>
          <w:highlight w:val="none"/>
          <w:lang w:eastAsia="zh-CN"/>
        </w:rPr>
        <w:t>较上年减少4670.89</w:t>
      </w:r>
      <w:r>
        <w:rPr>
          <w:rFonts w:hint="eastAsia" w:ascii="仿宋_GB2312" w:hAnsi="Times New Roman" w:eastAsia="仿宋_GB2312"/>
          <w:sz w:val="32"/>
          <w:szCs w:val="32"/>
          <w:highlight w:val="none"/>
          <w:lang w:val="en-US" w:eastAsia="zh-CN"/>
        </w:rPr>
        <w:t>万元，</w:t>
      </w:r>
      <w:r>
        <w:rPr>
          <w:rFonts w:hint="eastAsia" w:ascii="仿宋_GB2312" w:hAnsi="宋体" w:eastAsia="仿宋_GB2312"/>
          <w:sz w:val="32"/>
          <w:szCs w:val="32"/>
          <w:highlight w:val="none"/>
          <w:lang w:val="en-US" w:eastAsia="zh-CN"/>
        </w:rPr>
        <w:t>同比减少37.76%，</w:t>
      </w:r>
      <w:r>
        <w:rPr>
          <w:rFonts w:hint="eastAsia" w:ascii="仿宋_GB2312" w:hAnsi="Times New Roman" w:eastAsia="仿宋_GB2312"/>
          <w:sz w:val="32"/>
          <w:szCs w:val="32"/>
          <w:highlight w:val="none"/>
          <w:lang w:val="en-US" w:eastAsia="zh-CN"/>
        </w:rPr>
        <w:t>主要原因是</w:t>
      </w:r>
      <w:r>
        <w:rPr>
          <w:rFonts w:hint="eastAsia" w:ascii="仿宋_GB2312" w:hAnsi="宋体" w:eastAsia="仿宋_GB2312"/>
          <w:sz w:val="32"/>
          <w:szCs w:val="32"/>
          <w:highlight w:val="none"/>
          <w:lang w:val="en-US" w:eastAsia="zh-CN"/>
        </w:rPr>
        <w:t>我院中国-东盟医疗保健合作中心(广西)项目根据项目实施进度安排于上年开业，本年一般公共预算财政拨款安排的项目相关支出较上年减少。</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事业收入514237.81万元，占总预算收入的82.27%，较上年减少15972.18</w:t>
      </w:r>
      <w:r>
        <w:rPr>
          <w:rFonts w:hint="eastAsia" w:ascii="仿宋_GB2312" w:hAnsi="Times New Roman" w:eastAsia="仿宋_GB2312"/>
          <w:sz w:val="32"/>
          <w:szCs w:val="32"/>
          <w:highlight w:val="none"/>
          <w:lang w:val="en-US" w:eastAsia="zh-CN"/>
        </w:rPr>
        <w:t>万元，</w:t>
      </w:r>
      <w:r>
        <w:rPr>
          <w:rFonts w:hint="eastAsia" w:ascii="仿宋_GB2312" w:hAnsi="宋体" w:eastAsia="仿宋_GB2312"/>
          <w:sz w:val="32"/>
          <w:szCs w:val="32"/>
          <w:highlight w:val="none"/>
          <w:lang w:val="en-US" w:eastAsia="zh-CN"/>
        </w:rPr>
        <w:t>同比减少3.01%，主要原因是受上年我院中国-东盟医疗保健合作中心(广西)开业、DRG结算方式、医疗服务价格调价等因素影响，预计事业收入与上年基本持平。</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其他收入43506.57万元，占总预算收入的6.96%，较上年增长16348.21万元，同比增长60.20%，主要原因是临床观察收入、医联体相关单位支付品牌技术合作等费用、器官移植经费等增加；其他收入主要包括食堂收入、临床观察收入、债务收入及利息收入等。</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上年结转结余59652.89万元，占总预算收入的9.54%，较上年增长5456.44万元，同比增长10.07%，主要原因是根据收支平衡原则本年使用上年单位结转结余资金安排医院日常支出较上年增加。</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黑体" w:hAnsi="Times New Roman" w:eastAsia="黑体"/>
          <w:sz w:val="32"/>
          <w:szCs w:val="32"/>
        </w:rPr>
      </w:pPr>
      <w:r>
        <w:rPr>
          <w:rFonts w:hint="eastAsia" w:ascii="黑体" w:hAnsi="Times New Roman" w:eastAsia="黑体"/>
          <w:sz w:val="32"/>
          <w:szCs w:val="32"/>
        </w:rPr>
        <w:t>三、单位</w:t>
      </w:r>
      <w:r>
        <w:rPr>
          <w:rFonts w:hint="eastAsia" w:ascii="黑体" w:hAnsi="Times New Roman" w:eastAsia="黑体"/>
          <w:sz w:val="32"/>
          <w:szCs w:val="32"/>
          <w:lang w:eastAsia="zh-CN"/>
        </w:rPr>
        <w:t>预算</w:t>
      </w:r>
      <w:r>
        <w:rPr>
          <w:rFonts w:hint="eastAsia" w:ascii="黑体" w:hAnsi="Times New Roman" w:eastAsia="黑体"/>
          <w:sz w:val="32"/>
          <w:szCs w:val="32"/>
        </w:rPr>
        <w:t>支出总体情况说明</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我院总预算支出625097.73万元，较上年增长1161.58万元，同比增长0.19%，与上年基本持平。其中：</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（一）社会保障和就业支出2314.55万元，占总预算收入的0.37%，较上年</w:t>
      </w:r>
      <w:r>
        <w:rPr>
          <w:rFonts w:hint="eastAsia" w:ascii="仿宋_GB2312" w:hAnsi="Times New Roman" w:eastAsia="仿宋_GB2312"/>
          <w:sz w:val="32"/>
          <w:szCs w:val="32"/>
          <w:highlight w:val="none"/>
          <w:lang w:eastAsia="zh-CN"/>
        </w:rPr>
        <w:t>增长</w:t>
      </w:r>
      <w:r>
        <w:rPr>
          <w:rFonts w:hint="eastAsia" w:ascii="仿宋_GB2312" w:hAnsi="宋体" w:eastAsia="仿宋_GB2312"/>
          <w:sz w:val="32"/>
          <w:szCs w:val="32"/>
          <w:highlight w:val="none"/>
          <w:lang w:val="en-US" w:eastAsia="zh-CN"/>
        </w:rPr>
        <w:t>26.36</w:t>
      </w:r>
      <w:r>
        <w:rPr>
          <w:rFonts w:hint="eastAsia" w:ascii="仿宋_GB2312" w:hAnsi="Times New Roman" w:eastAsia="仿宋_GB2312"/>
          <w:sz w:val="32"/>
          <w:szCs w:val="32"/>
          <w:highlight w:val="none"/>
          <w:lang w:val="en-US" w:eastAsia="zh-CN"/>
        </w:rPr>
        <w:t>万元，</w:t>
      </w:r>
      <w:r>
        <w:rPr>
          <w:rFonts w:hint="eastAsia" w:ascii="仿宋_GB2312" w:hAnsi="宋体" w:eastAsia="仿宋_GB2312"/>
          <w:sz w:val="32"/>
          <w:szCs w:val="32"/>
          <w:highlight w:val="none"/>
          <w:lang w:val="en-US" w:eastAsia="zh-CN"/>
        </w:rPr>
        <w:t>同比</w:t>
      </w:r>
      <w:r>
        <w:rPr>
          <w:rFonts w:hint="eastAsia" w:ascii="仿宋_GB2312" w:hAnsi="Times New Roman" w:eastAsia="仿宋_GB2312"/>
          <w:sz w:val="32"/>
          <w:szCs w:val="32"/>
          <w:highlight w:val="none"/>
          <w:lang w:eastAsia="zh-CN"/>
        </w:rPr>
        <w:t>增长</w:t>
      </w:r>
      <w:r>
        <w:rPr>
          <w:rFonts w:hint="eastAsia" w:ascii="仿宋_GB2312" w:hAnsi="宋体" w:eastAsia="仿宋_GB2312"/>
          <w:sz w:val="32"/>
          <w:szCs w:val="32"/>
          <w:highlight w:val="none"/>
          <w:lang w:val="en-US" w:eastAsia="zh-CN"/>
        </w:rPr>
        <w:t>1.15%，与上年基本持平。该资金主要用于按照国家政策规定缴纳的养老保险、医疗保险等社会保障方面的支出。</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（二）卫生健康支出621691.38万元，占总预算收入的99.46%，较上年</w:t>
      </w:r>
      <w:r>
        <w:rPr>
          <w:rFonts w:hint="eastAsia" w:ascii="仿宋_GB2312" w:hAnsi="Times New Roman" w:eastAsia="仿宋_GB2312"/>
          <w:sz w:val="32"/>
          <w:szCs w:val="32"/>
          <w:highlight w:val="none"/>
          <w:lang w:eastAsia="zh-CN"/>
        </w:rPr>
        <w:t>增长</w:t>
      </w:r>
      <w:r>
        <w:rPr>
          <w:rFonts w:hint="eastAsia" w:ascii="仿宋_GB2312" w:hAnsi="宋体" w:eastAsia="仿宋_GB2312"/>
          <w:sz w:val="32"/>
          <w:szCs w:val="32"/>
          <w:highlight w:val="none"/>
          <w:lang w:val="en-US" w:eastAsia="zh-CN"/>
        </w:rPr>
        <w:t>1027.09</w:t>
      </w:r>
      <w:r>
        <w:rPr>
          <w:rFonts w:hint="eastAsia" w:ascii="仿宋_GB2312" w:hAnsi="Times New Roman" w:eastAsia="仿宋_GB2312"/>
          <w:sz w:val="32"/>
          <w:szCs w:val="32"/>
          <w:highlight w:val="none"/>
          <w:lang w:val="en-US" w:eastAsia="zh-CN"/>
        </w:rPr>
        <w:t>万元，</w:t>
      </w:r>
      <w:r>
        <w:rPr>
          <w:rFonts w:hint="eastAsia" w:ascii="仿宋_GB2312" w:hAnsi="宋体" w:eastAsia="仿宋_GB2312"/>
          <w:sz w:val="32"/>
          <w:szCs w:val="32"/>
          <w:highlight w:val="none"/>
          <w:lang w:val="en-US" w:eastAsia="zh-CN"/>
        </w:rPr>
        <w:t>同比</w:t>
      </w:r>
      <w:r>
        <w:rPr>
          <w:rFonts w:hint="eastAsia" w:ascii="仿宋_GB2312" w:hAnsi="Times New Roman" w:eastAsia="仿宋_GB2312"/>
          <w:sz w:val="32"/>
          <w:szCs w:val="32"/>
          <w:highlight w:val="none"/>
          <w:lang w:eastAsia="zh-CN"/>
        </w:rPr>
        <w:t>增长</w:t>
      </w:r>
      <w:r>
        <w:rPr>
          <w:rFonts w:hint="eastAsia" w:ascii="仿宋_GB2312" w:hAnsi="宋体" w:eastAsia="仿宋_GB2312"/>
          <w:sz w:val="32"/>
          <w:szCs w:val="32"/>
          <w:highlight w:val="none"/>
          <w:lang w:val="en-US" w:eastAsia="zh-CN"/>
        </w:rPr>
        <w:t>0.17%，与上年基本持平。该资金主要用于医疗卫生健康事业行政管理性事务、业务性事务支出。</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（三）住房保障支出1091.80万元，占总预算收入的0.17%，较上年</w:t>
      </w:r>
      <w:r>
        <w:rPr>
          <w:rFonts w:hint="eastAsia" w:ascii="仿宋_GB2312" w:hAnsi="Times New Roman" w:eastAsia="仿宋_GB2312"/>
          <w:sz w:val="32"/>
          <w:szCs w:val="32"/>
          <w:highlight w:val="none"/>
          <w:lang w:eastAsia="zh-CN"/>
        </w:rPr>
        <w:t>增长</w:t>
      </w:r>
      <w:r>
        <w:rPr>
          <w:rFonts w:hint="eastAsia" w:ascii="仿宋_GB2312" w:hAnsi="宋体" w:eastAsia="仿宋_GB2312"/>
          <w:sz w:val="32"/>
          <w:szCs w:val="32"/>
          <w:highlight w:val="none"/>
          <w:lang w:val="en-US" w:eastAsia="zh-CN"/>
        </w:rPr>
        <w:t>108.13</w:t>
      </w:r>
      <w:r>
        <w:rPr>
          <w:rFonts w:hint="eastAsia" w:ascii="仿宋_GB2312" w:hAnsi="Times New Roman" w:eastAsia="仿宋_GB2312"/>
          <w:sz w:val="32"/>
          <w:szCs w:val="32"/>
          <w:highlight w:val="none"/>
          <w:lang w:val="en-US" w:eastAsia="zh-CN"/>
        </w:rPr>
        <w:t>万元，</w:t>
      </w:r>
      <w:r>
        <w:rPr>
          <w:rFonts w:hint="eastAsia" w:ascii="仿宋_GB2312" w:hAnsi="宋体" w:eastAsia="仿宋_GB2312"/>
          <w:sz w:val="32"/>
          <w:szCs w:val="32"/>
          <w:highlight w:val="none"/>
          <w:lang w:val="en-US" w:eastAsia="zh-CN"/>
        </w:rPr>
        <w:t>同比</w:t>
      </w:r>
      <w:r>
        <w:rPr>
          <w:rFonts w:hint="eastAsia" w:ascii="仿宋_GB2312" w:hAnsi="Times New Roman" w:eastAsia="仿宋_GB2312"/>
          <w:sz w:val="32"/>
          <w:szCs w:val="32"/>
          <w:highlight w:val="none"/>
          <w:lang w:eastAsia="zh-CN"/>
        </w:rPr>
        <w:t>增长</w:t>
      </w:r>
      <w:r>
        <w:rPr>
          <w:rFonts w:hint="eastAsia" w:ascii="仿宋_GB2312" w:hAnsi="宋体" w:eastAsia="仿宋_GB2312"/>
          <w:sz w:val="32"/>
          <w:szCs w:val="32"/>
          <w:highlight w:val="none"/>
          <w:lang w:val="en-US" w:eastAsia="zh-CN"/>
        </w:rPr>
        <w:t>10.99%，主要原因是我院职工薪级变动及人数增加致住房公积金支出增加。该项目主要用于按照国家政策规定向职工发放的住房公积金、提租补贴、购房补贴等住房改革方面的支出。</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黑体" w:hAnsi="Times New Roman" w:eastAsia="黑体"/>
          <w:sz w:val="32"/>
          <w:szCs w:val="32"/>
        </w:rPr>
      </w:pPr>
      <w:r>
        <w:rPr>
          <w:rFonts w:hint="eastAsia" w:ascii="黑体" w:hAnsi="Times New Roman" w:eastAsia="黑体"/>
          <w:sz w:val="32"/>
          <w:szCs w:val="32"/>
          <w:lang w:eastAsia="zh-CN"/>
        </w:rPr>
        <w:t>四</w:t>
      </w:r>
      <w:r>
        <w:rPr>
          <w:rFonts w:hint="eastAsia" w:ascii="黑体" w:hAnsi="Times New Roman" w:eastAsia="黑体"/>
          <w:sz w:val="32"/>
          <w:szCs w:val="32"/>
        </w:rPr>
        <w:t>、政府性基金预算支出情况说明</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黑体" w:hAnsi="Times New Roman" w:eastAsia="黑体"/>
          <w:sz w:val="32"/>
          <w:szCs w:val="32"/>
          <w:highlight w:val="none"/>
          <w:u w:val="none"/>
        </w:rPr>
      </w:pPr>
      <w:r>
        <w:rPr>
          <w:rFonts w:hint="eastAsia" w:ascii="仿宋_GB2312" w:hAnsi="宋体" w:eastAsia="仿宋_GB2312"/>
          <w:sz w:val="32"/>
          <w:szCs w:val="32"/>
          <w:highlight w:val="none"/>
          <w:u w:val="none"/>
          <w:lang w:eastAsia="zh-CN"/>
        </w:rPr>
        <w:t>我院2026年无政府性基金预算</w:t>
      </w:r>
      <w:r>
        <w:rPr>
          <w:rFonts w:hint="eastAsia" w:ascii="仿宋_GB2312" w:hAnsi="宋体" w:eastAsia="仿宋_GB2312"/>
          <w:sz w:val="32"/>
          <w:szCs w:val="32"/>
          <w:highlight w:val="none"/>
          <w:u w:val="none"/>
          <w:lang w:val="en-US" w:eastAsia="zh-CN"/>
        </w:rPr>
        <w:t>。</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黑体" w:hAnsi="Times New Roman" w:eastAsia="黑体"/>
          <w:sz w:val="32"/>
          <w:szCs w:val="32"/>
          <w:highlight w:val="yellow"/>
          <w:lang w:eastAsia="zh-CN"/>
        </w:rPr>
      </w:pPr>
      <w:r>
        <w:rPr>
          <w:rFonts w:hint="eastAsia" w:ascii="黑体" w:hAnsi="Times New Roman" w:eastAsia="黑体"/>
          <w:sz w:val="32"/>
          <w:szCs w:val="32"/>
          <w:highlight w:val="none"/>
          <w:lang w:eastAsia="zh-CN"/>
        </w:rPr>
        <w:t>五</w:t>
      </w:r>
      <w:r>
        <w:rPr>
          <w:rFonts w:hint="eastAsia" w:ascii="黑体" w:hAnsi="Times New Roman" w:eastAsia="黑体"/>
          <w:sz w:val="32"/>
          <w:szCs w:val="32"/>
          <w:highlight w:val="none"/>
        </w:rPr>
        <w:t>、</w:t>
      </w:r>
      <w:r>
        <w:rPr>
          <w:rFonts w:hint="eastAsia" w:ascii="黑体" w:hAnsi="Times New Roman" w:eastAsia="黑体"/>
          <w:sz w:val="32"/>
          <w:szCs w:val="32"/>
          <w:highlight w:val="none"/>
          <w:lang w:eastAsia="zh-CN"/>
        </w:rPr>
        <w:t>国有资本经营</w:t>
      </w:r>
      <w:r>
        <w:rPr>
          <w:rFonts w:hint="eastAsia" w:ascii="黑体" w:hAnsi="Times New Roman" w:eastAsia="黑体"/>
          <w:sz w:val="32"/>
          <w:szCs w:val="32"/>
          <w:highlight w:val="none"/>
        </w:rPr>
        <w:t>预算支出情况说明</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宋体" w:eastAsia="仿宋_GB2312"/>
          <w:b w:val="0"/>
          <w:bCs w:val="0"/>
          <w:sz w:val="32"/>
          <w:szCs w:val="32"/>
          <w:highlight w:val="none"/>
          <w:u w:val="none"/>
        </w:rPr>
      </w:pPr>
      <w:r>
        <w:rPr>
          <w:rFonts w:hint="eastAsia" w:ascii="仿宋_GB2312" w:hAnsi="宋体" w:eastAsia="仿宋_GB2312"/>
          <w:b w:val="0"/>
          <w:bCs w:val="0"/>
          <w:sz w:val="32"/>
          <w:szCs w:val="32"/>
          <w:highlight w:val="none"/>
          <w:u w:val="none"/>
        </w:rPr>
        <w:t>我</w:t>
      </w:r>
      <w:r>
        <w:rPr>
          <w:rFonts w:hint="eastAsia" w:ascii="仿宋_GB2312" w:hAnsi="宋体" w:eastAsia="仿宋_GB2312"/>
          <w:b w:val="0"/>
          <w:bCs w:val="0"/>
          <w:sz w:val="32"/>
          <w:szCs w:val="32"/>
          <w:highlight w:val="none"/>
          <w:u w:val="none"/>
          <w:lang w:eastAsia="zh-CN"/>
        </w:rPr>
        <w:t>院2026年</w:t>
      </w:r>
      <w:r>
        <w:rPr>
          <w:rFonts w:hint="eastAsia" w:ascii="仿宋_GB2312" w:hAnsi="宋体" w:eastAsia="仿宋_GB2312"/>
          <w:b w:val="0"/>
          <w:bCs w:val="0"/>
          <w:sz w:val="32"/>
          <w:szCs w:val="32"/>
          <w:highlight w:val="none"/>
          <w:u w:val="none"/>
        </w:rPr>
        <w:t>无</w:t>
      </w:r>
      <w:r>
        <w:rPr>
          <w:rFonts w:hint="eastAsia" w:ascii="仿宋_GB2312" w:hAnsi="宋体" w:eastAsia="仿宋_GB2312"/>
          <w:b w:val="0"/>
          <w:bCs w:val="0"/>
          <w:sz w:val="32"/>
          <w:szCs w:val="32"/>
          <w:highlight w:val="none"/>
          <w:u w:val="none"/>
          <w:lang w:eastAsia="zh-CN"/>
        </w:rPr>
        <w:t>国有资本经营</w:t>
      </w:r>
      <w:r>
        <w:rPr>
          <w:rFonts w:hint="eastAsia" w:ascii="仿宋_GB2312" w:hAnsi="宋体" w:eastAsia="仿宋_GB2312"/>
          <w:b w:val="0"/>
          <w:bCs w:val="0"/>
          <w:sz w:val="32"/>
          <w:szCs w:val="32"/>
          <w:highlight w:val="none"/>
          <w:u w:val="none"/>
        </w:rPr>
        <w:t>预算。</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黑体" w:hAnsi="Times New Roman" w:eastAsia="黑体"/>
          <w:sz w:val="32"/>
          <w:szCs w:val="32"/>
        </w:rPr>
      </w:pPr>
      <w:r>
        <w:rPr>
          <w:rFonts w:hint="eastAsia" w:ascii="黑体" w:hAnsi="Times New Roman" w:eastAsia="黑体"/>
          <w:sz w:val="32"/>
          <w:szCs w:val="32"/>
          <w:lang w:eastAsia="zh-CN"/>
        </w:rPr>
        <w:t>六</w:t>
      </w:r>
      <w:r>
        <w:rPr>
          <w:rFonts w:hint="eastAsia" w:ascii="黑体" w:hAnsi="Times New Roman" w:eastAsia="黑体"/>
          <w:sz w:val="32"/>
          <w:szCs w:val="32"/>
        </w:rPr>
        <w:t>、一般公共预算“三公”经费支出情况说明</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我</w:t>
      </w:r>
      <w:r>
        <w:rPr>
          <w:rFonts w:hint="eastAsia" w:ascii="仿宋_GB2312" w:hAnsi="宋体" w:eastAsia="仿宋_GB2312"/>
          <w:sz w:val="32"/>
          <w:szCs w:val="32"/>
          <w:highlight w:val="none"/>
          <w:u w:val="none"/>
          <w:lang w:eastAsia="zh-CN"/>
        </w:rPr>
        <w:t>院</w:t>
      </w:r>
      <w:r>
        <w:rPr>
          <w:rFonts w:hint="eastAsia" w:ascii="仿宋_GB2312" w:hAnsi="Times New Roman" w:eastAsia="仿宋_GB2312"/>
          <w:sz w:val="32"/>
          <w:lang w:eastAsia="zh-CN"/>
        </w:rPr>
        <w:t>2026年</w:t>
      </w:r>
      <w:r>
        <w:rPr>
          <w:rFonts w:hint="eastAsia" w:ascii="仿宋_GB2312" w:hAnsi="Times New Roman" w:eastAsia="仿宋_GB2312"/>
          <w:sz w:val="32"/>
        </w:rPr>
        <w:t>一般公共预算</w:t>
      </w:r>
      <w:r>
        <w:rPr>
          <w:rFonts w:hint="eastAsia" w:ascii="仿宋_GB2312" w:hAnsi="Times New Roman" w:eastAsia="仿宋_GB2312"/>
          <w:bCs/>
          <w:sz w:val="32"/>
        </w:rPr>
        <w:t>安排的“三公”经费支出预算</w:t>
      </w:r>
      <w:r>
        <w:rPr>
          <w:rFonts w:hint="eastAsia" w:ascii="仿宋_GB2312" w:hAnsi="Times New Roman" w:eastAsia="仿宋_GB2312"/>
          <w:bCs/>
          <w:sz w:val="32"/>
          <w:lang w:val="en-US" w:eastAsia="zh-CN"/>
        </w:rPr>
        <w:t>0.00</w:t>
      </w:r>
      <w:r>
        <w:rPr>
          <w:rFonts w:hint="eastAsia" w:ascii="仿宋_GB2312" w:hAnsi="Times New Roman" w:eastAsia="仿宋_GB2312"/>
          <w:bCs/>
          <w:sz w:val="32"/>
        </w:rPr>
        <w:t>万元，同口径比202</w:t>
      </w:r>
      <w:r>
        <w:rPr>
          <w:rFonts w:hint="eastAsia" w:ascii="仿宋_GB2312" w:hAnsi="Times New Roman" w:eastAsia="仿宋_GB2312"/>
          <w:bCs/>
          <w:sz w:val="32"/>
          <w:lang w:val="en-US" w:eastAsia="zh-CN"/>
        </w:rPr>
        <w:t>5</w:t>
      </w:r>
      <w:r>
        <w:rPr>
          <w:rFonts w:hint="eastAsia" w:ascii="仿宋_GB2312" w:hAnsi="Times New Roman" w:eastAsia="仿宋_GB2312"/>
          <w:bCs/>
          <w:sz w:val="32"/>
        </w:rPr>
        <w:t>年增加</w:t>
      </w:r>
      <w:r>
        <w:rPr>
          <w:rFonts w:hint="eastAsia" w:ascii="仿宋_GB2312" w:hAnsi="Times New Roman" w:eastAsia="仿宋_GB2312"/>
          <w:bCs/>
          <w:sz w:val="32"/>
          <w:lang w:val="en-US" w:eastAsia="zh-CN"/>
        </w:rPr>
        <w:t>0.00</w:t>
      </w:r>
      <w:r>
        <w:rPr>
          <w:rFonts w:hint="eastAsia" w:ascii="仿宋_GB2312" w:hAnsi="Times New Roman" w:eastAsia="仿宋_GB2312"/>
          <w:bCs/>
          <w:sz w:val="32"/>
        </w:rPr>
        <w:t>万元，增长</w:t>
      </w:r>
      <w:r>
        <w:rPr>
          <w:rFonts w:hint="eastAsia" w:ascii="仿宋_GB2312" w:hAnsi="Times New Roman" w:eastAsia="仿宋_GB2312"/>
          <w:bCs/>
          <w:sz w:val="32"/>
          <w:lang w:val="en-US" w:eastAsia="zh-CN"/>
        </w:rPr>
        <w:t>0.00</w:t>
      </w:r>
      <w:r>
        <w:rPr>
          <w:rFonts w:hint="eastAsia" w:ascii="仿宋_GB2312" w:hAnsi="Times New Roman" w:eastAsia="仿宋_GB2312"/>
          <w:bCs/>
          <w:sz w:val="32"/>
        </w:rPr>
        <w:t>%，具体如下：</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Arial" w:eastAsia="仿宋_GB2312" w:cs="Arial"/>
          <w:kern w:val="0"/>
          <w:sz w:val="32"/>
        </w:rPr>
      </w:pPr>
      <w:r>
        <w:rPr>
          <w:rFonts w:hint="eastAsia" w:ascii="仿宋_GB2312" w:hAnsi="Times New Roman" w:eastAsia="仿宋_GB2312"/>
          <w:sz w:val="32"/>
          <w:lang w:eastAsia="zh-CN"/>
        </w:rPr>
        <w:t>（一）</w:t>
      </w:r>
      <w:r>
        <w:rPr>
          <w:rFonts w:hint="eastAsia" w:ascii="仿宋_GB2312" w:hAnsi="Times New Roman" w:eastAsia="仿宋_GB2312"/>
          <w:sz w:val="32"/>
        </w:rPr>
        <w:t>因公出国（境）费</w:t>
      </w:r>
      <w:r>
        <w:rPr>
          <w:rFonts w:hint="eastAsia" w:ascii="仿宋_GB2312" w:hAnsi="宋体" w:eastAsia="仿宋_GB2312"/>
          <w:sz w:val="32"/>
          <w:szCs w:val="32"/>
          <w:lang w:eastAsia="zh-CN"/>
        </w:rPr>
        <w:t>2026年</w:t>
      </w:r>
      <w:r>
        <w:rPr>
          <w:rFonts w:hint="eastAsia" w:ascii="仿宋_GB2312" w:hAnsi="宋体" w:eastAsia="仿宋_GB2312"/>
          <w:sz w:val="32"/>
          <w:szCs w:val="32"/>
        </w:rPr>
        <w:t>预算安排</w:t>
      </w:r>
      <w:r>
        <w:rPr>
          <w:rFonts w:hint="eastAsia" w:ascii="仿宋_GB2312" w:hAnsi="Times New Roman" w:eastAsia="仿宋_GB2312"/>
          <w:bCs/>
          <w:sz w:val="32"/>
          <w:lang w:val="en-US" w:eastAsia="zh-CN"/>
        </w:rPr>
        <w:t>0.00</w:t>
      </w:r>
      <w:r>
        <w:rPr>
          <w:rFonts w:hint="eastAsia" w:ascii="仿宋_GB2312" w:hAnsi="宋体" w:eastAsia="仿宋_GB2312"/>
          <w:sz w:val="32"/>
          <w:szCs w:val="32"/>
        </w:rPr>
        <w:t>万元，与上年持平</w:t>
      </w:r>
      <w:r>
        <w:rPr>
          <w:rFonts w:hint="eastAsia" w:ascii="仿宋_GB2312" w:hAnsi="Arial" w:eastAsia="仿宋_GB2312" w:cs="Arial"/>
          <w:kern w:val="0"/>
          <w:sz w:val="32"/>
        </w:rPr>
        <w:t>。</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宋体" w:eastAsia="仿宋_GB2312"/>
          <w:sz w:val="32"/>
          <w:szCs w:val="32"/>
        </w:rPr>
      </w:pPr>
      <w:r>
        <w:rPr>
          <w:rFonts w:hint="eastAsia" w:ascii="仿宋_GB2312" w:hAnsi="Times New Roman" w:eastAsia="仿宋_GB2312"/>
          <w:sz w:val="32"/>
          <w:lang w:eastAsia="zh-CN"/>
        </w:rPr>
        <w:t>（二）</w:t>
      </w:r>
      <w:r>
        <w:rPr>
          <w:rFonts w:hint="eastAsia" w:ascii="仿宋_GB2312" w:hAnsi="Times New Roman" w:eastAsia="仿宋_GB2312"/>
          <w:sz w:val="32"/>
        </w:rPr>
        <w:t>公务用车购置及运行费</w:t>
      </w:r>
      <w:r>
        <w:rPr>
          <w:rFonts w:hint="eastAsia" w:ascii="仿宋_GB2312" w:hAnsi="宋体" w:eastAsia="仿宋_GB2312"/>
          <w:sz w:val="32"/>
          <w:szCs w:val="32"/>
          <w:lang w:eastAsia="zh-CN"/>
        </w:rPr>
        <w:t>2026年</w:t>
      </w:r>
      <w:r>
        <w:rPr>
          <w:rFonts w:hint="eastAsia" w:ascii="仿宋_GB2312" w:hAnsi="宋体" w:eastAsia="仿宋_GB2312"/>
          <w:sz w:val="32"/>
          <w:szCs w:val="32"/>
        </w:rPr>
        <w:t>预算安排</w:t>
      </w:r>
      <w:r>
        <w:rPr>
          <w:rFonts w:hint="eastAsia" w:ascii="仿宋_GB2312" w:hAnsi="Times New Roman" w:eastAsia="仿宋_GB2312"/>
          <w:bCs/>
          <w:sz w:val="32"/>
          <w:lang w:val="en-US" w:eastAsia="zh-CN"/>
        </w:rPr>
        <w:t>0.00</w:t>
      </w:r>
      <w:r>
        <w:rPr>
          <w:rFonts w:hint="eastAsia" w:ascii="仿宋_GB2312" w:hAnsi="宋体" w:eastAsia="仿宋_GB2312"/>
          <w:sz w:val="32"/>
          <w:szCs w:val="32"/>
        </w:rPr>
        <w:t>万元，与上年持平</w:t>
      </w:r>
      <w:r>
        <w:rPr>
          <w:rFonts w:hint="eastAsia" w:ascii="仿宋_GB2312" w:hAnsi="宋体" w:eastAsia="仿宋_GB2312"/>
          <w:sz w:val="32"/>
          <w:szCs w:val="32"/>
          <w:lang w:eastAsia="zh-CN"/>
        </w:rPr>
        <w:t>，</w:t>
      </w:r>
      <w:r>
        <w:rPr>
          <w:rFonts w:hint="eastAsia" w:ascii="仿宋_GB2312" w:hAnsi="宋体" w:eastAsia="仿宋_GB2312"/>
          <w:sz w:val="32"/>
          <w:szCs w:val="32"/>
        </w:rPr>
        <w:t>其中：</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Arial" w:eastAsia="仿宋_GB2312" w:cs="Arial"/>
          <w:kern w:val="0"/>
          <w:sz w:val="32"/>
        </w:rPr>
      </w:pPr>
      <w:r>
        <w:rPr>
          <w:rFonts w:hint="eastAsia" w:ascii="仿宋_GB2312" w:hAnsi="宋体" w:eastAsia="仿宋_GB2312"/>
          <w:sz w:val="32"/>
          <w:szCs w:val="32"/>
        </w:rPr>
        <w:t>公务用车购置费</w:t>
      </w:r>
      <w:r>
        <w:rPr>
          <w:rFonts w:hint="eastAsia" w:ascii="仿宋_GB2312" w:hAnsi="宋体" w:eastAsia="仿宋_GB2312"/>
          <w:sz w:val="32"/>
          <w:szCs w:val="32"/>
          <w:lang w:eastAsia="zh-CN"/>
        </w:rPr>
        <w:t>2026年</w:t>
      </w:r>
      <w:r>
        <w:rPr>
          <w:rFonts w:hint="eastAsia" w:ascii="仿宋_GB2312" w:hAnsi="宋体" w:eastAsia="仿宋_GB2312"/>
          <w:sz w:val="32"/>
          <w:szCs w:val="32"/>
        </w:rPr>
        <w:t>预算安排</w:t>
      </w:r>
      <w:r>
        <w:rPr>
          <w:rFonts w:hint="eastAsia" w:ascii="仿宋_GB2312" w:hAnsi="Times New Roman" w:eastAsia="仿宋_GB2312"/>
          <w:bCs/>
          <w:sz w:val="32"/>
          <w:lang w:val="en-US" w:eastAsia="zh-CN"/>
        </w:rPr>
        <w:t>0.00</w:t>
      </w:r>
      <w:r>
        <w:rPr>
          <w:rFonts w:hint="eastAsia" w:ascii="仿宋_GB2312" w:hAnsi="宋体" w:eastAsia="仿宋_GB2312"/>
          <w:sz w:val="32"/>
          <w:szCs w:val="32"/>
        </w:rPr>
        <w:t>万元，与上年持平</w:t>
      </w:r>
      <w:r>
        <w:rPr>
          <w:rFonts w:hint="eastAsia" w:ascii="仿宋_GB2312" w:hAnsi="Arial" w:eastAsia="仿宋_GB2312" w:cs="Arial"/>
          <w:kern w:val="0"/>
          <w:sz w:val="32"/>
        </w:rPr>
        <w:t>；</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黑体" w:hAnsi="Times New Roman" w:eastAsia="黑体"/>
          <w:sz w:val="32"/>
          <w:szCs w:val="32"/>
          <w:lang w:eastAsia="zh-CN"/>
        </w:rPr>
      </w:pPr>
      <w:r>
        <w:rPr>
          <w:rFonts w:hint="eastAsia" w:ascii="仿宋_GB2312" w:hAnsi="宋体" w:eastAsia="仿宋_GB2312"/>
          <w:sz w:val="32"/>
          <w:szCs w:val="32"/>
        </w:rPr>
        <w:t>公务用车运行维护费</w:t>
      </w:r>
      <w:r>
        <w:rPr>
          <w:rFonts w:hint="eastAsia" w:ascii="仿宋_GB2312" w:hAnsi="宋体" w:eastAsia="仿宋_GB2312"/>
          <w:sz w:val="32"/>
          <w:szCs w:val="32"/>
          <w:lang w:eastAsia="zh-CN"/>
        </w:rPr>
        <w:t>2026年</w:t>
      </w:r>
      <w:r>
        <w:rPr>
          <w:rFonts w:hint="eastAsia" w:ascii="仿宋_GB2312" w:hAnsi="宋体" w:eastAsia="仿宋_GB2312"/>
          <w:sz w:val="32"/>
          <w:szCs w:val="32"/>
        </w:rPr>
        <w:t>预算安排</w:t>
      </w:r>
      <w:r>
        <w:rPr>
          <w:rFonts w:hint="eastAsia" w:ascii="仿宋_GB2312" w:hAnsi="Times New Roman" w:eastAsia="仿宋_GB2312"/>
          <w:bCs/>
          <w:sz w:val="32"/>
          <w:lang w:val="en-US" w:eastAsia="zh-CN"/>
        </w:rPr>
        <w:t>0.00</w:t>
      </w:r>
      <w:r>
        <w:rPr>
          <w:rFonts w:hint="eastAsia" w:ascii="仿宋_GB2312" w:hAnsi="宋体" w:eastAsia="仿宋_GB2312"/>
          <w:sz w:val="32"/>
          <w:szCs w:val="32"/>
        </w:rPr>
        <w:t>元，与上年持平</w:t>
      </w:r>
      <w:r>
        <w:rPr>
          <w:rFonts w:hint="eastAsia" w:ascii="仿宋_GB2312" w:hAnsi="Arial" w:eastAsia="仿宋_GB2312" w:cs="Arial"/>
          <w:kern w:val="0"/>
          <w:sz w:val="32"/>
        </w:rPr>
        <w:t>。</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Arial" w:eastAsia="仿宋_GB2312" w:cs="Arial"/>
          <w:kern w:val="0"/>
          <w:sz w:val="32"/>
        </w:rPr>
      </w:pPr>
      <w:r>
        <w:rPr>
          <w:rFonts w:hint="eastAsia" w:ascii="仿宋_GB2312" w:hAnsi="Times New Roman" w:eastAsia="仿宋_GB2312"/>
          <w:sz w:val="32"/>
          <w:lang w:eastAsia="zh-CN"/>
        </w:rPr>
        <w:t>（三）</w:t>
      </w:r>
      <w:r>
        <w:rPr>
          <w:rFonts w:hint="eastAsia" w:ascii="仿宋_GB2312" w:hAnsi="Times New Roman" w:eastAsia="仿宋_GB2312"/>
          <w:sz w:val="32"/>
        </w:rPr>
        <w:t>公务接待费</w:t>
      </w:r>
      <w:r>
        <w:rPr>
          <w:rFonts w:hint="eastAsia" w:ascii="仿宋_GB2312" w:hAnsi="宋体" w:eastAsia="仿宋_GB2312"/>
          <w:sz w:val="32"/>
          <w:szCs w:val="32"/>
          <w:lang w:eastAsia="zh-CN"/>
        </w:rPr>
        <w:t>2026年</w:t>
      </w:r>
      <w:r>
        <w:rPr>
          <w:rFonts w:hint="eastAsia" w:ascii="仿宋_GB2312" w:hAnsi="宋体" w:eastAsia="仿宋_GB2312"/>
          <w:sz w:val="32"/>
          <w:szCs w:val="32"/>
        </w:rPr>
        <w:t>预算安排</w:t>
      </w:r>
      <w:r>
        <w:rPr>
          <w:rFonts w:hint="eastAsia" w:ascii="仿宋_GB2312" w:hAnsi="Times New Roman" w:eastAsia="仿宋_GB2312"/>
          <w:bCs/>
          <w:sz w:val="32"/>
          <w:lang w:val="en-US" w:eastAsia="zh-CN"/>
        </w:rPr>
        <w:t>0.00</w:t>
      </w:r>
      <w:r>
        <w:rPr>
          <w:rFonts w:hint="eastAsia" w:ascii="仿宋_GB2312" w:hAnsi="宋体" w:eastAsia="仿宋_GB2312"/>
          <w:sz w:val="32"/>
          <w:szCs w:val="32"/>
        </w:rPr>
        <w:t>万元，与上年持平</w:t>
      </w:r>
      <w:r>
        <w:rPr>
          <w:rFonts w:hint="eastAsia" w:ascii="仿宋_GB2312" w:hAnsi="Arial" w:eastAsia="仿宋_GB2312" w:cs="Arial"/>
          <w:kern w:val="0"/>
          <w:sz w:val="32"/>
        </w:rPr>
        <w:t>。</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黑体" w:hAnsi="Times New Roman" w:eastAsia="黑体"/>
          <w:sz w:val="32"/>
          <w:szCs w:val="32"/>
          <w:lang w:eastAsia="zh-CN"/>
        </w:rPr>
        <w:t>七、</w:t>
      </w:r>
      <w:r>
        <w:rPr>
          <w:rFonts w:hint="eastAsia" w:ascii="黑体" w:hAnsi="黑体" w:eastAsia="黑体" w:cs="黑体"/>
          <w:sz w:val="32"/>
          <w:szCs w:val="32"/>
        </w:rPr>
        <w:t>事业单位相关运行经费安排情况说明</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机关运行经费主要指的是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Times New Roman" w:eastAsia="仿宋_GB2312"/>
          <w:sz w:val="32"/>
          <w:lang w:eastAsia="zh-CN"/>
        </w:rPr>
      </w:pPr>
      <w:r>
        <w:rPr>
          <w:rFonts w:hint="eastAsia" w:ascii="仿宋_GB2312" w:hAnsi="宋体" w:eastAsia="仿宋_GB2312"/>
          <w:sz w:val="32"/>
          <w:szCs w:val="32"/>
        </w:rPr>
        <w:t>我</w:t>
      </w:r>
      <w:r>
        <w:rPr>
          <w:rFonts w:hint="eastAsia" w:ascii="仿宋_GB2312" w:hAnsi="宋体" w:eastAsia="仿宋_GB2312"/>
          <w:sz w:val="32"/>
          <w:szCs w:val="32"/>
          <w:highlight w:val="none"/>
          <w:u w:val="none"/>
          <w:lang w:eastAsia="zh-CN"/>
        </w:rPr>
        <w:t>院</w:t>
      </w:r>
      <w:r>
        <w:rPr>
          <w:rFonts w:hint="eastAsia" w:ascii="仿宋_GB2312" w:hAnsi="Times New Roman" w:eastAsia="仿宋_GB2312"/>
          <w:sz w:val="32"/>
          <w:lang w:eastAsia="zh-CN"/>
        </w:rPr>
        <w:t>2026年事业单位运行经费主要包括</w:t>
      </w:r>
      <w:r>
        <w:rPr>
          <w:rFonts w:hint="eastAsia" w:ascii="仿宋_GB2312" w:hAnsi="Times New Roman" w:eastAsia="仿宋_GB2312"/>
          <w:sz w:val="32"/>
          <w:lang w:val="en-US" w:eastAsia="zh-CN"/>
        </w:rPr>
        <w:t>办公费112.00万元、印刷费130.00万元、邮电费69.00万元、差旅费1116.95万元、会议费20.00万元、维修（护）费5916.16万元、水电费4820.00万元、物业管理费7121.00万元、专用材料费219257.60万元、手续费6.00万元、租赁费1406.97万元、公务用车运行维护费168.00万元、其他交通费用100.00万元、其他费用29303.59万元。</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楷体_GB2312" w:hAnsi="楷体_GB2312" w:eastAsia="楷体_GB2312" w:cs="楷体_GB2312"/>
          <w:kern w:val="0"/>
          <w:sz w:val="32"/>
        </w:rPr>
      </w:pPr>
      <w:r>
        <w:rPr>
          <w:rFonts w:hint="eastAsia" w:ascii="黑体" w:hAnsi="黑体" w:eastAsia="黑体" w:cs="黑体"/>
          <w:sz w:val="32"/>
          <w:szCs w:val="32"/>
          <w:lang w:eastAsia="zh-CN"/>
        </w:rPr>
        <w:t>八、</w:t>
      </w:r>
      <w:r>
        <w:rPr>
          <w:rFonts w:hint="eastAsia" w:ascii="黑体" w:hAnsi="黑体" w:eastAsia="黑体" w:cs="黑体"/>
          <w:kern w:val="0"/>
          <w:sz w:val="32"/>
        </w:rPr>
        <w:t>政府采购预算安排情况说明</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highlight w:val="none"/>
        </w:rPr>
        <w:t>我</w:t>
      </w:r>
      <w:r>
        <w:rPr>
          <w:rFonts w:hint="eastAsia" w:ascii="仿宋_GB2312" w:hAnsi="宋体" w:eastAsia="仿宋_GB2312"/>
          <w:sz w:val="32"/>
          <w:szCs w:val="32"/>
          <w:highlight w:val="none"/>
          <w:lang w:val="en-US" w:eastAsia="zh-CN"/>
        </w:rPr>
        <w:t>院</w:t>
      </w:r>
      <w:r>
        <w:rPr>
          <w:rFonts w:hint="eastAsia" w:ascii="仿宋_GB2312" w:hAnsi="宋体" w:eastAsia="仿宋_GB2312"/>
          <w:sz w:val="32"/>
          <w:szCs w:val="32"/>
          <w:lang w:eastAsia="zh-CN"/>
        </w:rPr>
        <w:t>2026年</w:t>
      </w:r>
      <w:r>
        <w:rPr>
          <w:rFonts w:hint="eastAsia" w:ascii="仿宋_GB2312" w:hAnsi="宋体" w:eastAsia="仿宋_GB2312"/>
          <w:sz w:val="32"/>
          <w:szCs w:val="32"/>
        </w:rPr>
        <w:t>政府采购预算总金额</w:t>
      </w:r>
      <w:r>
        <w:rPr>
          <w:rFonts w:hint="eastAsia" w:ascii="仿宋_GB2312" w:hAnsi="宋体" w:eastAsia="仿宋_GB2312"/>
          <w:sz w:val="32"/>
          <w:szCs w:val="32"/>
          <w:lang w:val="en-US" w:eastAsia="zh-CN"/>
        </w:rPr>
        <w:t>110064.20</w:t>
      </w:r>
      <w:r>
        <w:rPr>
          <w:rFonts w:hint="eastAsia" w:ascii="仿宋_GB2312" w:hAnsi="宋体" w:eastAsia="仿宋_GB2312"/>
          <w:sz w:val="32"/>
          <w:szCs w:val="32"/>
        </w:rPr>
        <w:t>万元。其中：货物类采购</w:t>
      </w:r>
      <w:r>
        <w:rPr>
          <w:rFonts w:hint="eastAsia" w:ascii="仿宋_GB2312" w:hAnsi="宋体" w:eastAsia="仿宋_GB2312"/>
          <w:sz w:val="32"/>
          <w:szCs w:val="32"/>
          <w:lang w:val="en-US" w:eastAsia="zh-CN"/>
        </w:rPr>
        <w:t>58481.58</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，主要包括办公设备、专用设备及医院食堂采购物品等；</w:t>
      </w:r>
      <w:r>
        <w:rPr>
          <w:rFonts w:hint="eastAsia" w:ascii="仿宋_GB2312" w:hAnsi="宋体" w:eastAsia="仿宋_GB2312"/>
          <w:sz w:val="32"/>
          <w:szCs w:val="32"/>
        </w:rPr>
        <w:t>工程类采购</w:t>
      </w:r>
      <w:r>
        <w:rPr>
          <w:rFonts w:hint="eastAsia" w:ascii="仿宋_GB2312" w:hAnsi="宋体" w:eastAsia="仿宋_GB2312"/>
          <w:sz w:val="32"/>
          <w:szCs w:val="32"/>
          <w:lang w:val="en-US" w:eastAsia="zh-CN"/>
        </w:rPr>
        <w:t>13417.00</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，主要包括东盟楼双回路供电工程、装修工程、东盟楼PET机房防护工程等；</w:t>
      </w:r>
      <w:r>
        <w:rPr>
          <w:rFonts w:hint="eastAsia" w:ascii="仿宋_GB2312" w:hAnsi="宋体" w:eastAsia="仿宋_GB2312"/>
          <w:sz w:val="32"/>
          <w:szCs w:val="32"/>
        </w:rPr>
        <w:t>服务类采购</w:t>
      </w:r>
      <w:r>
        <w:rPr>
          <w:rFonts w:hint="eastAsia" w:ascii="仿宋_GB2312" w:hAnsi="宋体" w:eastAsia="仿宋_GB2312"/>
          <w:sz w:val="32"/>
          <w:szCs w:val="32"/>
          <w:lang w:val="en-US" w:eastAsia="zh-CN"/>
        </w:rPr>
        <w:t>38165.62</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，主要包括医疗设备维修和保养服务、车辆维修和保养服务、安全运维服务、印刷服务、应用软件开发服务、物业管理服务、财产保险服务等</w:t>
      </w:r>
      <w:r>
        <w:rPr>
          <w:rFonts w:hint="eastAsia" w:ascii="仿宋_GB2312" w:hAnsi="宋体" w:eastAsia="仿宋_GB2312"/>
          <w:sz w:val="32"/>
          <w:szCs w:val="32"/>
        </w:rPr>
        <w:t>。</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楷体_GB2312" w:hAnsi="楷体_GB2312" w:eastAsia="楷体_GB2312" w:cs="楷体_GB2312"/>
          <w:kern w:val="0"/>
          <w:sz w:val="32"/>
          <w:lang w:eastAsia="zh-CN"/>
        </w:rPr>
      </w:pPr>
      <w:r>
        <w:rPr>
          <w:rFonts w:hint="eastAsia" w:ascii="黑体" w:hAnsi="黑体" w:eastAsia="黑体" w:cs="黑体"/>
          <w:kern w:val="0"/>
          <w:sz w:val="32"/>
          <w:lang w:eastAsia="zh-CN"/>
        </w:rPr>
        <w:t>九、</w:t>
      </w:r>
      <w:r>
        <w:rPr>
          <w:rFonts w:hint="eastAsia" w:ascii="黑体" w:hAnsi="黑体" w:eastAsia="黑体" w:cs="黑体"/>
          <w:kern w:val="0"/>
          <w:sz w:val="32"/>
        </w:rPr>
        <w:t>国有资产占用情况说明</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黑体" w:hAnsi="Arial" w:eastAsia="黑体" w:cs="Arial"/>
          <w:b w:val="0"/>
          <w:bCs w:val="0"/>
          <w:kern w:val="0"/>
          <w:sz w:val="32"/>
          <w:u w:val="none"/>
        </w:rPr>
      </w:pPr>
      <w:r>
        <w:rPr>
          <w:rFonts w:hint="eastAsia" w:ascii="仿宋_GB2312" w:hAnsi="宋体" w:eastAsia="仿宋_GB2312"/>
          <w:b w:val="0"/>
          <w:bCs w:val="0"/>
          <w:sz w:val="32"/>
          <w:szCs w:val="32"/>
          <w:highlight w:val="none"/>
          <w:u w:val="none"/>
        </w:rPr>
        <w:t>截</w:t>
      </w:r>
      <w:r>
        <w:rPr>
          <w:rFonts w:hint="eastAsia" w:ascii="仿宋_GB2312" w:hAnsi="宋体" w:eastAsia="仿宋_GB2312"/>
          <w:b w:val="0"/>
          <w:bCs w:val="0"/>
          <w:sz w:val="32"/>
          <w:szCs w:val="32"/>
          <w:highlight w:val="none"/>
          <w:u w:val="none"/>
          <w:lang w:val="en-US" w:eastAsia="zh-CN"/>
        </w:rPr>
        <w:t>至</w:t>
      </w:r>
      <w:r>
        <w:rPr>
          <w:rFonts w:hint="eastAsia" w:ascii="仿宋_GB2312" w:hAnsi="宋体" w:eastAsia="仿宋_GB2312"/>
          <w:b w:val="0"/>
          <w:bCs w:val="0"/>
          <w:sz w:val="32"/>
          <w:szCs w:val="32"/>
          <w:highlight w:val="none"/>
          <w:u w:val="none"/>
        </w:rPr>
        <w:t>202</w:t>
      </w:r>
      <w:r>
        <w:rPr>
          <w:rFonts w:hint="eastAsia" w:ascii="仿宋_GB2312" w:hAnsi="宋体" w:eastAsia="仿宋_GB2312"/>
          <w:b w:val="0"/>
          <w:bCs w:val="0"/>
          <w:sz w:val="32"/>
          <w:szCs w:val="32"/>
          <w:highlight w:val="none"/>
          <w:u w:val="none"/>
          <w:lang w:val="en-US" w:eastAsia="zh-CN"/>
        </w:rPr>
        <w:t>5</w:t>
      </w:r>
      <w:r>
        <w:rPr>
          <w:rFonts w:hint="eastAsia" w:ascii="仿宋_GB2312" w:hAnsi="宋体" w:eastAsia="仿宋_GB2312"/>
          <w:b w:val="0"/>
          <w:bCs w:val="0"/>
          <w:sz w:val="32"/>
          <w:szCs w:val="32"/>
          <w:highlight w:val="none"/>
          <w:u w:val="none"/>
        </w:rPr>
        <w:t>年12月31日</w:t>
      </w:r>
      <w:r>
        <w:rPr>
          <w:rFonts w:hint="eastAsia" w:ascii="仿宋_GB2312" w:hAnsi="宋体" w:eastAsia="仿宋_GB2312"/>
          <w:b w:val="0"/>
          <w:bCs w:val="0"/>
          <w:sz w:val="32"/>
          <w:szCs w:val="32"/>
          <w:highlight w:val="none"/>
          <w:u w:val="none"/>
          <w:lang w:eastAsia="zh-CN"/>
        </w:rPr>
        <w:t>，</w:t>
      </w:r>
      <w:r>
        <w:rPr>
          <w:rFonts w:hint="eastAsia" w:ascii="仿宋_GB2312" w:hAnsi="宋体" w:eastAsia="仿宋_GB2312"/>
          <w:b w:val="0"/>
          <w:bCs w:val="0"/>
          <w:sz w:val="32"/>
          <w:szCs w:val="32"/>
          <w:highlight w:val="none"/>
          <w:u w:val="none"/>
        </w:rPr>
        <w:t>资产总额390404</w:t>
      </w:r>
      <w:r>
        <w:rPr>
          <w:rFonts w:hint="eastAsia" w:ascii="仿宋_GB2312" w:hAnsi="宋体" w:eastAsia="仿宋_GB2312"/>
          <w:b w:val="0"/>
          <w:bCs w:val="0"/>
          <w:sz w:val="32"/>
          <w:szCs w:val="32"/>
          <w:highlight w:val="none"/>
          <w:u w:val="none"/>
          <w:lang w:val="en-US" w:eastAsia="zh-CN"/>
        </w:rPr>
        <w:t>.</w:t>
      </w:r>
      <w:r>
        <w:rPr>
          <w:rFonts w:hint="eastAsia" w:ascii="仿宋_GB2312" w:hAnsi="宋体" w:eastAsia="仿宋_GB2312"/>
          <w:b w:val="0"/>
          <w:bCs w:val="0"/>
          <w:sz w:val="32"/>
          <w:szCs w:val="32"/>
          <w:highlight w:val="none"/>
          <w:u w:val="none"/>
        </w:rPr>
        <w:t>83万元，其中</w:t>
      </w:r>
      <w:r>
        <w:rPr>
          <w:rFonts w:hint="eastAsia" w:ascii="仿宋_GB2312" w:hAnsi="宋体" w:eastAsia="仿宋_GB2312"/>
          <w:b w:val="0"/>
          <w:bCs w:val="0"/>
          <w:sz w:val="32"/>
          <w:szCs w:val="32"/>
          <w:highlight w:val="none"/>
          <w:u w:val="none"/>
          <w:lang w:eastAsia="zh-CN"/>
        </w:rPr>
        <w:t>：</w:t>
      </w:r>
      <w:r>
        <w:rPr>
          <w:rFonts w:hint="eastAsia" w:ascii="仿宋_GB2312" w:hAnsi="宋体" w:eastAsia="仿宋_GB2312"/>
          <w:b w:val="0"/>
          <w:bCs w:val="0"/>
          <w:sz w:val="32"/>
          <w:szCs w:val="32"/>
          <w:highlight w:val="none"/>
          <w:u w:val="none"/>
        </w:rPr>
        <w:t>流动资产127497</w:t>
      </w:r>
      <w:r>
        <w:rPr>
          <w:rFonts w:hint="eastAsia" w:ascii="仿宋_GB2312" w:hAnsi="宋体" w:eastAsia="仿宋_GB2312"/>
          <w:b w:val="0"/>
          <w:bCs w:val="0"/>
          <w:sz w:val="32"/>
          <w:szCs w:val="32"/>
          <w:highlight w:val="none"/>
          <w:u w:val="none"/>
          <w:lang w:val="en-US" w:eastAsia="zh-CN"/>
        </w:rPr>
        <w:t>.</w:t>
      </w:r>
      <w:r>
        <w:rPr>
          <w:rFonts w:hint="eastAsia" w:ascii="仿宋_GB2312" w:hAnsi="宋体" w:eastAsia="仿宋_GB2312"/>
          <w:b w:val="0"/>
          <w:bCs w:val="0"/>
          <w:sz w:val="32"/>
          <w:szCs w:val="32"/>
          <w:highlight w:val="none"/>
          <w:u w:val="none"/>
        </w:rPr>
        <w:t>6</w:t>
      </w:r>
      <w:r>
        <w:rPr>
          <w:rFonts w:hint="eastAsia" w:ascii="仿宋_GB2312" w:hAnsi="宋体" w:eastAsia="仿宋_GB2312"/>
          <w:b w:val="0"/>
          <w:bCs w:val="0"/>
          <w:sz w:val="32"/>
          <w:szCs w:val="32"/>
          <w:highlight w:val="none"/>
          <w:u w:val="none"/>
          <w:lang w:val="en-US" w:eastAsia="zh-CN"/>
        </w:rPr>
        <w:t>7</w:t>
      </w:r>
      <w:r>
        <w:rPr>
          <w:rFonts w:hint="eastAsia" w:ascii="仿宋_GB2312" w:hAnsi="宋体" w:eastAsia="仿宋_GB2312"/>
          <w:b w:val="0"/>
          <w:bCs w:val="0"/>
          <w:sz w:val="32"/>
          <w:szCs w:val="32"/>
          <w:highlight w:val="none"/>
          <w:u w:val="none"/>
        </w:rPr>
        <w:t>万元、固定资产净值174225</w:t>
      </w:r>
      <w:r>
        <w:rPr>
          <w:rFonts w:hint="eastAsia" w:ascii="仿宋_GB2312" w:hAnsi="宋体" w:eastAsia="仿宋_GB2312"/>
          <w:b w:val="0"/>
          <w:bCs w:val="0"/>
          <w:sz w:val="32"/>
          <w:szCs w:val="32"/>
          <w:highlight w:val="none"/>
          <w:u w:val="none"/>
          <w:lang w:val="en-US" w:eastAsia="zh-CN"/>
        </w:rPr>
        <w:t>.</w:t>
      </w:r>
      <w:r>
        <w:rPr>
          <w:rFonts w:hint="eastAsia" w:ascii="仿宋_GB2312" w:hAnsi="宋体" w:eastAsia="仿宋_GB2312"/>
          <w:b w:val="0"/>
          <w:bCs w:val="0"/>
          <w:sz w:val="32"/>
          <w:szCs w:val="32"/>
          <w:highlight w:val="none"/>
          <w:u w:val="none"/>
        </w:rPr>
        <w:t>55万元、在建工程64664</w:t>
      </w:r>
      <w:r>
        <w:rPr>
          <w:rFonts w:hint="eastAsia" w:ascii="仿宋_GB2312" w:hAnsi="宋体" w:eastAsia="仿宋_GB2312"/>
          <w:b w:val="0"/>
          <w:bCs w:val="0"/>
          <w:sz w:val="32"/>
          <w:szCs w:val="32"/>
          <w:highlight w:val="none"/>
          <w:u w:val="none"/>
          <w:lang w:val="en-US" w:eastAsia="zh-CN"/>
        </w:rPr>
        <w:t>.</w:t>
      </w:r>
      <w:r>
        <w:rPr>
          <w:rFonts w:hint="eastAsia" w:ascii="仿宋_GB2312" w:hAnsi="宋体" w:eastAsia="仿宋_GB2312"/>
          <w:b w:val="0"/>
          <w:bCs w:val="0"/>
          <w:sz w:val="32"/>
          <w:szCs w:val="32"/>
          <w:highlight w:val="none"/>
          <w:u w:val="none"/>
        </w:rPr>
        <w:t>8</w:t>
      </w:r>
      <w:r>
        <w:rPr>
          <w:rFonts w:hint="eastAsia" w:ascii="仿宋_GB2312" w:hAnsi="宋体" w:eastAsia="仿宋_GB2312"/>
          <w:b w:val="0"/>
          <w:bCs w:val="0"/>
          <w:sz w:val="32"/>
          <w:szCs w:val="32"/>
          <w:highlight w:val="none"/>
          <w:u w:val="none"/>
          <w:lang w:val="en-US" w:eastAsia="zh-CN"/>
        </w:rPr>
        <w:t>7</w:t>
      </w:r>
      <w:r>
        <w:rPr>
          <w:rFonts w:hint="eastAsia" w:ascii="仿宋_GB2312" w:hAnsi="宋体" w:eastAsia="仿宋_GB2312"/>
          <w:b w:val="0"/>
          <w:bCs w:val="0"/>
          <w:sz w:val="32"/>
          <w:szCs w:val="32"/>
          <w:highlight w:val="none"/>
          <w:u w:val="none"/>
        </w:rPr>
        <w:t>万元、无形资产净值8455</w:t>
      </w:r>
      <w:r>
        <w:rPr>
          <w:rFonts w:hint="eastAsia" w:ascii="仿宋_GB2312" w:hAnsi="宋体" w:eastAsia="仿宋_GB2312"/>
          <w:b w:val="0"/>
          <w:bCs w:val="0"/>
          <w:sz w:val="32"/>
          <w:szCs w:val="32"/>
          <w:highlight w:val="none"/>
          <w:u w:val="none"/>
          <w:lang w:val="en-US" w:eastAsia="zh-CN"/>
        </w:rPr>
        <w:t>.</w:t>
      </w:r>
      <w:r>
        <w:rPr>
          <w:rFonts w:hint="eastAsia" w:ascii="仿宋_GB2312" w:hAnsi="宋体" w:eastAsia="仿宋_GB2312"/>
          <w:b w:val="0"/>
          <w:bCs w:val="0"/>
          <w:sz w:val="32"/>
          <w:szCs w:val="32"/>
          <w:highlight w:val="none"/>
          <w:u w:val="none"/>
        </w:rPr>
        <w:t>99万元。</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黑体" w:hAnsi="黑体" w:eastAsia="黑体" w:cs="黑体"/>
          <w:sz w:val="32"/>
          <w:szCs w:val="32"/>
          <w:lang w:eastAsia="zh-CN"/>
        </w:rPr>
        <w:t>十、</w:t>
      </w:r>
      <w:r>
        <w:rPr>
          <w:rFonts w:hint="eastAsia" w:ascii="黑体" w:hAnsi="黑体" w:eastAsia="黑体" w:cs="黑体"/>
          <w:sz w:val="32"/>
          <w:szCs w:val="32"/>
        </w:rPr>
        <w:t>预算</w:t>
      </w:r>
      <w:r>
        <w:rPr>
          <w:rFonts w:hint="eastAsia" w:ascii="黑体" w:hAnsi="黑体" w:eastAsia="黑体" w:cs="黑体"/>
          <w:sz w:val="32"/>
          <w:szCs w:val="32"/>
          <w:lang w:eastAsia="zh-CN"/>
        </w:rPr>
        <w:t>项目</w:t>
      </w:r>
      <w:r>
        <w:rPr>
          <w:rFonts w:hint="eastAsia" w:ascii="黑体" w:hAnsi="黑体" w:eastAsia="黑体" w:cs="黑体"/>
          <w:sz w:val="32"/>
          <w:szCs w:val="32"/>
        </w:rPr>
        <w:t>绩效目标情况说明</w:t>
      </w:r>
    </w:p>
    <w:p>
      <w:pPr>
        <w:keepNext w:val="0"/>
        <w:keepLines w:val="0"/>
        <w:pageBreakBefore w:val="0"/>
        <w:widowControl w:val="0"/>
        <w:numPr>
          <w:numId w:val="0"/>
        </w:numPr>
        <w:tabs>
          <w:tab w:val="center" w:pos="4475"/>
        </w:tabs>
        <w:suppressAutoHyphens w:val="0"/>
        <w:kinsoku/>
        <w:wordWrap/>
        <w:overflowPunct/>
        <w:topLinePunct w:val="0"/>
        <w:autoSpaceDE/>
        <w:autoSpaceDN w:val="0"/>
        <w:bidi w:val="0"/>
        <w:spacing w:line="560" w:lineRule="exact"/>
        <w:ind w:firstLine="640" w:firstLineChars="200"/>
        <w:textAlignment w:val="auto"/>
        <w:rPr>
          <w:rFonts w:hint="default"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sz w:val="32"/>
          <w:szCs w:val="32"/>
          <w:lang w:val="en-US" w:eastAsia="zh-CN"/>
        </w:rPr>
        <w:t>项目</w:t>
      </w:r>
      <w:r>
        <w:rPr>
          <w:rFonts w:hint="eastAsia" w:ascii="仿宋_GB2312" w:hAnsi="Times New Roman" w:eastAsia="仿宋_GB2312" w:cs="仿宋_GB2312"/>
          <w:b w:val="0"/>
          <w:bCs w:val="0"/>
          <w:caps w:val="0"/>
          <w:color w:val="auto"/>
          <w:kern w:val="2"/>
          <w:sz w:val="32"/>
          <w:szCs w:val="32"/>
          <w:vertAlign w:val="baseline"/>
          <w:lang w:val="en-US" w:eastAsia="zh-CN" w:bidi="ar"/>
        </w:rPr>
        <w:t>支出</w:t>
      </w:r>
      <w:r>
        <w:rPr>
          <w:rFonts w:hint="eastAsia" w:ascii="仿宋_GB2312" w:hAnsi="Times New Roman" w:eastAsia="仿宋_GB2312"/>
          <w:sz w:val="32"/>
          <w:szCs w:val="32"/>
          <w:lang w:val="en-US" w:eastAsia="zh-CN"/>
        </w:rPr>
        <w:t>预算绩效总体情况。</w:t>
      </w:r>
    </w:p>
    <w:p>
      <w:pPr>
        <w:keepNext w:val="0"/>
        <w:keepLines w:val="0"/>
        <w:pageBreakBefore w:val="0"/>
        <w:widowControl w:val="0"/>
        <w:numPr>
          <w:numId w:val="0"/>
        </w:numPr>
        <w:tabs>
          <w:tab w:val="center" w:pos="4475"/>
        </w:tabs>
        <w:suppressAutoHyphens w:val="0"/>
        <w:kinsoku/>
        <w:wordWrap/>
        <w:overflowPunct/>
        <w:topLinePunct w:val="0"/>
        <w:autoSpaceDE/>
        <w:autoSpaceDN w:val="0"/>
        <w:bidi w:val="0"/>
        <w:spacing w:line="560" w:lineRule="exact"/>
        <w:ind w:firstLine="640" w:firstLineChars="200"/>
        <w:textAlignment w:val="auto"/>
        <w:rPr>
          <w:rFonts w:hint="eastAsia"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我院2026年所有项目支出全面实施绩效目标管理，涉及自治区本级项目28个，预算资金516139.60万元；中央转移支付项目4个，预算资金1512.86万元。绩效目标情况详见《广西医科大学第一附属医院2026年部门预算公开报表》表10“自治区本级项目绩效目标公开表”（敏感涉密项目除外）。</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（二）重点项目预算绩效目标说明。</w:t>
      </w:r>
    </w:p>
    <w:tbl>
      <w:tblPr>
        <w:tblStyle w:val="4"/>
        <w:tblW w:w="8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2400"/>
        <w:gridCol w:w="4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trPr>
        <w:tc>
          <w:tcPr>
            <w:tcW w:w="1533" w:type="dxa"/>
            <w:noWrap w:val="0"/>
            <w:vAlign w:val="center"/>
          </w:tcPr>
          <w:p>
            <w:pPr>
              <w:keepNext w:val="0"/>
              <w:keepLines w:val="0"/>
              <w:pageBreakBefore w:val="0"/>
              <w:widowControl w:val="0"/>
              <w:tabs>
                <w:tab w:val="center" w:pos="4475"/>
              </w:tabs>
              <w:kinsoku/>
              <w:wordWrap/>
              <w:overflowPunct/>
              <w:topLinePunct w:val="0"/>
              <w:autoSpaceDE/>
              <w:bidi w:val="0"/>
              <w:spacing w:line="560" w:lineRule="exact"/>
              <w:jc w:val="center"/>
              <w:textAlignment w:val="auto"/>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项目名称</w:t>
            </w:r>
          </w:p>
        </w:tc>
        <w:tc>
          <w:tcPr>
            <w:tcW w:w="2400" w:type="dxa"/>
            <w:noWrap w:val="0"/>
            <w:vAlign w:val="center"/>
          </w:tcPr>
          <w:p>
            <w:pPr>
              <w:keepNext w:val="0"/>
              <w:keepLines w:val="0"/>
              <w:pageBreakBefore w:val="0"/>
              <w:widowControl w:val="0"/>
              <w:tabs>
                <w:tab w:val="center" w:pos="4475"/>
              </w:tabs>
              <w:kinsoku/>
              <w:wordWrap/>
              <w:overflowPunct/>
              <w:topLinePunct w:val="0"/>
              <w:autoSpaceDE/>
              <w:bidi w:val="0"/>
              <w:spacing w:line="560" w:lineRule="exact"/>
              <w:jc w:val="center"/>
              <w:textAlignment w:val="auto"/>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预算数</w:t>
            </w:r>
          </w:p>
          <w:p>
            <w:pPr>
              <w:keepNext w:val="0"/>
              <w:keepLines w:val="0"/>
              <w:pageBreakBefore w:val="0"/>
              <w:widowControl w:val="0"/>
              <w:tabs>
                <w:tab w:val="center" w:pos="4475"/>
              </w:tabs>
              <w:kinsoku/>
              <w:wordWrap/>
              <w:overflowPunct/>
              <w:topLinePunct w:val="0"/>
              <w:autoSpaceDE/>
              <w:bidi w:val="0"/>
              <w:spacing w:line="560" w:lineRule="exact"/>
              <w:jc w:val="center"/>
              <w:textAlignment w:val="auto"/>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（单位：万元）</w:t>
            </w:r>
          </w:p>
        </w:tc>
        <w:tc>
          <w:tcPr>
            <w:tcW w:w="4867" w:type="dxa"/>
            <w:noWrap w:val="0"/>
            <w:vAlign w:val="center"/>
          </w:tcPr>
          <w:p>
            <w:pPr>
              <w:keepNext w:val="0"/>
              <w:keepLines w:val="0"/>
              <w:pageBreakBefore w:val="0"/>
              <w:widowControl w:val="0"/>
              <w:tabs>
                <w:tab w:val="center" w:pos="4475"/>
              </w:tabs>
              <w:kinsoku/>
              <w:wordWrap/>
              <w:overflowPunct/>
              <w:topLinePunct w:val="0"/>
              <w:autoSpaceDE/>
              <w:bidi w:val="0"/>
              <w:spacing w:line="560" w:lineRule="exact"/>
              <w:jc w:val="center"/>
              <w:textAlignment w:val="auto"/>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7" w:hRule="atLeast"/>
        </w:trPr>
        <w:tc>
          <w:tcPr>
            <w:tcW w:w="1533" w:type="dxa"/>
            <w:noWrap w:val="0"/>
            <w:vAlign w:val="center"/>
          </w:tcPr>
          <w:p>
            <w:pPr>
              <w:keepNext w:val="0"/>
              <w:keepLines w:val="0"/>
              <w:pageBreakBefore w:val="0"/>
              <w:widowControl w:val="0"/>
              <w:tabs>
                <w:tab w:val="center" w:pos="4475"/>
              </w:tabs>
              <w:kinsoku/>
              <w:wordWrap/>
              <w:overflowPunct/>
              <w:topLinePunct w:val="0"/>
              <w:autoSpaceDE/>
              <w:bidi w:val="0"/>
              <w:spacing w:line="560" w:lineRule="exact"/>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干部医疗保健经费</w:t>
            </w:r>
          </w:p>
        </w:tc>
        <w:tc>
          <w:tcPr>
            <w:tcW w:w="2400" w:type="dxa"/>
            <w:noWrap w:val="0"/>
            <w:vAlign w:val="center"/>
          </w:tcPr>
          <w:p>
            <w:pPr>
              <w:keepNext w:val="0"/>
              <w:keepLines w:val="0"/>
              <w:pageBreakBefore w:val="0"/>
              <w:widowControl w:val="0"/>
              <w:tabs>
                <w:tab w:val="center" w:pos="4475"/>
              </w:tabs>
              <w:kinsoku/>
              <w:wordWrap/>
              <w:overflowPunct/>
              <w:topLinePunct w:val="0"/>
              <w:autoSpaceDE/>
              <w:bidi w:val="0"/>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500.00</w:t>
            </w:r>
          </w:p>
        </w:tc>
        <w:tc>
          <w:tcPr>
            <w:tcW w:w="4867" w:type="dxa"/>
            <w:noWrap w:val="0"/>
            <w:vAlign w:val="center"/>
          </w:tcPr>
          <w:p>
            <w:pPr>
              <w:keepNext w:val="0"/>
              <w:keepLines w:val="0"/>
              <w:pageBreakBefore w:val="0"/>
              <w:widowControl w:val="0"/>
              <w:tabs>
                <w:tab w:val="center" w:pos="4475"/>
              </w:tabs>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通过系统化、规范化开展年度干部体检工作，达成干部职工对疾病早发现、早治疗，实现预防为主、防治结合的目标，有效提高干部职工的健康水平。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3" w:hRule="atLeast"/>
        </w:trPr>
        <w:tc>
          <w:tcPr>
            <w:tcW w:w="1533" w:type="dxa"/>
            <w:noWrap w:val="0"/>
            <w:vAlign w:val="center"/>
          </w:tcPr>
          <w:p>
            <w:pPr>
              <w:keepNext w:val="0"/>
              <w:keepLines w:val="0"/>
              <w:pageBreakBefore w:val="0"/>
              <w:widowControl w:val="0"/>
              <w:tabs>
                <w:tab w:val="center" w:pos="4475"/>
              </w:tabs>
              <w:kinsoku/>
              <w:wordWrap/>
              <w:overflowPunct/>
              <w:topLinePunct w:val="0"/>
              <w:autoSpaceDE/>
              <w:bidi w:val="0"/>
              <w:spacing w:line="560" w:lineRule="exact"/>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公立医院取消药品加成补偿经费</w:t>
            </w:r>
          </w:p>
        </w:tc>
        <w:tc>
          <w:tcPr>
            <w:tcW w:w="2400" w:type="dxa"/>
            <w:noWrap w:val="0"/>
            <w:vAlign w:val="center"/>
          </w:tcPr>
          <w:p>
            <w:pPr>
              <w:keepNext w:val="0"/>
              <w:keepLines w:val="0"/>
              <w:pageBreakBefore w:val="0"/>
              <w:widowControl w:val="0"/>
              <w:tabs>
                <w:tab w:val="center" w:pos="4475"/>
              </w:tabs>
              <w:kinsoku/>
              <w:wordWrap/>
              <w:overflowPunct/>
              <w:topLinePunct w:val="0"/>
              <w:autoSpaceDE/>
              <w:bidi w:val="0"/>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2460.22</w:t>
            </w:r>
          </w:p>
        </w:tc>
        <w:tc>
          <w:tcPr>
            <w:tcW w:w="4867" w:type="dxa"/>
            <w:noWrap w:val="0"/>
            <w:vAlign w:val="center"/>
          </w:tcPr>
          <w:p>
            <w:pPr>
              <w:keepNext w:val="0"/>
              <w:keepLines w:val="0"/>
              <w:pageBreakBefore w:val="0"/>
              <w:widowControl w:val="0"/>
              <w:tabs>
                <w:tab w:val="center" w:pos="4475"/>
              </w:tabs>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通过全面取消药品加成，合理采购使用药品，提升医院医疗服务能力。破除以药补医机制，在2026年期间满足患者临床用药治疗需求</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为医院创造医疗收入，推动医疗事业可持续发展。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7" w:hRule="atLeast"/>
        </w:trPr>
        <w:tc>
          <w:tcPr>
            <w:tcW w:w="1533" w:type="dxa"/>
            <w:noWrap w:val="0"/>
            <w:vAlign w:val="center"/>
          </w:tcPr>
          <w:p>
            <w:pPr>
              <w:keepNext w:val="0"/>
              <w:keepLines w:val="0"/>
              <w:pageBreakBefore w:val="0"/>
              <w:widowControl w:val="0"/>
              <w:tabs>
                <w:tab w:val="center" w:pos="4475"/>
              </w:tabs>
              <w:kinsoku/>
              <w:wordWrap/>
              <w:overflowPunct/>
              <w:topLinePunct w:val="0"/>
              <w:autoSpaceDE/>
              <w:bidi w:val="0"/>
              <w:spacing w:line="560" w:lineRule="exact"/>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医疗服务与保障能力提升补助资金(卫生健康人才培养)-中央资金</w:t>
            </w:r>
          </w:p>
        </w:tc>
        <w:tc>
          <w:tcPr>
            <w:tcW w:w="2400" w:type="dxa"/>
            <w:noWrap w:val="0"/>
            <w:vAlign w:val="center"/>
          </w:tcPr>
          <w:p>
            <w:pPr>
              <w:keepNext w:val="0"/>
              <w:keepLines w:val="0"/>
              <w:pageBreakBefore w:val="0"/>
              <w:widowControl w:val="0"/>
              <w:tabs>
                <w:tab w:val="center" w:pos="4475"/>
              </w:tabs>
              <w:kinsoku/>
              <w:wordWrap/>
              <w:overflowPunct/>
              <w:topLinePunct w:val="0"/>
              <w:autoSpaceDE/>
              <w:bidi w:val="0"/>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1252.66</w:t>
            </w:r>
          </w:p>
        </w:tc>
        <w:tc>
          <w:tcPr>
            <w:tcW w:w="4867" w:type="dxa"/>
            <w:noWrap w:val="0"/>
            <w:vAlign w:val="center"/>
          </w:tcPr>
          <w:p>
            <w:pPr>
              <w:keepNext w:val="0"/>
              <w:keepLines w:val="0"/>
              <w:pageBreakBefore w:val="0"/>
              <w:widowControl w:val="0"/>
              <w:tabs>
                <w:tab w:val="center" w:pos="4475"/>
              </w:tabs>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通过制订培训工作方案，组织培训讲师，落实培训，达到完成住院医师规范化培训、专科医师规范化培训、住培师资培训、出生缺陷防治培训、病原微生物实验室生物安全人员培训、临床药师（药师岗位培训）、万名医师支援农村等卫生健康人才培养工作任务，提高医疗卫生人员技术及理论水平的目标。</w:t>
            </w:r>
          </w:p>
        </w:tc>
      </w:tr>
    </w:tbl>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黑体" w:hAnsi="Times New Roman" w:eastAsia="黑体"/>
          <w:sz w:val="32"/>
          <w:szCs w:val="32"/>
        </w:rPr>
      </w:pPr>
      <w:r>
        <w:rPr>
          <w:rFonts w:hint="eastAsia" w:ascii="黑体" w:hAnsi="Times New Roman" w:eastAsia="黑体"/>
          <w:sz w:val="32"/>
          <w:szCs w:val="32"/>
        </w:rPr>
        <w:t>第三部分：名词解释</w:t>
      </w:r>
    </w:p>
    <w:p>
      <w:pPr>
        <w:keepNext w:val="0"/>
        <w:keepLines w:val="0"/>
        <w:pageBreakBefore w:val="0"/>
        <w:widowControl w:val="0"/>
        <w:tabs>
          <w:tab w:val="center" w:pos="4475"/>
        </w:tabs>
        <w:kinsoku/>
        <w:wordWrap/>
        <w:overflowPunct/>
        <w:topLinePunct w:val="0"/>
        <w:autoSpaceDE/>
        <w:bidi w:val="0"/>
        <w:snapToGrid w:val="0"/>
        <w:spacing w:line="560" w:lineRule="exact"/>
        <w:ind w:firstLine="640" w:firstLineChars="200"/>
        <w:textAlignment w:val="auto"/>
        <w:rPr>
          <w:rFonts w:hint="eastAsia" w:ascii="仿宋_GB2312" w:hAnsi="Times New Roman" w:eastAsia="仿宋_GB2312"/>
          <w:sz w:val="32"/>
        </w:rPr>
      </w:pPr>
      <w:r>
        <w:rPr>
          <w:rFonts w:hint="eastAsia" w:ascii="仿宋_GB2312" w:hAnsi="Times New Roman" w:eastAsia="仿宋_GB2312"/>
          <w:sz w:val="32"/>
        </w:rPr>
        <w:t>一、财政拨款收入：指自治区财政部门当年拨付的资金。</w:t>
      </w:r>
    </w:p>
    <w:p>
      <w:pPr>
        <w:keepNext w:val="0"/>
        <w:keepLines w:val="0"/>
        <w:pageBreakBefore w:val="0"/>
        <w:widowControl w:val="0"/>
        <w:tabs>
          <w:tab w:val="center" w:pos="4475"/>
        </w:tabs>
        <w:kinsoku/>
        <w:wordWrap/>
        <w:overflowPunct/>
        <w:topLinePunct w:val="0"/>
        <w:autoSpaceDE/>
        <w:bidi w:val="0"/>
        <w:snapToGrid w:val="0"/>
        <w:spacing w:line="560" w:lineRule="exact"/>
        <w:ind w:firstLine="640" w:firstLineChars="200"/>
        <w:textAlignment w:val="auto"/>
        <w:rPr>
          <w:rFonts w:hint="eastAsia" w:ascii="仿宋_GB2312" w:hAnsi="Times New Roman" w:eastAsia="仿宋_GB2312"/>
          <w:sz w:val="32"/>
        </w:rPr>
      </w:pPr>
      <w:r>
        <w:rPr>
          <w:rFonts w:hint="eastAsia" w:ascii="仿宋_GB2312" w:hAnsi="Times New Roman" w:eastAsia="仿宋_GB2312"/>
          <w:sz w:val="32"/>
        </w:rPr>
        <w:t>二、事业收入：指事业单位开展专业业务活动及辅助活动所取得的收入。</w:t>
      </w:r>
    </w:p>
    <w:p>
      <w:pPr>
        <w:keepNext w:val="0"/>
        <w:keepLines w:val="0"/>
        <w:pageBreakBefore w:val="0"/>
        <w:widowControl w:val="0"/>
        <w:tabs>
          <w:tab w:val="center" w:pos="4475"/>
        </w:tabs>
        <w:kinsoku/>
        <w:wordWrap/>
        <w:overflowPunct/>
        <w:topLinePunct w:val="0"/>
        <w:autoSpaceDE/>
        <w:bidi w:val="0"/>
        <w:snapToGrid w:val="0"/>
        <w:spacing w:line="560" w:lineRule="exact"/>
        <w:ind w:firstLine="640" w:firstLineChars="200"/>
        <w:textAlignment w:val="auto"/>
        <w:rPr>
          <w:rFonts w:hint="eastAsia" w:ascii="仿宋_GB2312" w:hAnsi="Times New Roman" w:eastAsia="仿宋_GB2312"/>
          <w:sz w:val="32"/>
        </w:rPr>
      </w:pPr>
      <w:r>
        <w:rPr>
          <w:rFonts w:hint="eastAsia" w:ascii="仿宋_GB2312" w:hAnsi="Times New Roman" w:eastAsia="仿宋_GB2312"/>
          <w:sz w:val="32"/>
        </w:rPr>
        <w:t>三、经营收入：指事业单位在专业业务活动及其辅助活动之外开展非独立核算经营活动取得的收入。</w:t>
      </w:r>
    </w:p>
    <w:p>
      <w:pPr>
        <w:keepNext w:val="0"/>
        <w:keepLines w:val="0"/>
        <w:pageBreakBefore w:val="0"/>
        <w:widowControl w:val="0"/>
        <w:tabs>
          <w:tab w:val="center" w:pos="4475"/>
        </w:tabs>
        <w:kinsoku/>
        <w:wordWrap/>
        <w:overflowPunct/>
        <w:topLinePunct w:val="0"/>
        <w:autoSpaceDE/>
        <w:bidi w:val="0"/>
        <w:snapToGrid w:val="0"/>
        <w:spacing w:line="560" w:lineRule="exact"/>
        <w:ind w:firstLine="640" w:firstLineChars="200"/>
        <w:textAlignment w:val="auto"/>
        <w:rPr>
          <w:rFonts w:hint="eastAsia" w:ascii="仿宋_GB2312" w:hAnsi="Times New Roman" w:eastAsia="仿宋_GB2312"/>
          <w:sz w:val="32"/>
        </w:rPr>
      </w:pPr>
      <w:r>
        <w:rPr>
          <w:rFonts w:hint="eastAsia" w:ascii="仿宋_GB2312" w:hAnsi="Times New Roman" w:eastAsia="仿宋_GB2312"/>
          <w:sz w:val="32"/>
        </w:rPr>
        <w:t>四、其他收入：指除上述“财政拨款收入”“事业收入”“经营收入”等以外的收入。</w:t>
      </w:r>
    </w:p>
    <w:p>
      <w:pPr>
        <w:keepNext w:val="0"/>
        <w:keepLines w:val="0"/>
        <w:pageBreakBefore w:val="0"/>
        <w:widowControl w:val="0"/>
        <w:tabs>
          <w:tab w:val="center" w:pos="4475"/>
        </w:tabs>
        <w:kinsoku/>
        <w:wordWrap/>
        <w:overflowPunct/>
        <w:topLinePunct w:val="0"/>
        <w:autoSpaceDE/>
        <w:bidi w:val="0"/>
        <w:snapToGrid w:val="0"/>
        <w:spacing w:line="560" w:lineRule="exact"/>
        <w:ind w:firstLine="640" w:firstLineChars="200"/>
        <w:textAlignment w:val="auto"/>
        <w:rPr>
          <w:rFonts w:hint="eastAsia" w:ascii="仿宋_GB2312" w:hAnsi="Times New Roman" w:eastAsia="仿宋_GB2312"/>
          <w:sz w:val="32"/>
        </w:rPr>
      </w:pPr>
      <w:r>
        <w:rPr>
          <w:rFonts w:hint="eastAsia" w:ascii="仿宋_GB2312" w:hAnsi="Times New Roman" w:eastAsia="仿宋_GB2312"/>
          <w:sz w:val="32"/>
        </w:rPr>
        <w:t>五、使用非财政拨款结余（含专用结余）：指事业单位在当年的“财政拨款收入”“事业收入”“经营收入”“其他收入”不足以安排当年支出的情况下，使用非财政拨款结余、专用结余弥补本年度收支缺口的资金。</w:t>
      </w:r>
    </w:p>
    <w:p>
      <w:pPr>
        <w:keepNext w:val="0"/>
        <w:keepLines w:val="0"/>
        <w:pageBreakBefore w:val="0"/>
        <w:widowControl w:val="0"/>
        <w:tabs>
          <w:tab w:val="center" w:pos="4475"/>
        </w:tabs>
        <w:kinsoku/>
        <w:wordWrap/>
        <w:overflowPunct/>
        <w:topLinePunct w:val="0"/>
        <w:autoSpaceDE/>
        <w:bidi w:val="0"/>
        <w:snapToGrid w:val="0"/>
        <w:spacing w:line="560" w:lineRule="exact"/>
        <w:ind w:firstLine="640" w:firstLineChars="200"/>
        <w:textAlignment w:val="auto"/>
        <w:rPr>
          <w:rFonts w:hint="eastAsia" w:ascii="仿宋_GB2312" w:hAnsi="Times New Roman" w:eastAsia="仿宋_GB2312"/>
          <w:sz w:val="32"/>
        </w:rPr>
      </w:pPr>
      <w:r>
        <w:rPr>
          <w:rFonts w:hint="eastAsia" w:ascii="仿宋_GB2312" w:hAnsi="Times New Roman" w:eastAsia="仿宋_GB2312"/>
          <w:sz w:val="32"/>
        </w:rPr>
        <w:t>六、年初结转和结余：指以前年度尚未完成、结转到本年按有关规定继续使用的资金。</w:t>
      </w:r>
    </w:p>
    <w:p>
      <w:pPr>
        <w:keepNext w:val="0"/>
        <w:keepLines w:val="0"/>
        <w:pageBreakBefore w:val="0"/>
        <w:widowControl w:val="0"/>
        <w:tabs>
          <w:tab w:val="center" w:pos="4475"/>
        </w:tabs>
        <w:kinsoku/>
        <w:wordWrap/>
        <w:overflowPunct/>
        <w:topLinePunct w:val="0"/>
        <w:autoSpaceDE/>
        <w:bidi w:val="0"/>
        <w:snapToGrid w:val="0"/>
        <w:spacing w:line="560" w:lineRule="exact"/>
        <w:ind w:firstLine="640" w:firstLineChars="200"/>
        <w:textAlignment w:val="auto"/>
        <w:rPr>
          <w:rFonts w:hint="eastAsia" w:ascii="仿宋_GB2312" w:hAnsi="Times New Roman" w:eastAsia="仿宋_GB2312"/>
          <w:sz w:val="32"/>
        </w:rPr>
      </w:pPr>
      <w:r>
        <w:rPr>
          <w:rFonts w:hint="eastAsia" w:ascii="仿宋_GB2312" w:hAnsi="Times New Roman" w:eastAsia="仿宋_GB2312"/>
          <w:sz w:val="32"/>
        </w:rPr>
        <w:t>七、结余分配：指事业单位按规定提取的职工福利基金、事业基金和缴纳的所得税，以及建设单位按规定应交回的基本建设竣工项目结余资金。</w:t>
      </w:r>
    </w:p>
    <w:p>
      <w:pPr>
        <w:keepNext w:val="0"/>
        <w:keepLines w:val="0"/>
        <w:pageBreakBefore w:val="0"/>
        <w:widowControl w:val="0"/>
        <w:tabs>
          <w:tab w:val="center" w:pos="4475"/>
        </w:tabs>
        <w:kinsoku/>
        <w:wordWrap/>
        <w:overflowPunct/>
        <w:topLinePunct w:val="0"/>
        <w:autoSpaceDE/>
        <w:bidi w:val="0"/>
        <w:snapToGrid w:val="0"/>
        <w:spacing w:line="560" w:lineRule="exact"/>
        <w:ind w:firstLine="640" w:firstLineChars="200"/>
        <w:textAlignment w:val="auto"/>
        <w:rPr>
          <w:rFonts w:hint="eastAsia" w:ascii="仿宋_GB2312" w:hAnsi="Times New Roman" w:eastAsia="仿宋_GB2312"/>
          <w:sz w:val="32"/>
        </w:rPr>
      </w:pPr>
      <w:r>
        <w:rPr>
          <w:rFonts w:hint="eastAsia" w:ascii="仿宋_GB2312" w:hAnsi="Times New Roman" w:eastAsia="仿宋_GB2312"/>
          <w:sz w:val="32"/>
        </w:rPr>
        <w:t>八、年末结转和结余：指本年度或以前年度预算安排、因客观条件发生变化无法按原计划实施，需要延迟到以后年度按有关规定继续使用的资金。</w:t>
      </w:r>
    </w:p>
    <w:p>
      <w:pPr>
        <w:keepNext w:val="0"/>
        <w:keepLines w:val="0"/>
        <w:pageBreakBefore w:val="0"/>
        <w:widowControl w:val="0"/>
        <w:tabs>
          <w:tab w:val="center" w:pos="4475"/>
        </w:tabs>
        <w:kinsoku/>
        <w:wordWrap/>
        <w:overflowPunct/>
        <w:topLinePunct w:val="0"/>
        <w:autoSpaceDE/>
        <w:bidi w:val="0"/>
        <w:snapToGrid w:val="0"/>
        <w:spacing w:line="560" w:lineRule="exact"/>
        <w:ind w:firstLine="640" w:firstLineChars="200"/>
        <w:textAlignment w:val="auto"/>
        <w:rPr>
          <w:rFonts w:hint="eastAsia" w:ascii="仿宋_GB2312" w:hAnsi="Times New Roman" w:eastAsia="仿宋_GB2312"/>
          <w:sz w:val="32"/>
        </w:rPr>
      </w:pPr>
      <w:r>
        <w:rPr>
          <w:rFonts w:hint="eastAsia" w:ascii="仿宋_GB2312" w:hAnsi="Times New Roman" w:eastAsia="仿宋_GB2312"/>
          <w:sz w:val="32"/>
        </w:rPr>
        <w:t>九、基本支出：指为保障机构正常运转、完成日常工作任务而发生的人员支出和公用支出。</w:t>
      </w:r>
    </w:p>
    <w:p>
      <w:pPr>
        <w:keepNext w:val="0"/>
        <w:keepLines w:val="0"/>
        <w:pageBreakBefore w:val="0"/>
        <w:widowControl w:val="0"/>
        <w:tabs>
          <w:tab w:val="center" w:pos="4475"/>
        </w:tabs>
        <w:kinsoku/>
        <w:wordWrap/>
        <w:overflowPunct/>
        <w:topLinePunct w:val="0"/>
        <w:autoSpaceDE/>
        <w:bidi w:val="0"/>
        <w:snapToGrid w:val="0"/>
        <w:spacing w:line="560" w:lineRule="exact"/>
        <w:ind w:firstLine="640" w:firstLineChars="200"/>
        <w:textAlignment w:val="auto"/>
        <w:rPr>
          <w:rFonts w:hint="eastAsia" w:ascii="仿宋_GB2312" w:hAnsi="Times New Roman" w:eastAsia="仿宋_GB2312"/>
          <w:sz w:val="32"/>
        </w:rPr>
      </w:pPr>
      <w:r>
        <w:rPr>
          <w:rFonts w:hint="eastAsia" w:ascii="仿宋_GB2312" w:hAnsi="Times New Roman" w:eastAsia="仿宋_GB2312"/>
          <w:sz w:val="32"/>
        </w:rPr>
        <w:t>十、项目支出：指在基本支出之外为完成特定行政任务和事业发展目标所发生的支出。</w:t>
      </w:r>
    </w:p>
    <w:p>
      <w:pPr>
        <w:keepNext w:val="0"/>
        <w:keepLines w:val="0"/>
        <w:pageBreakBefore w:val="0"/>
        <w:widowControl w:val="0"/>
        <w:tabs>
          <w:tab w:val="center" w:pos="4475"/>
        </w:tabs>
        <w:kinsoku/>
        <w:wordWrap/>
        <w:overflowPunct/>
        <w:topLinePunct w:val="0"/>
        <w:autoSpaceDE/>
        <w:bidi w:val="0"/>
        <w:snapToGrid w:val="0"/>
        <w:spacing w:line="560" w:lineRule="exact"/>
        <w:ind w:firstLine="640" w:firstLineChars="200"/>
        <w:textAlignment w:val="auto"/>
        <w:rPr>
          <w:rFonts w:hint="eastAsia" w:ascii="仿宋_GB2312" w:hAnsi="Times New Roman" w:eastAsia="仿宋_GB2312"/>
          <w:sz w:val="32"/>
        </w:rPr>
      </w:pPr>
      <w:r>
        <w:rPr>
          <w:rFonts w:hint="eastAsia" w:ascii="仿宋_GB2312" w:hAnsi="Times New Roman" w:eastAsia="仿宋_GB2312"/>
          <w:sz w:val="32"/>
        </w:rPr>
        <w:t>十一、经营支出：指事业单位在专业业务活动及其辅助活动之外开展非独立核算经营活动发生的支出。</w:t>
      </w:r>
    </w:p>
    <w:p>
      <w:pPr>
        <w:keepNext w:val="0"/>
        <w:keepLines w:val="0"/>
        <w:pageBreakBefore w:val="0"/>
        <w:widowControl w:val="0"/>
        <w:tabs>
          <w:tab w:val="center" w:pos="4475"/>
        </w:tabs>
        <w:kinsoku/>
        <w:wordWrap/>
        <w:overflowPunct/>
        <w:topLinePunct w:val="0"/>
        <w:autoSpaceDE/>
        <w:bidi w:val="0"/>
        <w:snapToGrid w:val="0"/>
        <w:spacing w:line="560" w:lineRule="exact"/>
        <w:ind w:firstLine="640" w:firstLineChars="200"/>
        <w:textAlignment w:val="auto"/>
        <w:rPr>
          <w:rFonts w:hint="eastAsia" w:ascii="仿宋_GB2312" w:hAnsi="Times New Roman" w:eastAsia="仿宋_GB2312"/>
          <w:sz w:val="32"/>
        </w:rPr>
      </w:pPr>
      <w:r>
        <w:rPr>
          <w:rFonts w:hint="eastAsia" w:ascii="仿宋_GB2312" w:hAnsi="Times New Roman" w:eastAsia="仿宋_GB2312"/>
          <w:sz w:val="32"/>
        </w:rPr>
        <w:t>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tabs>
          <w:tab w:val="center" w:pos="4475"/>
        </w:tabs>
        <w:kinsoku/>
        <w:wordWrap/>
        <w:overflowPunct/>
        <w:topLinePunct w:val="0"/>
        <w:autoSpaceDE/>
        <w:bidi w:val="0"/>
        <w:snapToGrid w:val="0"/>
        <w:spacing w:line="560" w:lineRule="exact"/>
        <w:ind w:firstLine="640" w:firstLineChars="200"/>
        <w:textAlignment w:val="auto"/>
        <w:rPr>
          <w:rFonts w:hint="eastAsia" w:ascii="仿宋_GB2312" w:hAnsi="Times New Roman" w:eastAsia="仿宋_GB2312"/>
          <w:sz w:val="32"/>
        </w:rPr>
      </w:pPr>
      <w:r>
        <w:rPr>
          <w:rFonts w:hint="eastAsia" w:ascii="仿宋_GB2312" w:hAnsi="Times New Roman" w:eastAsia="仿宋_GB2312"/>
          <w:sz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tabs>
          <w:tab w:val="center" w:pos="4475"/>
        </w:tabs>
        <w:kinsoku/>
        <w:wordWrap/>
        <w:overflowPunct/>
        <w:topLinePunct w:val="0"/>
        <w:autoSpaceDE/>
        <w:bidi w:val="0"/>
        <w:snapToGrid w:val="0"/>
        <w:spacing w:line="560" w:lineRule="exact"/>
        <w:ind w:firstLine="640" w:firstLineChars="200"/>
        <w:textAlignment w:val="auto"/>
        <w:rPr>
          <w:rFonts w:hint="eastAsia" w:ascii="仿宋_GB2312" w:hAnsi="Times New Roman" w:eastAsia="仿宋_GB2312"/>
          <w:sz w:val="32"/>
          <w:lang w:val="en-US" w:eastAsia="zh-CN"/>
        </w:rPr>
      </w:pPr>
      <w:r>
        <w:rPr>
          <w:rFonts w:hint="eastAsia" w:ascii="仿宋_GB2312" w:hAnsi="Times New Roman" w:eastAsia="仿宋_GB2312"/>
          <w:sz w:val="32"/>
          <w:lang w:val="en-US" w:eastAsia="zh-CN"/>
        </w:rPr>
        <w:t>十四、政府采购：指各级国家机关、事业单位和团体组织，使用财政性资金采购依法制定的集中采购目录以内的或者采购限额标准以上的货物、工程和服务的行为。</w:t>
      </w:r>
    </w:p>
    <w:p>
      <w:pPr>
        <w:rPr>
          <w:rFonts w:hint="eastAsia" w:ascii="仿宋_GB2312" w:hAnsi="Times New Roman" w:eastAsia="仿宋_GB2312"/>
          <w:sz w:val="32"/>
          <w:lang w:val="en-US" w:eastAsia="zh-CN"/>
        </w:rPr>
      </w:pPr>
      <w:r>
        <w:rPr>
          <w:rFonts w:hint="eastAsia" w:ascii="仿宋_GB2312" w:hAnsi="Times New Roman" w:eastAsia="仿宋_GB2312"/>
          <w:sz w:val="32"/>
          <w:lang w:val="en-US" w:eastAsia="zh-CN"/>
        </w:rPr>
        <w:br w:type="page"/>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rFonts w:hint="eastAsia" w:ascii="黑体" w:hAnsi="Times New Roman" w:eastAsia="黑体"/>
          <w:sz w:val="32"/>
          <w:szCs w:val="32"/>
        </w:rPr>
      </w:pPr>
      <w:r>
        <w:rPr>
          <w:rFonts w:hint="eastAsia" w:ascii="黑体" w:hAnsi="Times New Roman" w:eastAsia="黑体"/>
          <w:sz w:val="32"/>
          <w:szCs w:val="32"/>
        </w:rPr>
        <w:t>第四部分：</w:t>
      </w:r>
      <w:r>
        <w:rPr>
          <w:rFonts w:hint="eastAsia" w:ascii="黑体" w:hAnsi="宋体" w:eastAsia="黑体"/>
          <w:sz w:val="32"/>
          <w:szCs w:val="32"/>
        </w:rPr>
        <w:t>广西医科大学第一附属医院</w:t>
      </w:r>
      <w:r>
        <w:rPr>
          <w:rFonts w:hint="eastAsia" w:ascii="黑体" w:hAnsi="宋体" w:eastAsia="黑体"/>
          <w:sz w:val="32"/>
          <w:szCs w:val="32"/>
          <w:lang w:eastAsia="zh-CN"/>
        </w:rPr>
        <w:t>2026年</w:t>
      </w:r>
      <w:r>
        <w:rPr>
          <w:rFonts w:hint="eastAsia" w:ascii="黑体" w:hAnsi="Times New Roman" w:eastAsia="黑体"/>
          <w:sz w:val="32"/>
          <w:szCs w:val="32"/>
        </w:rPr>
        <w:t>预算公开报表</w:t>
      </w:r>
    </w:p>
    <w:p>
      <w:pPr>
        <w:keepNext w:val="0"/>
        <w:keepLines w:val="0"/>
        <w:pageBreakBefore w:val="0"/>
        <w:widowControl w:val="0"/>
        <w:tabs>
          <w:tab w:val="center" w:pos="4475"/>
        </w:tabs>
        <w:kinsoku/>
        <w:wordWrap/>
        <w:overflowPunct/>
        <w:topLinePunct w:val="0"/>
        <w:autoSpaceDE/>
        <w:bidi w:val="0"/>
        <w:spacing w:line="560" w:lineRule="exact"/>
        <w:ind w:firstLine="640" w:firstLineChars="200"/>
        <w:textAlignment w:val="auto"/>
        <w:rPr>
          <w:b w:val="0"/>
          <w:bCs w:val="0"/>
          <w:sz w:val="32"/>
          <w:szCs w:val="32"/>
          <w:u w:val="none"/>
        </w:rPr>
      </w:pPr>
      <w:r>
        <w:rPr>
          <w:rFonts w:hint="eastAsia" w:ascii="仿宋_GB2312" w:hAnsi="宋体" w:eastAsia="仿宋_GB2312"/>
          <w:b w:val="0"/>
          <w:bCs w:val="0"/>
          <w:sz w:val="32"/>
          <w:szCs w:val="32"/>
          <w:highlight w:val="none"/>
          <w:u w:val="none"/>
          <w:lang w:eastAsia="zh-CN"/>
        </w:rPr>
        <w:t>详见附件《广西医科大学第</w:t>
      </w:r>
      <w:r>
        <w:rPr>
          <w:rFonts w:hint="eastAsia" w:ascii="仿宋_GB2312" w:hAnsi="宋体" w:eastAsia="仿宋_GB2312"/>
          <w:b w:val="0"/>
          <w:bCs w:val="0"/>
          <w:sz w:val="32"/>
          <w:szCs w:val="32"/>
          <w:highlight w:val="none"/>
          <w:u w:val="none"/>
          <w:lang w:val="en-US" w:eastAsia="zh-CN"/>
        </w:rPr>
        <w:t>一</w:t>
      </w:r>
      <w:r>
        <w:rPr>
          <w:rFonts w:hint="eastAsia" w:ascii="仿宋_GB2312" w:hAnsi="宋体" w:eastAsia="仿宋_GB2312"/>
          <w:b w:val="0"/>
          <w:bCs w:val="0"/>
          <w:sz w:val="32"/>
          <w:szCs w:val="32"/>
          <w:highlight w:val="none"/>
          <w:u w:val="none"/>
          <w:lang w:eastAsia="zh-CN"/>
        </w:rPr>
        <w:t>附属医院202</w:t>
      </w:r>
      <w:r>
        <w:rPr>
          <w:rFonts w:hint="eastAsia" w:ascii="仿宋_GB2312" w:hAnsi="宋体" w:eastAsia="仿宋_GB2312"/>
          <w:b w:val="0"/>
          <w:bCs w:val="0"/>
          <w:sz w:val="32"/>
          <w:szCs w:val="32"/>
          <w:highlight w:val="none"/>
          <w:u w:val="none"/>
          <w:lang w:val="en-US" w:eastAsia="zh-CN"/>
        </w:rPr>
        <w:t>6</w:t>
      </w:r>
      <w:r>
        <w:rPr>
          <w:rFonts w:hint="eastAsia" w:ascii="仿宋_GB2312" w:hAnsi="宋体" w:eastAsia="仿宋_GB2312"/>
          <w:b w:val="0"/>
          <w:bCs w:val="0"/>
          <w:sz w:val="32"/>
          <w:szCs w:val="32"/>
          <w:highlight w:val="none"/>
          <w:u w:val="none"/>
          <w:lang w:eastAsia="zh-CN"/>
        </w:rPr>
        <w:t>年部门预算公开报表》。</w:t>
      </w:r>
    </w:p>
    <w:sectPr>
      <w:footerReference r:id="rId3" w:type="default"/>
      <w:footerReference r:id="rId4" w:type="even"/>
      <w:pgSz w:w="11906" w:h="16838"/>
      <w:pgMar w:top="1701" w:right="1417" w:bottom="1417" w:left="1701" w:header="851" w:footer="992" w:gutter="0"/>
      <w:pgNumType w:fmt="decimal" w:start="1"/>
      <w:cols w:space="72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112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11225" cy="1828800"/>
                      </a:xfrm>
                      <a:prstGeom prst="rect">
                        <a:avLst/>
                      </a:prstGeom>
                      <a:noFill/>
                      <a:ln>
                        <a:noFill/>
                      </a:ln>
                      <a:effectLst/>
                    </wps:spPr>
                    <wps:txbx>
                      <w:txbxContent>
                        <w:p>
                          <w:pPr>
                            <w:pStyle w:val="2"/>
                            <w:ind w:firstLine="280" w:firstLineChars="100"/>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square" lIns="0" tIns="0" rIns="0" bIns="0" anchor="t" anchorCtr="0" upright="0">
                      <a:spAutoFit/>
                    </wps:bodyPr>
                  </wps:wsp>
                </a:graphicData>
              </a:graphic>
            </wp:anchor>
          </w:drawing>
        </mc:Choice>
        <mc:Fallback>
          <w:pict>
            <v:shape id="_x0000_s1026" o:spid="_x0000_s1026" o:spt="202" type="#_x0000_t202" style="position:absolute;left:0pt;margin-top:0pt;height:144pt;width:71.75pt;mso-position-horizontal:outside;mso-position-horizontal-relative:margin;z-index:251658240;mso-width-relative:page;mso-height-relative:page;" filled="f" stroked="f" coordsize="21600,21600" o:gfxdata="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NvhJ9QAAAAFAQAADwAAAAAAAAABACAAAAAiAAAAZHJz&#10;L2Rvd25yZXYueG1sUEsBAhQAFAAAAAgAh07iQMDDf7PPAQAAfwMAAA4AAAAAAAAAAQAgAAAAIwEA&#10;AGRycy9lMm9Eb2MueG1sUEsFBgAAAAAGAAYAWQEAAGQFAAAAAA==&#10;">
              <v:fill on="f" focussize="0,0"/>
              <v:stroke on="f"/>
              <v:imagedata o:title=""/>
              <o:lock v:ext="edit" aspectratio="f"/>
              <v:textbox inset="0mm,0mm,0mm,0mm" style="mso-fit-shape-to-text:t;">
                <w:txbxContent>
                  <w:p>
                    <w:pPr>
                      <w:pStyle w:val="2"/>
                      <w:ind w:firstLine="280" w:firstLineChars="100"/>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D620C"/>
    <w:rsid w:val="041B06A0"/>
    <w:rsid w:val="043B51A0"/>
    <w:rsid w:val="050F132C"/>
    <w:rsid w:val="110004CF"/>
    <w:rsid w:val="14501B13"/>
    <w:rsid w:val="16896939"/>
    <w:rsid w:val="18C079AD"/>
    <w:rsid w:val="1B7B0770"/>
    <w:rsid w:val="1C101D22"/>
    <w:rsid w:val="1DC0758D"/>
    <w:rsid w:val="22DF1E8C"/>
    <w:rsid w:val="24DB46FA"/>
    <w:rsid w:val="27854084"/>
    <w:rsid w:val="28C02C19"/>
    <w:rsid w:val="29C3477D"/>
    <w:rsid w:val="29D44316"/>
    <w:rsid w:val="2B251DAF"/>
    <w:rsid w:val="2FB27976"/>
    <w:rsid w:val="30310861"/>
    <w:rsid w:val="30A2650E"/>
    <w:rsid w:val="31490CD7"/>
    <w:rsid w:val="380F4C81"/>
    <w:rsid w:val="385448FC"/>
    <w:rsid w:val="38882F2F"/>
    <w:rsid w:val="39275022"/>
    <w:rsid w:val="39A12B57"/>
    <w:rsid w:val="3D82717F"/>
    <w:rsid w:val="41C35222"/>
    <w:rsid w:val="47A544DC"/>
    <w:rsid w:val="48A27DCA"/>
    <w:rsid w:val="48BB6EBF"/>
    <w:rsid w:val="4A676F86"/>
    <w:rsid w:val="4CD9345E"/>
    <w:rsid w:val="4DC06C88"/>
    <w:rsid w:val="4FAF3FED"/>
    <w:rsid w:val="53B4137E"/>
    <w:rsid w:val="57C301DE"/>
    <w:rsid w:val="59B56F0E"/>
    <w:rsid w:val="5B3E333C"/>
    <w:rsid w:val="5B560FEC"/>
    <w:rsid w:val="5B937B35"/>
    <w:rsid w:val="5D7829E3"/>
    <w:rsid w:val="5E795382"/>
    <w:rsid w:val="66F50F9F"/>
    <w:rsid w:val="6F09335F"/>
    <w:rsid w:val="6F7D30C5"/>
    <w:rsid w:val="7219689A"/>
    <w:rsid w:val="74F20E7E"/>
    <w:rsid w:val="78A41DA5"/>
    <w:rsid w:val="78A516D7"/>
    <w:rsid w:val="7AA55FDC"/>
    <w:rsid w:val="7E34291A"/>
    <w:rsid w:val="7F830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2025-09-02T02:50:00Z</dcterms:created>
  <dc:creator>Administrator</dc:creator>
  <cp:lastModifiedBy>chen1</cp:lastModifiedBy>
  <dcterms:modified xsi:type="dcterms:W3CDTF">2026-03-10T03:38:44Z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