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DE639">
      <w:pPr>
        <w:shd w:val="clear" w:color="auto" w:fill="auto"/>
        <w:jc w:val="center"/>
        <w:rPr>
          <w:rFonts w:hint="eastAsia" w:ascii="宋体" w:eastAsia="宋体"/>
          <w:b/>
          <w:color w:val="000000"/>
          <w:sz w:val="72"/>
          <w:szCs w:val="72"/>
          <w:highlight w:val="none"/>
          <w:lang w:eastAsia="zh-CN"/>
          <w14:shadow w14:blurRad="50800" w14:dist="38100" w14:dir="2700000" w14:sx="100000" w14:sy="100000" w14:kx="0" w14:ky="0" w14:algn="tl">
            <w14:srgbClr w14:val="000000">
              <w14:alpha w14:val="60000"/>
            </w14:srgbClr>
          </w14:shadow>
        </w:rPr>
      </w:pPr>
    </w:p>
    <w:p w14:paraId="26954782">
      <w:pPr>
        <w:shd w:val="clear" w:color="auto" w:fill="auto"/>
        <w:spacing w:line="480" w:lineRule="auto"/>
        <w:jc w:val="center"/>
        <w:rPr>
          <w:rFonts w:ascii="宋体"/>
          <w:color w:val="000000"/>
          <w:szCs w:val="84"/>
          <w:highlight w:val="none"/>
        </w:rPr>
      </w:pPr>
      <w:r>
        <w:rPr>
          <w:rFonts w:hint="eastAsia" w:ascii="宋体" w:hAnsi="宋体"/>
          <w:b/>
          <w:bCs/>
          <w:color w:val="000000"/>
          <w:spacing w:val="100"/>
          <w:sz w:val="84"/>
          <w:szCs w:val="84"/>
          <w:highlight w:val="none"/>
          <w:lang w:eastAsia="zh-CN"/>
          <w14:shadow w14:blurRad="50800" w14:dist="38100" w14:dir="2700000" w14:sx="100000" w14:sy="100000" w14:kx="0" w14:ky="0" w14:algn="tl">
            <w14:srgbClr w14:val="000000">
              <w14:alpha w14:val="60000"/>
            </w14:srgbClr>
          </w14:shadow>
        </w:rPr>
        <w:t>询比</w:t>
      </w:r>
      <w:r>
        <w:rPr>
          <w:rFonts w:hint="eastAsia" w:ascii="宋体" w:hAnsi="宋体"/>
          <w:b/>
          <w:bCs/>
          <w:color w:val="000000"/>
          <w:spacing w:val="100"/>
          <w:sz w:val="84"/>
          <w:szCs w:val="84"/>
          <w:highlight w:val="none"/>
          <w14:shadow w14:blurRad="50800" w14:dist="38100" w14:dir="2700000" w14:sx="100000" w14:sy="100000" w14:kx="0" w14:ky="0" w14:algn="tl">
            <w14:srgbClr w14:val="000000">
              <w14:alpha w14:val="60000"/>
            </w14:srgbClr>
          </w14:shadow>
        </w:rPr>
        <w:t>文</w:t>
      </w:r>
      <w:r>
        <w:rPr>
          <w:rFonts w:hint="eastAsia" w:ascii="宋体" w:hAnsi="宋体"/>
          <w:b/>
          <w:bCs/>
          <w:color w:val="000000"/>
          <w:sz w:val="84"/>
          <w:szCs w:val="84"/>
          <w:highlight w:val="none"/>
          <w14:shadow w14:blurRad="50800" w14:dist="38100" w14:dir="2700000" w14:sx="100000" w14:sy="100000" w14:kx="0" w14:ky="0" w14:algn="tl">
            <w14:srgbClr w14:val="000000">
              <w14:alpha w14:val="60000"/>
            </w14:srgbClr>
          </w14:shadow>
        </w:rPr>
        <w:t>件</w:t>
      </w:r>
    </w:p>
    <w:p w14:paraId="42710636">
      <w:pPr>
        <w:shd w:val="clear" w:color="auto" w:fill="auto"/>
        <w:spacing w:line="480" w:lineRule="auto"/>
        <w:jc w:val="center"/>
        <w:rPr>
          <w:rFonts w:ascii="宋体"/>
          <w:color w:val="000000"/>
          <w:highlight w:val="none"/>
        </w:rPr>
      </w:pPr>
    </w:p>
    <w:p w14:paraId="06F95819">
      <w:pPr>
        <w:shd w:val="clear" w:color="auto" w:fill="auto"/>
        <w:spacing w:line="480" w:lineRule="auto"/>
        <w:jc w:val="center"/>
        <w:rPr>
          <w:rFonts w:ascii="宋体"/>
          <w:color w:val="000000"/>
          <w:highlight w:val="none"/>
        </w:rPr>
      </w:pPr>
      <w:bookmarkStart w:id="38" w:name="_GoBack"/>
      <w:bookmarkEnd w:id="38"/>
    </w:p>
    <w:p w14:paraId="77C38DC4">
      <w:pPr>
        <w:pStyle w:val="15"/>
        <w:shd w:val="clear" w:color="auto" w:fill="auto"/>
        <w:rPr>
          <w:color w:val="000000"/>
          <w:highlight w:val="none"/>
        </w:rPr>
      </w:pPr>
    </w:p>
    <w:p w14:paraId="6FBFD3AC">
      <w:pPr>
        <w:shd w:val="clear" w:color="auto" w:fill="auto"/>
        <w:spacing w:line="480" w:lineRule="auto"/>
        <w:rPr>
          <w:rFonts w:ascii="宋体"/>
          <w:color w:val="000000"/>
          <w:highlight w:val="none"/>
        </w:rPr>
      </w:pPr>
    </w:p>
    <w:p w14:paraId="7B4BEB1A">
      <w:pPr>
        <w:shd w:val="clear" w:color="auto" w:fill="auto"/>
        <w:spacing w:line="480" w:lineRule="auto"/>
        <w:ind w:left="2889" w:leftChars="675" w:right="481" w:rightChars="229" w:hanging="1471" w:hangingChars="458"/>
        <w:jc w:val="left"/>
        <w:rPr>
          <w:rFonts w:hint="default" w:ascii="宋体" w:eastAsia="宋体"/>
          <w:b/>
          <w:color w:val="000000"/>
          <w:spacing w:val="-20"/>
          <w:sz w:val="32"/>
          <w:highlight w:val="none"/>
          <w:shd w:val="pct10" w:color="auto" w:fill="FFFFFF"/>
          <w:lang w:val="en-US" w:eastAsia="zh-CN"/>
        </w:rPr>
      </w:pPr>
      <w:r>
        <w:rPr>
          <w:rFonts w:hint="eastAsia" w:ascii="宋体" w:hAnsi="宋体"/>
          <w:b/>
          <w:color w:val="000000"/>
          <w:sz w:val="32"/>
          <w:highlight w:val="none"/>
        </w:rPr>
        <w:t>项目名称：医学模拟中心移动货柜采购项目</w:t>
      </w:r>
    </w:p>
    <w:p w14:paraId="3C0C5C28">
      <w:pPr>
        <w:pStyle w:val="15"/>
        <w:shd w:val="clear" w:color="auto" w:fill="auto"/>
        <w:ind w:left="2379" w:leftChars="675" w:hanging="961" w:hangingChars="458"/>
        <w:rPr>
          <w:color w:val="000000"/>
          <w:highlight w:val="none"/>
        </w:rPr>
      </w:pPr>
    </w:p>
    <w:p w14:paraId="087C67DC">
      <w:pPr>
        <w:shd w:val="clear" w:color="auto" w:fill="auto"/>
        <w:spacing w:line="480" w:lineRule="auto"/>
        <w:ind w:left="2889" w:leftChars="675" w:hanging="1471" w:hangingChars="458"/>
        <w:rPr>
          <w:rFonts w:hint="eastAsia" w:ascii="宋体" w:hAnsi="宋体"/>
          <w:b/>
          <w:color w:val="000000"/>
          <w:sz w:val="32"/>
          <w:szCs w:val="32"/>
          <w:highlight w:val="none"/>
        </w:rPr>
      </w:pPr>
    </w:p>
    <w:p w14:paraId="29D7B80B">
      <w:pPr>
        <w:shd w:val="clear" w:color="auto" w:fill="auto"/>
        <w:spacing w:line="480" w:lineRule="auto"/>
        <w:ind w:left="2889" w:leftChars="675" w:hanging="1471" w:hangingChars="458"/>
        <w:rPr>
          <w:rFonts w:hint="eastAsia" w:ascii="宋体" w:hAnsi="宋体"/>
          <w:b/>
          <w:color w:val="000000"/>
          <w:sz w:val="32"/>
          <w:szCs w:val="32"/>
          <w:highlight w:val="none"/>
        </w:rPr>
      </w:pPr>
    </w:p>
    <w:p w14:paraId="49966CEB">
      <w:pPr>
        <w:shd w:val="clear" w:color="auto" w:fill="auto"/>
        <w:spacing w:line="480" w:lineRule="auto"/>
        <w:ind w:left="2889" w:leftChars="675" w:hanging="1471" w:hangingChars="458"/>
        <w:rPr>
          <w:rFonts w:hint="eastAsia" w:ascii="宋体" w:eastAsia="宋体"/>
          <w:b/>
          <w:color w:val="000000"/>
          <w:sz w:val="32"/>
          <w:szCs w:val="32"/>
          <w:highlight w:val="none"/>
          <w:lang w:eastAsia="zh-CN"/>
        </w:rPr>
      </w:pPr>
      <w:r>
        <w:rPr>
          <w:rFonts w:hint="eastAsia" w:ascii="宋体" w:hAnsi="宋体"/>
          <w:b/>
          <w:color w:val="000000"/>
          <w:sz w:val="32"/>
          <w:szCs w:val="32"/>
          <w:highlight w:val="none"/>
        </w:rPr>
        <w:t>采</w:t>
      </w:r>
      <w:r>
        <w:rPr>
          <w:rFonts w:ascii="宋体" w:hAnsi="宋体"/>
          <w:b/>
          <w:color w:val="000000"/>
          <w:sz w:val="32"/>
          <w:szCs w:val="32"/>
          <w:highlight w:val="none"/>
        </w:rPr>
        <w:t xml:space="preserve"> </w:t>
      </w:r>
      <w:r>
        <w:rPr>
          <w:rFonts w:hint="eastAsia" w:ascii="宋体" w:hAnsi="宋体"/>
          <w:b/>
          <w:color w:val="000000"/>
          <w:sz w:val="32"/>
          <w:szCs w:val="32"/>
          <w:highlight w:val="none"/>
        </w:rPr>
        <w:t>购</w:t>
      </w:r>
      <w:r>
        <w:rPr>
          <w:rFonts w:ascii="宋体" w:hAnsi="宋体"/>
          <w:b/>
          <w:color w:val="000000"/>
          <w:sz w:val="32"/>
          <w:szCs w:val="32"/>
          <w:highlight w:val="none"/>
        </w:rPr>
        <w:t xml:space="preserve"> </w:t>
      </w:r>
      <w:r>
        <w:rPr>
          <w:rFonts w:hint="eastAsia" w:ascii="宋体" w:hAnsi="宋体"/>
          <w:b/>
          <w:color w:val="000000"/>
          <w:sz w:val="32"/>
          <w:szCs w:val="32"/>
          <w:highlight w:val="none"/>
        </w:rPr>
        <w:t>人：</w:t>
      </w:r>
      <w:r>
        <w:rPr>
          <w:rFonts w:hint="eastAsia" w:ascii="宋体" w:hAnsi="宋体"/>
          <w:b/>
          <w:color w:val="000000"/>
          <w:sz w:val="32"/>
          <w:szCs w:val="32"/>
          <w:highlight w:val="none"/>
          <w:lang w:eastAsia="zh-CN"/>
        </w:rPr>
        <w:t>广西医科大学第一附属医院</w:t>
      </w:r>
    </w:p>
    <w:p w14:paraId="42FB58F2">
      <w:pPr>
        <w:shd w:val="clear" w:color="auto" w:fill="auto"/>
        <w:spacing w:line="480" w:lineRule="auto"/>
        <w:jc w:val="center"/>
        <w:rPr>
          <w:rFonts w:ascii="宋体"/>
          <w:b/>
          <w:color w:val="000000"/>
          <w:spacing w:val="-8"/>
          <w:sz w:val="32"/>
          <w:szCs w:val="32"/>
          <w:highlight w:val="none"/>
        </w:rPr>
      </w:pPr>
    </w:p>
    <w:p w14:paraId="540B07F3">
      <w:pPr>
        <w:pStyle w:val="31"/>
        <w:spacing w:line="360" w:lineRule="auto"/>
        <w:jc w:val="center"/>
        <w:rPr>
          <w:rFonts w:hint="eastAsia" w:asciiTheme="minorEastAsia" w:hAnsiTheme="minorEastAsia" w:eastAsiaTheme="minorEastAsia"/>
          <w:b/>
          <w:bCs/>
          <w:sz w:val="30"/>
          <w:szCs w:val="30"/>
          <w:highlight w:val="none"/>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7AAE6D46">
      <w:pPr>
        <w:pStyle w:val="2"/>
        <w:shd w:val="clear" w:color="auto" w:fill="auto"/>
        <w:jc w:val="center"/>
        <w:rPr>
          <w:rFonts w:hint="eastAsia" w:ascii="Cambria" w:hAnsi="Cambria" w:eastAsia="宋体" w:cs="Times New Roman"/>
          <w:b/>
          <w:bCs/>
          <w:color w:val="000000"/>
          <w:kern w:val="2"/>
          <w:sz w:val="32"/>
          <w:szCs w:val="32"/>
          <w:highlight w:val="none"/>
          <w:lang w:val="en-US" w:eastAsia="zh-CN" w:bidi="ar-SA"/>
        </w:rPr>
      </w:pPr>
      <w:bookmarkStart w:id="0" w:name="_Toc23275"/>
      <w:r>
        <w:rPr>
          <w:rFonts w:hint="eastAsia" w:ascii="Cambria" w:hAnsi="Cambria" w:eastAsia="宋体" w:cs="Times New Roman"/>
          <w:b/>
          <w:bCs/>
          <w:color w:val="000000"/>
          <w:kern w:val="2"/>
          <w:sz w:val="32"/>
          <w:szCs w:val="32"/>
          <w:highlight w:val="none"/>
          <w:lang w:val="en-US" w:eastAsia="zh-CN" w:bidi="ar-SA"/>
        </w:rPr>
        <w:t>第一章  公告</w:t>
      </w:r>
      <w:bookmarkEnd w:id="0"/>
    </w:p>
    <w:p w14:paraId="147B8BD6">
      <w:pPr>
        <w:pStyle w:val="31"/>
        <w:spacing w:line="360" w:lineRule="auto"/>
        <w:jc w:val="center"/>
        <w:rPr>
          <w:rFonts w:hint="eastAsia" w:asciiTheme="minorEastAsia" w:hAnsiTheme="minorEastAsia" w:eastAsiaTheme="minorEastAsia"/>
          <w:b/>
          <w:bCs/>
          <w:sz w:val="30"/>
          <w:szCs w:val="30"/>
          <w:highlight w:val="none"/>
          <w:lang w:eastAsia="zh-CN"/>
        </w:rPr>
      </w:pPr>
    </w:p>
    <w:p w14:paraId="322C2428">
      <w:pPr>
        <w:widowControl/>
        <w:shd w:val="clear" w:color="auto" w:fill="FFFFFF"/>
        <w:spacing w:line="560" w:lineRule="exact"/>
        <w:ind w:firstLine="480"/>
        <w:rPr>
          <w:rFonts w:ascii="宋体" w:hAnsi="宋体" w:cs="宋体"/>
          <w:color w:val="000000"/>
          <w:kern w:val="0"/>
          <w:szCs w:val="21"/>
          <w:highlight w:val="none"/>
        </w:rPr>
      </w:pPr>
      <w:r>
        <w:rPr>
          <w:rFonts w:hint="eastAsia" w:ascii="宋体" w:hAnsi="宋体" w:cs="宋体"/>
          <w:color w:val="000000"/>
          <w:kern w:val="0"/>
          <w:szCs w:val="21"/>
          <w:highlight w:val="none"/>
        </w:rPr>
        <w:t>我院</w:t>
      </w:r>
      <w:r>
        <w:rPr>
          <w:rFonts w:hint="eastAsia" w:ascii="宋体" w:hAnsi="宋体" w:cs="宋体"/>
          <w:b w:val="0"/>
          <w:bCs w:val="0"/>
          <w:color w:val="000000"/>
          <w:kern w:val="0"/>
          <w:szCs w:val="21"/>
          <w:highlight w:val="none"/>
        </w:rPr>
        <w:t>拟对“医学模拟中心移动货柜采购项目”进行询比，</w:t>
      </w:r>
      <w:r>
        <w:rPr>
          <w:rFonts w:hint="eastAsia" w:ascii="宋体" w:hAnsi="宋体" w:cs="宋体"/>
          <w:color w:val="000000"/>
          <w:kern w:val="0"/>
          <w:szCs w:val="21"/>
          <w:highlight w:val="none"/>
        </w:rPr>
        <w:t>现将有关事项公告如下：</w:t>
      </w:r>
    </w:p>
    <w:p w14:paraId="7DDDAF83">
      <w:pPr>
        <w:widowControl/>
        <w:shd w:val="clear" w:color="auto" w:fill="FFFFFF"/>
        <w:spacing w:line="560" w:lineRule="exact"/>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一、项目名称：</w:t>
      </w:r>
      <w:r>
        <w:rPr>
          <w:rFonts w:hint="eastAsia" w:ascii="宋体" w:hAnsi="宋体" w:cs="宋体"/>
          <w:color w:val="000000"/>
          <w:kern w:val="0"/>
          <w:szCs w:val="21"/>
          <w:highlight w:val="none"/>
          <w:lang w:val="en-US" w:eastAsia="zh-CN"/>
        </w:rPr>
        <w:t>医学模拟中心移动货柜采购项目</w:t>
      </w:r>
    </w:p>
    <w:p w14:paraId="4C9D6C51">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二、预算价</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108580.00</w:t>
      </w:r>
      <w:r>
        <w:rPr>
          <w:rFonts w:hint="eastAsia" w:ascii="宋体" w:hAnsi="宋体" w:cs="宋体"/>
          <w:color w:val="000000"/>
          <w:kern w:val="0"/>
          <w:szCs w:val="21"/>
          <w:highlight w:val="none"/>
        </w:rPr>
        <w:t>元</w:t>
      </w:r>
    </w:p>
    <w:p w14:paraId="76207877">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三、询比内容</w:t>
      </w:r>
    </w:p>
    <w:tbl>
      <w:tblPr>
        <w:tblStyle w:val="25"/>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3475"/>
        <w:gridCol w:w="1284"/>
        <w:gridCol w:w="3591"/>
        <w:gridCol w:w="1012"/>
      </w:tblGrid>
      <w:tr w14:paraId="2BF0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0" w:hRule="atLeast"/>
        </w:trPr>
        <w:tc>
          <w:tcPr>
            <w:tcW w:w="3475" w:type="dxa"/>
            <w:shd w:val="clear" w:color="auto" w:fill="FFFFFF"/>
            <w:noWrap w:val="0"/>
            <w:tcMar>
              <w:top w:w="0" w:type="dxa"/>
              <w:left w:w="108" w:type="dxa"/>
              <w:bottom w:w="0" w:type="dxa"/>
              <w:right w:w="108" w:type="dxa"/>
            </w:tcMar>
            <w:vAlign w:val="center"/>
          </w:tcPr>
          <w:p w14:paraId="2A4C8E3D">
            <w:pPr>
              <w:widowControl/>
              <w:spacing w:line="560" w:lineRule="exact"/>
              <w:jc w:val="center"/>
              <w:rPr>
                <w:rFonts w:ascii="宋体" w:hAnsi="宋体"/>
                <w:color w:val="000000"/>
                <w:kern w:val="0"/>
                <w:szCs w:val="21"/>
                <w:highlight w:val="none"/>
              </w:rPr>
            </w:pPr>
            <w:r>
              <w:rPr>
                <w:rFonts w:hint="eastAsia" w:ascii="宋体" w:hAnsi="宋体"/>
                <w:color w:val="000000"/>
                <w:kern w:val="0"/>
                <w:szCs w:val="21"/>
                <w:highlight w:val="none"/>
              </w:rPr>
              <w:t>项目名称</w:t>
            </w:r>
          </w:p>
        </w:tc>
        <w:tc>
          <w:tcPr>
            <w:tcW w:w="1284" w:type="dxa"/>
            <w:shd w:val="clear" w:color="auto" w:fill="FFFFFF"/>
            <w:noWrap w:val="0"/>
            <w:tcMar>
              <w:top w:w="0" w:type="dxa"/>
              <w:left w:w="108" w:type="dxa"/>
              <w:bottom w:w="0" w:type="dxa"/>
              <w:right w:w="108" w:type="dxa"/>
            </w:tcMar>
            <w:vAlign w:val="center"/>
          </w:tcPr>
          <w:p w14:paraId="7CE48556">
            <w:pPr>
              <w:widowControl/>
              <w:spacing w:line="560" w:lineRule="exact"/>
              <w:jc w:val="center"/>
              <w:rPr>
                <w:rFonts w:ascii="宋体" w:hAnsi="宋体"/>
                <w:color w:val="000000"/>
                <w:kern w:val="0"/>
                <w:szCs w:val="21"/>
                <w:highlight w:val="none"/>
              </w:rPr>
            </w:pPr>
            <w:r>
              <w:rPr>
                <w:rFonts w:hint="eastAsia" w:ascii="宋体" w:hAnsi="宋体"/>
                <w:color w:val="000000"/>
                <w:kern w:val="0"/>
                <w:szCs w:val="21"/>
                <w:highlight w:val="none"/>
              </w:rPr>
              <w:t>数量及单位</w:t>
            </w:r>
          </w:p>
        </w:tc>
        <w:tc>
          <w:tcPr>
            <w:tcW w:w="3591" w:type="dxa"/>
            <w:shd w:val="clear" w:color="auto" w:fill="FFFFFF"/>
            <w:noWrap w:val="0"/>
            <w:tcMar>
              <w:top w:w="0" w:type="dxa"/>
              <w:left w:w="108" w:type="dxa"/>
              <w:bottom w:w="0" w:type="dxa"/>
              <w:right w:w="108" w:type="dxa"/>
            </w:tcMar>
            <w:vAlign w:val="center"/>
          </w:tcPr>
          <w:p w14:paraId="472BD55C">
            <w:pPr>
              <w:widowControl/>
              <w:spacing w:line="560" w:lineRule="exact"/>
              <w:jc w:val="center"/>
              <w:rPr>
                <w:rFonts w:ascii="宋体" w:hAnsi="宋体"/>
                <w:color w:val="000000"/>
                <w:kern w:val="0"/>
                <w:szCs w:val="21"/>
                <w:highlight w:val="none"/>
              </w:rPr>
            </w:pPr>
            <w:r>
              <w:rPr>
                <w:rFonts w:hint="eastAsia" w:ascii="宋体" w:hAnsi="宋体"/>
                <w:color w:val="000000"/>
                <w:kern w:val="0"/>
                <w:szCs w:val="21"/>
                <w:highlight w:val="none"/>
              </w:rPr>
              <w:t>简要要求</w:t>
            </w:r>
          </w:p>
        </w:tc>
        <w:tc>
          <w:tcPr>
            <w:tcW w:w="1012" w:type="dxa"/>
            <w:shd w:val="clear" w:color="auto" w:fill="FFFFFF"/>
            <w:noWrap w:val="0"/>
            <w:vAlign w:val="center"/>
          </w:tcPr>
          <w:p w14:paraId="7C710394">
            <w:pPr>
              <w:widowControl/>
              <w:spacing w:line="560" w:lineRule="exact"/>
              <w:jc w:val="center"/>
              <w:rPr>
                <w:rFonts w:hint="eastAsia" w:ascii="宋体" w:hAnsi="宋体"/>
                <w:color w:val="000000"/>
                <w:kern w:val="0"/>
                <w:szCs w:val="21"/>
                <w:highlight w:val="none"/>
              </w:rPr>
            </w:pPr>
            <w:r>
              <w:rPr>
                <w:rFonts w:hint="eastAsia" w:ascii="宋体" w:hAnsi="宋体"/>
                <w:color w:val="000000"/>
                <w:kern w:val="0"/>
                <w:szCs w:val="21"/>
                <w:highlight w:val="none"/>
              </w:rPr>
              <w:t>备注</w:t>
            </w:r>
          </w:p>
        </w:tc>
      </w:tr>
      <w:tr w14:paraId="2075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3475" w:type="dxa"/>
            <w:shd w:val="clear" w:color="auto" w:fill="FFFFFF"/>
            <w:noWrap w:val="0"/>
            <w:tcMar>
              <w:top w:w="0" w:type="dxa"/>
              <w:left w:w="108" w:type="dxa"/>
              <w:bottom w:w="0" w:type="dxa"/>
              <w:right w:w="108" w:type="dxa"/>
            </w:tcMar>
            <w:vAlign w:val="center"/>
          </w:tcPr>
          <w:p w14:paraId="69D8D16B">
            <w:pPr>
              <w:widowControl/>
              <w:shd w:val="clear" w:color="auto" w:fill="FFFFFF"/>
              <w:spacing w:line="560" w:lineRule="exact"/>
              <w:rPr>
                <w:rFonts w:hint="default" w:ascii="宋体" w:hAnsi="宋体" w:eastAsia="宋体" w:cs="宋体"/>
                <w:color w:val="000000"/>
                <w:szCs w:val="21"/>
                <w:highlight w:val="none"/>
                <w:lang w:val="en-US" w:eastAsia="zh-CN"/>
              </w:rPr>
            </w:pPr>
            <w:r>
              <w:rPr>
                <w:rFonts w:hint="default" w:ascii="宋体" w:hAnsi="宋体" w:eastAsia="宋体" w:cs="宋体"/>
                <w:color w:val="000000"/>
                <w:szCs w:val="21"/>
                <w:highlight w:val="none"/>
                <w:lang w:val="en-US" w:eastAsia="zh-CN"/>
              </w:rPr>
              <w:t>医学模拟中心移动货柜采购项目</w:t>
            </w:r>
          </w:p>
        </w:tc>
        <w:tc>
          <w:tcPr>
            <w:tcW w:w="1284" w:type="dxa"/>
            <w:shd w:val="clear" w:color="auto" w:fill="FFFFFF"/>
            <w:noWrap w:val="0"/>
            <w:tcMar>
              <w:top w:w="0" w:type="dxa"/>
              <w:left w:w="108" w:type="dxa"/>
              <w:bottom w:w="0" w:type="dxa"/>
              <w:right w:w="108" w:type="dxa"/>
            </w:tcMar>
            <w:vAlign w:val="center"/>
          </w:tcPr>
          <w:p w14:paraId="00E32BB7">
            <w:pPr>
              <w:widowControl/>
              <w:spacing w:line="560" w:lineRule="exact"/>
              <w:jc w:val="center"/>
              <w:rPr>
                <w:rFonts w:hint="default" w:ascii="宋体" w:hAnsi="宋体" w:eastAsia="宋体"/>
                <w:color w:val="000000"/>
                <w:kern w:val="0"/>
                <w:szCs w:val="21"/>
                <w:highlight w:val="none"/>
                <w:lang w:val="en-US" w:eastAsia="zh-CN"/>
              </w:rPr>
            </w:pPr>
            <w:r>
              <w:rPr>
                <w:rFonts w:hint="eastAsia" w:ascii="宋体" w:hAnsi="宋体"/>
                <w:color w:val="000000"/>
                <w:kern w:val="0"/>
                <w:szCs w:val="21"/>
                <w:highlight w:val="none"/>
                <w:lang w:val="en-US" w:eastAsia="zh-CN"/>
              </w:rPr>
              <w:t>1批</w:t>
            </w:r>
          </w:p>
        </w:tc>
        <w:tc>
          <w:tcPr>
            <w:tcW w:w="3591" w:type="dxa"/>
            <w:shd w:val="clear" w:color="auto" w:fill="FFFFFF"/>
            <w:noWrap w:val="0"/>
            <w:tcMar>
              <w:top w:w="0" w:type="dxa"/>
              <w:left w:w="108" w:type="dxa"/>
              <w:bottom w:w="0" w:type="dxa"/>
              <w:right w:w="108" w:type="dxa"/>
            </w:tcMar>
            <w:vAlign w:val="center"/>
          </w:tcPr>
          <w:p w14:paraId="6A07784A">
            <w:pPr>
              <w:spacing w:line="560" w:lineRule="exact"/>
              <w:jc w:val="left"/>
              <w:rPr>
                <w:rFonts w:hint="eastAsia" w:ascii="宋体" w:hAnsi="宋体" w:eastAsia="宋体"/>
                <w:color w:val="000000"/>
                <w:kern w:val="0"/>
                <w:szCs w:val="21"/>
                <w:highlight w:val="none"/>
                <w:lang w:eastAsia="zh-CN"/>
              </w:rPr>
            </w:pPr>
            <w:r>
              <w:rPr>
                <w:rFonts w:hint="eastAsia" w:ascii="宋体" w:hAnsi="宋体"/>
                <w:color w:val="000000"/>
                <w:kern w:val="0"/>
                <w:szCs w:val="21"/>
                <w:highlight w:val="none"/>
                <w:lang w:eastAsia="zh-CN"/>
              </w:rPr>
              <w:t>项目</w:t>
            </w:r>
            <w:r>
              <w:rPr>
                <w:rFonts w:hint="eastAsia" w:ascii="宋体" w:hAnsi="宋体"/>
                <w:color w:val="000000"/>
                <w:kern w:val="0"/>
                <w:szCs w:val="21"/>
                <w:highlight w:val="none"/>
              </w:rPr>
              <w:t>需求：医学模拟中心移动货柜采购项目</w:t>
            </w:r>
            <w:r>
              <w:rPr>
                <w:rFonts w:hint="eastAsia" w:ascii="宋体" w:hAnsi="宋体"/>
                <w:color w:val="000000"/>
                <w:kern w:val="0"/>
                <w:szCs w:val="21"/>
                <w:highlight w:val="none"/>
                <w:lang w:val="en-US" w:eastAsia="zh-CN"/>
              </w:rPr>
              <w:t>，</w:t>
            </w:r>
            <w:r>
              <w:rPr>
                <w:rFonts w:hint="eastAsia" w:ascii="宋体" w:hAnsi="宋体"/>
                <w:color w:val="000000"/>
                <w:kern w:val="0"/>
                <w:szCs w:val="21"/>
                <w:highlight w:val="none"/>
              </w:rPr>
              <w:t>详见</w:t>
            </w:r>
            <w:r>
              <w:rPr>
                <w:rFonts w:hint="eastAsia" w:ascii="宋体" w:hAnsi="宋体"/>
                <w:color w:val="000000"/>
                <w:kern w:val="0"/>
                <w:szCs w:val="21"/>
                <w:highlight w:val="none"/>
                <w:lang w:eastAsia="zh-CN"/>
              </w:rPr>
              <w:t>询比</w:t>
            </w:r>
            <w:r>
              <w:rPr>
                <w:rFonts w:hint="eastAsia" w:ascii="宋体" w:hAnsi="宋体"/>
                <w:color w:val="000000"/>
                <w:kern w:val="0"/>
                <w:szCs w:val="21"/>
                <w:highlight w:val="none"/>
              </w:rPr>
              <w:t>文件。</w:t>
            </w:r>
          </w:p>
        </w:tc>
        <w:tc>
          <w:tcPr>
            <w:tcW w:w="1012" w:type="dxa"/>
            <w:shd w:val="clear" w:color="auto" w:fill="FFFFFF"/>
            <w:noWrap w:val="0"/>
            <w:vAlign w:val="center"/>
          </w:tcPr>
          <w:p w14:paraId="7534323C">
            <w:pPr>
              <w:widowControl/>
              <w:shd w:val="clear" w:color="auto" w:fill="FFFFFF"/>
              <w:spacing w:line="560" w:lineRule="exact"/>
              <w:jc w:val="center"/>
              <w:rPr>
                <w:rFonts w:hint="eastAsia" w:ascii="宋体" w:hAnsi="宋体" w:cs="宋体"/>
                <w:color w:val="000000"/>
                <w:kern w:val="0"/>
                <w:szCs w:val="21"/>
                <w:highlight w:val="none"/>
              </w:rPr>
            </w:pPr>
          </w:p>
        </w:tc>
      </w:tr>
    </w:tbl>
    <w:p w14:paraId="65086EEB">
      <w:pPr>
        <w:spacing w:line="312" w:lineRule="auto"/>
        <w:ind w:firstLine="0" w:firstLineChars="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本项目（是/否）接受联合体：否。</w:t>
      </w:r>
    </w:p>
    <w:p w14:paraId="77374DB0">
      <w:pPr>
        <w:widowControl/>
        <w:shd w:val="clear" w:color="auto" w:fill="auto"/>
        <w:spacing w:line="312" w:lineRule="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本项目（是/否）接受分包：否</w:t>
      </w:r>
      <w:r>
        <w:rPr>
          <w:rFonts w:hint="eastAsia" w:ascii="宋体" w:hAnsi="宋体" w:eastAsia="宋体" w:cs="宋体"/>
          <w:kern w:val="0"/>
          <w:sz w:val="22"/>
          <w:szCs w:val="22"/>
          <w:highlight w:val="none"/>
          <w:lang w:eastAsia="zh-CN"/>
        </w:rPr>
        <w:t>。</w:t>
      </w:r>
    </w:p>
    <w:p w14:paraId="37820E6A">
      <w:pPr>
        <w:widowControl/>
        <w:shd w:val="clear" w:color="auto" w:fill="auto"/>
        <w:spacing w:line="312" w:lineRule="auto"/>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本项目（是/否）</w:t>
      </w:r>
      <w:r>
        <w:rPr>
          <w:rFonts w:hint="eastAsia" w:ascii="宋体" w:hAnsi="宋体" w:eastAsia="宋体" w:cs="宋体"/>
          <w:kern w:val="0"/>
          <w:sz w:val="22"/>
          <w:szCs w:val="22"/>
          <w:highlight w:val="none"/>
          <w:lang w:eastAsia="zh-CN"/>
        </w:rPr>
        <w:t>专门面向中小企业采购的项目（供应商应为中小微企业、监狱企业、残疾人福利性单位）</w:t>
      </w:r>
      <w:r>
        <w:rPr>
          <w:rFonts w:hint="eastAsia" w:ascii="宋体" w:hAnsi="宋体" w:cs="宋体"/>
          <w:kern w:val="0"/>
          <w:sz w:val="22"/>
          <w:szCs w:val="22"/>
          <w:highlight w:val="none"/>
          <w:lang w:eastAsia="zh-CN"/>
        </w:rPr>
        <w:t>：是。</w:t>
      </w:r>
    </w:p>
    <w:p w14:paraId="5AD72294">
      <w:pPr>
        <w:widowControl/>
        <w:shd w:val="clear" w:color="auto" w:fill="FFFFFF"/>
        <w:spacing w:line="560" w:lineRule="exact"/>
        <w:rPr>
          <w:rFonts w:ascii="宋体" w:hAnsi="宋体" w:cs="宋体"/>
          <w:color w:val="000000"/>
          <w:kern w:val="0"/>
          <w:szCs w:val="21"/>
          <w:highlight w:val="none"/>
        </w:rPr>
      </w:pPr>
      <w:r>
        <w:rPr>
          <w:rFonts w:hint="eastAsia" w:ascii="宋体" w:hAnsi="宋体" w:cs="宋体"/>
          <w:color w:val="000000"/>
          <w:kern w:val="0"/>
          <w:szCs w:val="21"/>
          <w:highlight w:val="none"/>
        </w:rPr>
        <w:t>四、供应商资格要求：</w:t>
      </w:r>
    </w:p>
    <w:p w14:paraId="23F93C92">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rPr>
        <w:t>满足《中华人民共和国政府采购法》第二十二条规定；</w:t>
      </w:r>
    </w:p>
    <w:p w14:paraId="40FEAF0B">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本项目的特定资格要求：</w:t>
      </w:r>
    </w:p>
    <w:p w14:paraId="7A25F875">
      <w:pPr>
        <w:widowControl/>
        <w:shd w:val="clear" w:color="auto" w:fill="FFFFFF"/>
        <w:spacing w:line="560" w:lineRule="exact"/>
        <w:rPr>
          <w:rFonts w:hint="eastAsia" w:ascii="宋体" w:hAnsi="宋体" w:eastAsia="宋体" w:cs="宋体"/>
          <w:kern w:val="0"/>
          <w:sz w:val="22"/>
          <w:szCs w:val="22"/>
          <w:highlight w:val="none"/>
          <w:lang w:val="en-US" w:eastAsia="zh-CN"/>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en-US" w:eastAsia="zh-CN"/>
        </w:rPr>
        <w:t>本项目</w:t>
      </w:r>
      <w:r>
        <w:rPr>
          <w:rFonts w:hint="eastAsia" w:ascii="宋体" w:hAnsi="宋体" w:eastAsia="宋体" w:cs="宋体"/>
          <w:kern w:val="0"/>
          <w:sz w:val="22"/>
          <w:szCs w:val="22"/>
          <w:highlight w:val="none"/>
        </w:rPr>
        <w:t>（是/否）</w:t>
      </w:r>
      <w:r>
        <w:rPr>
          <w:rFonts w:hint="eastAsia" w:ascii="宋体" w:hAnsi="宋体" w:cs="宋体"/>
          <w:color w:val="000000"/>
          <w:kern w:val="0"/>
          <w:szCs w:val="21"/>
          <w:highlight w:val="none"/>
          <w:lang w:eastAsia="zh-CN"/>
        </w:rPr>
        <w:t>属于《</w:t>
      </w:r>
      <w:r>
        <w:rPr>
          <w:rFonts w:hint="eastAsia" w:ascii="宋体" w:hAnsi="宋体" w:cs="宋体"/>
          <w:color w:val="000000"/>
          <w:kern w:val="0"/>
          <w:szCs w:val="21"/>
          <w:highlight w:val="none"/>
        </w:rPr>
        <w:t>广西政府集中采购目录</w:t>
      </w:r>
      <w:r>
        <w:rPr>
          <w:rFonts w:hint="eastAsia" w:ascii="宋体" w:hAnsi="宋体" w:cs="宋体"/>
          <w:color w:val="000000"/>
          <w:kern w:val="0"/>
          <w:szCs w:val="21"/>
          <w:highlight w:val="none"/>
          <w:lang w:eastAsia="zh-CN"/>
        </w:rPr>
        <w:t>》的货物或服务，</w:t>
      </w:r>
      <w:r>
        <w:rPr>
          <w:rFonts w:hint="eastAsia" w:ascii="宋体" w:hAnsi="宋体" w:eastAsia="宋体" w:cs="宋体"/>
          <w:kern w:val="0"/>
          <w:sz w:val="22"/>
          <w:szCs w:val="22"/>
          <w:highlight w:val="none"/>
          <w:lang w:val="en-US" w:eastAsia="zh-CN"/>
        </w:rPr>
        <w:t>参与采购的供应商</w:t>
      </w:r>
      <w:r>
        <w:rPr>
          <w:rFonts w:hint="eastAsia" w:ascii="宋体" w:hAnsi="宋体" w:cs="宋体"/>
          <w:kern w:val="0"/>
          <w:sz w:val="22"/>
          <w:szCs w:val="22"/>
          <w:highlight w:val="none"/>
          <w:lang w:val="en-US" w:eastAsia="zh-CN"/>
        </w:rPr>
        <w:t>需</w:t>
      </w:r>
      <w:r>
        <w:rPr>
          <w:rFonts w:hint="eastAsia" w:ascii="宋体" w:hAnsi="宋体" w:eastAsia="宋体" w:cs="宋体"/>
          <w:kern w:val="0"/>
          <w:sz w:val="22"/>
          <w:szCs w:val="22"/>
          <w:highlight w:val="none"/>
          <w:lang w:val="en-US" w:eastAsia="zh-CN"/>
        </w:rPr>
        <w:t>在广西壮族自治区政府采购网完成供应商注册或承诺在成交前完成注册</w:t>
      </w:r>
      <w:r>
        <w:rPr>
          <w:rFonts w:hint="eastAsia" w:ascii="宋体" w:hAnsi="宋体" w:cs="宋体"/>
          <w:kern w:val="0"/>
          <w:sz w:val="22"/>
          <w:szCs w:val="22"/>
          <w:highlight w:val="none"/>
          <w:lang w:val="en-US" w:eastAsia="zh-CN"/>
        </w:rPr>
        <w:t>：是</w:t>
      </w:r>
      <w:r>
        <w:rPr>
          <w:rFonts w:hint="eastAsia" w:ascii="宋体" w:hAnsi="宋体" w:eastAsia="宋体" w:cs="宋体"/>
          <w:kern w:val="0"/>
          <w:sz w:val="22"/>
          <w:szCs w:val="22"/>
          <w:highlight w:val="none"/>
          <w:lang w:val="en-US" w:eastAsia="zh-CN"/>
        </w:rPr>
        <w:t>。</w:t>
      </w:r>
    </w:p>
    <w:p w14:paraId="4C6CC516">
      <w:pPr>
        <w:widowControl/>
        <w:shd w:val="clear" w:color="auto" w:fill="FFFFFF"/>
        <w:spacing w:line="560" w:lineRule="exact"/>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2.2本项目</w:t>
      </w:r>
      <w:r>
        <w:rPr>
          <w:rFonts w:hint="eastAsia" w:ascii="宋体" w:hAnsi="宋体" w:eastAsia="宋体" w:cs="宋体"/>
          <w:kern w:val="0"/>
          <w:sz w:val="22"/>
          <w:szCs w:val="22"/>
          <w:highlight w:val="none"/>
        </w:rPr>
        <w:t>（是/否）</w:t>
      </w:r>
      <w:r>
        <w:rPr>
          <w:rFonts w:hint="eastAsia" w:ascii="宋体" w:hAnsi="宋体" w:cs="宋体"/>
          <w:color w:val="000000"/>
          <w:kern w:val="0"/>
          <w:szCs w:val="21"/>
          <w:highlight w:val="none"/>
          <w:lang w:eastAsia="zh-CN"/>
        </w:rPr>
        <w:t>属于</w:t>
      </w:r>
      <w:r>
        <w:rPr>
          <w:rFonts w:hint="eastAsia" w:ascii="宋体" w:hAnsi="宋体" w:cs="宋体"/>
          <w:color w:val="000000"/>
          <w:kern w:val="0"/>
          <w:szCs w:val="21"/>
          <w:highlight w:val="none"/>
          <w:lang w:val="en-US" w:eastAsia="zh-CN"/>
        </w:rPr>
        <w:t>工程项目，供应商具备 【xx】资质，具备有效的安全生产许可证，并在人员、设备、资金等方面具备相应的施工能力：否。</w:t>
      </w:r>
    </w:p>
    <w:p w14:paraId="5870244D">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85F7696">
      <w:pPr>
        <w:widowControl/>
        <w:shd w:val="clear" w:color="auto" w:fill="FFFFFF"/>
        <w:spacing w:line="56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4截止响应文件提交时间之日前，</w:t>
      </w:r>
      <w:r>
        <w:rPr>
          <w:rFonts w:hint="eastAsia" w:ascii="宋体" w:hAnsi="宋体" w:cs="宋体"/>
          <w:color w:val="000000"/>
          <w:kern w:val="0"/>
          <w:szCs w:val="21"/>
          <w:highlight w:val="none"/>
        </w:rPr>
        <w:t>对在“信用中国”网站(www.creditchina.gov.cn</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、中国政府采购网(www.ccgp.gov.cn</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等渠道列入失信被执行人、重大税收违法案件当事人名单、政府采购严重违法失信行为记录名单及其他不符合《中华人民共和国政府采购法》第二十二条规定条件的供应商，将被拒绝参与本次采购活动；</w:t>
      </w:r>
    </w:p>
    <w:p w14:paraId="50198BC5">
      <w:pPr>
        <w:spacing w:line="312"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五</w:t>
      </w:r>
      <w:r>
        <w:rPr>
          <w:rFonts w:hint="eastAsia" w:ascii="宋体" w:hAnsi="宋体" w:eastAsia="宋体" w:cs="宋体"/>
          <w:kern w:val="0"/>
          <w:sz w:val="22"/>
          <w:szCs w:val="22"/>
          <w:highlight w:val="none"/>
        </w:rPr>
        <w:t>、</w:t>
      </w:r>
      <w:r>
        <w:rPr>
          <w:rFonts w:hint="eastAsia" w:ascii="宋体" w:hAnsi="宋体" w:eastAsia="宋体" w:cs="宋体"/>
          <w:kern w:val="0"/>
          <w:sz w:val="22"/>
          <w:szCs w:val="22"/>
          <w:highlight w:val="none"/>
          <w:lang w:val="en-US" w:eastAsia="zh-CN"/>
        </w:rPr>
        <w:t>询</w:t>
      </w:r>
      <w:r>
        <w:rPr>
          <w:rFonts w:hint="eastAsia" w:ascii="宋体" w:hAnsi="宋体" w:eastAsia="宋体" w:cs="宋体"/>
          <w:kern w:val="0"/>
          <w:sz w:val="22"/>
          <w:szCs w:val="22"/>
          <w:highlight w:val="none"/>
          <w:lang w:val="en-US" w:eastAsia="zh-CN"/>
        </w:rPr>
        <w:t>比</w:t>
      </w:r>
      <w:r>
        <w:rPr>
          <w:rFonts w:hint="eastAsia" w:ascii="宋体" w:hAnsi="宋体" w:eastAsia="宋体" w:cs="宋体"/>
          <w:kern w:val="0"/>
          <w:sz w:val="22"/>
          <w:szCs w:val="22"/>
          <w:highlight w:val="none"/>
        </w:rPr>
        <w:t>文件的获取：</w:t>
      </w:r>
    </w:p>
    <w:p w14:paraId="35142021">
      <w:pPr>
        <w:spacing w:line="312" w:lineRule="auto"/>
        <w:ind w:firstLine="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1.时间：202</w:t>
      </w:r>
      <w:r>
        <w:rPr>
          <w:rFonts w:hint="eastAsia" w:ascii="宋体" w:hAnsi="宋体" w:eastAsia="宋体" w:cs="宋体"/>
          <w:kern w:val="0"/>
          <w:sz w:val="22"/>
          <w:szCs w:val="22"/>
          <w:highlight w:val="none"/>
          <w:lang w:val="en-US" w:eastAsia="zh-CN"/>
        </w:rPr>
        <w:t>6</w:t>
      </w:r>
      <w:r>
        <w:rPr>
          <w:rFonts w:hint="eastAsia" w:ascii="宋体" w:hAnsi="宋体" w:eastAsia="宋体" w:cs="宋体"/>
          <w:kern w:val="0"/>
          <w:sz w:val="22"/>
          <w:szCs w:val="22"/>
          <w:highlight w:val="none"/>
        </w:rPr>
        <w:t>年</w:t>
      </w:r>
      <w:r>
        <w:rPr>
          <w:rFonts w:hint="eastAsia" w:ascii="宋体" w:hAnsi="宋体" w:cs="宋体"/>
          <w:kern w:val="0"/>
          <w:sz w:val="22"/>
          <w:szCs w:val="22"/>
          <w:highlight w:val="none"/>
          <w:lang w:val="en-US" w:eastAsia="zh-CN"/>
        </w:rPr>
        <w:t xml:space="preserve"> 3</w:t>
      </w:r>
      <w:r>
        <w:rPr>
          <w:rFonts w:hint="eastAsia" w:ascii="宋体" w:hAnsi="宋体" w:eastAsia="宋体" w:cs="宋体"/>
          <w:kern w:val="0"/>
          <w:sz w:val="22"/>
          <w:szCs w:val="22"/>
          <w:highlight w:val="none"/>
        </w:rPr>
        <w:t>月</w:t>
      </w:r>
      <w:r>
        <w:rPr>
          <w:rFonts w:hint="eastAsia" w:ascii="宋体" w:hAnsi="宋体" w:cs="宋体"/>
          <w:kern w:val="0"/>
          <w:sz w:val="22"/>
          <w:szCs w:val="22"/>
          <w:highlight w:val="none"/>
          <w:lang w:val="en-US" w:eastAsia="zh-CN"/>
        </w:rPr>
        <w:t xml:space="preserve"> 23 </w:t>
      </w:r>
      <w:r>
        <w:rPr>
          <w:rFonts w:hint="eastAsia" w:ascii="宋体" w:hAnsi="宋体" w:eastAsia="宋体" w:cs="宋体"/>
          <w:kern w:val="0"/>
          <w:sz w:val="22"/>
          <w:szCs w:val="22"/>
          <w:highlight w:val="none"/>
        </w:rPr>
        <w:t>日起至202</w:t>
      </w:r>
      <w:r>
        <w:rPr>
          <w:rFonts w:hint="eastAsia" w:ascii="宋体" w:hAnsi="宋体" w:eastAsia="宋体" w:cs="宋体"/>
          <w:kern w:val="0"/>
          <w:sz w:val="22"/>
          <w:szCs w:val="22"/>
          <w:highlight w:val="none"/>
          <w:lang w:val="en-US" w:eastAsia="zh-CN"/>
        </w:rPr>
        <w:t>6</w:t>
      </w:r>
      <w:r>
        <w:rPr>
          <w:rFonts w:hint="eastAsia" w:ascii="宋体" w:hAnsi="宋体" w:eastAsia="宋体" w:cs="宋体"/>
          <w:kern w:val="0"/>
          <w:sz w:val="22"/>
          <w:szCs w:val="22"/>
          <w:highlight w:val="none"/>
        </w:rPr>
        <w:t>年</w:t>
      </w:r>
      <w:r>
        <w:rPr>
          <w:rFonts w:hint="eastAsia" w:ascii="宋体" w:hAnsi="宋体" w:cs="宋体"/>
          <w:kern w:val="0"/>
          <w:sz w:val="22"/>
          <w:szCs w:val="22"/>
          <w:highlight w:val="none"/>
          <w:lang w:val="en-US" w:eastAsia="zh-CN"/>
        </w:rPr>
        <w:t xml:space="preserve"> 3</w:t>
      </w:r>
      <w:r>
        <w:rPr>
          <w:rFonts w:hint="eastAsia" w:ascii="宋体" w:hAnsi="宋体" w:eastAsia="宋体" w:cs="宋体"/>
          <w:kern w:val="0"/>
          <w:sz w:val="22"/>
          <w:szCs w:val="22"/>
          <w:highlight w:val="none"/>
        </w:rPr>
        <w:t>月</w:t>
      </w:r>
      <w:r>
        <w:rPr>
          <w:rFonts w:hint="eastAsia" w:ascii="宋体" w:hAnsi="宋体" w:cs="宋体"/>
          <w:kern w:val="0"/>
          <w:sz w:val="22"/>
          <w:szCs w:val="22"/>
          <w:highlight w:val="none"/>
          <w:lang w:val="en-US" w:eastAsia="zh-CN"/>
        </w:rPr>
        <w:t xml:space="preserve"> 26</w:t>
      </w:r>
      <w:r>
        <w:rPr>
          <w:rFonts w:hint="eastAsia" w:ascii="宋体" w:hAnsi="宋体" w:eastAsia="宋体" w:cs="宋体"/>
          <w:kern w:val="0"/>
          <w:sz w:val="22"/>
          <w:szCs w:val="22"/>
          <w:highlight w:val="none"/>
        </w:rPr>
        <w:t>日（北京时间</w:t>
      </w:r>
      <w:r>
        <w:rPr>
          <w:rFonts w:hint="eastAsia" w:ascii="宋体" w:hAnsi="宋体" w:eastAsia="宋体" w:cs="宋体"/>
          <w:sz w:val="22"/>
          <w:szCs w:val="22"/>
          <w:highlight w:val="none"/>
        </w:rPr>
        <w:t>，法定节假日除外）</w:t>
      </w:r>
    </w:p>
    <w:p w14:paraId="50DCE3D9">
      <w:pPr>
        <w:spacing w:line="312" w:lineRule="auto"/>
        <w:ind w:firstLine="0" w:firstLineChars="0"/>
        <w:jc w:val="left"/>
        <w:rPr>
          <w:rFonts w:hint="eastAsia" w:ascii="宋体" w:hAnsi="宋体" w:cs="宋体"/>
          <w:color w:val="000000"/>
          <w:kern w:val="0"/>
          <w:szCs w:val="21"/>
          <w:highlight w:val="none"/>
        </w:rPr>
      </w:pPr>
      <w:r>
        <w:rPr>
          <w:rFonts w:hint="eastAsia" w:ascii="宋体" w:hAnsi="宋体" w:eastAsia="宋体" w:cs="宋体"/>
          <w:kern w:val="0"/>
          <w:sz w:val="22"/>
          <w:szCs w:val="22"/>
          <w:highlight w:val="none"/>
          <w:lang w:val="en-US" w:eastAsia="zh-CN"/>
        </w:rPr>
        <w:t>2</w:t>
      </w:r>
      <w:r>
        <w:rPr>
          <w:rFonts w:hint="eastAsia" w:ascii="宋体" w:hAnsi="宋体" w:eastAsia="宋体" w:cs="宋体"/>
          <w:kern w:val="0"/>
          <w:sz w:val="22"/>
          <w:szCs w:val="22"/>
          <w:highlight w:val="none"/>
        </w:rPr>
        <w:t>.本项目</w:t>
      </w:r>
      <w:r>
        <w:rPr>
          <w:rFonts w:hint="eastAsia" w:ascii="宋体" w:hAnsi="宋体" w:eastAsia="宋体" w:cs="宋体"/>
          <w:kern w:val="0"/>
          <w:sz w:val="22"/>
          <w:szCs w:val="22"/>
          <w:highlight w:val="none"/>
          <w:lang w:val="en-US" w:eastAsia="zh-CN"/>
        </w:rPr>
        <w:t>询比</w:t>
      </w:r>
      <w:r>
        <w:rPr>
          <w:rFonts w:hint="eastAsia" w:ascii="宋体" w:hAnsi="宋体" w:eastAsia="宋体" w:cs="宋体"/>
          <w:kern w:val="0"/>
          <w:sz w:val="22"/>
          <w:szCs w:val="22"/>
          <w:highlight w:val="none"/>
        </w:rPr>
        <w:t>文件获取方式：</w:t>
      </w:r>
      <w:r>
        <w:rPr>
          <w:rFonts w:hint="eastAsia" w:ascii="宋体" w:hAnsi="宋体" w:cs="宋体"/>
          <w:kern w:val="0"/>
          <w:sz w:val="22"/>
          <w:szCs w:val="22"/>
          <w:highlight w:val="none"/>
          <w:lang w:val="en-US" w:eastAsia="zh-CN"/>
        </w:rPr>
        <w:t>公告附件自取。</w:t>
      </w:r>
    </w:p>
    <w:p w14:paraId="0463BA74">
      <w:pPr>
        <w:widowControl/>
        <w:shd w:val="clear" w:color="auto" w:fill="FFFFFF"/>
        <w:spacing w:line="560" w:lineRule="exact"/>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六</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响应文件送达</w:t>
      </w:r>
      <w:r>
        <w:rPr>
          <w:rFonts w:hint="eastAsia" w:ascii="宋体" w:hAnsi="宋体" w:eastAsia="宋体" w:cs="宋体"/>
          <w:color w:val="000000"/>
          <w:kern w:val="0"/>
          <w:szCs w:val="21"/>
          <w:highlight w:val="none"/>
          <w:lang w:eastAsia="zh-CN"/>
        </w:rPr>
        <w:t>时间：202</w:t>
      </w: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lang w:eastAsia="zh-CN"/>
        </w:rPr>
        <w:t>年</w:t>
      </w:r>
      <w:r>
        <w:rPr>
          <w:rFonts w:hint="eastAsia" w:ascii="宋体" w:hAnsi="宋体" w:cs="宋体"/>
          <w:color w:val="000000"/>
          <w:kern w:val="0"/>
          <w:szCs w:val="21"/>
          <w:highlight w:val="none"/>
          <w:lang w:val="en-US" w:eastAsia="zh-CN"/>
        </w:rPr>
        <w:t>3</w:t>
      </w:r>
      <w:r>
        <w:rPr>
          <w:rFonts w:hint="eastAsia" w:ascii="宋体" w:hAnsi="宋体" w:eastAsia="宋体" w:cs="宋体"/>
          <w:color w:val="000000"/>
          <w:kern w:val="0"/>
          <w:szCs w:val="21"/>
          <w:highlight w:val="none"/>
          <w:lang w:eastAsia="zh-CN"/>
        </w:rPr>
        <w:t>月</w:t>
      </w:r>
      <w:r>
        <w:rPr>
          <w:rFonts w:hint="eastAsia" w:ascii="宋体" w:hAnsi="宋体" w:cs="宋体"/>
          <w:color w:val="000000"/>
          <w:kern w:val="0"/>
          <w:szCs w:val="21"/>
          <w:highlight w:val="none"/>
          <w:lang w:val="en-US" w:eastAsia="zh-CN"/>
        </w:rPr>
        <w:t>23</w:t>
      </w:r>
      <w:r>
        <w:rPr>
          <w:rFonts w:hint="eastAsia" w:ascii="宋体" w:hAnsi="宋体" w:eastAsia="宋体" w:cs="宋体"/>
          <w:color w:val="000000"/>
          <w:kern w:val="0"/>
          <w:szCs w:val="21"/>
          <w:highlight w:val="none"/>
          <w:lang w:eastAsia="zh-CN"/>
        </w:rPr>
        <w:t>日至202</w:t>
      </w:r>
      <w:r>
        <w:rPr>
          <w:rFonts w:hint="eastAsia" w:ascii="宋体" w:hAnsi="宋体" w:eastAsia="宋体" w:cs="宋体"/>
          <w:color w:val="000000"/>
          <w:kern w:val="0"/>
          <w:szCs w:val="21"/>
          <w:highlight w:val="none"/>
          <w:lang w:val="en-US" w:eastAsia="zh-CN"/>
        </w:rPr>
        <w:t>6</w:t>
      </w:r>
      <w:r>
        <w:rPr>
          <w:rFonts w:hint="eastAsia" w:ascii="宋体" w:hAnsi="宋体" w:eastAsia="宋体" w:cs="宋体"/>
          <w:color w:val="000000"/>
          <w:kern w:val="0"/>
          <w:szCs w:val="21"/>
          <w:highlight w:val="none"/>
          <w:lang w:eastAsia="zh-CN"/>
        </w:rPr>
        <w:t>年</w:t>
      </w:r>
      <w:r>
        <w:rPr>
          <w:rFonts w:hint="eastAsia" w:ascii="宋体" w:hAnsi="宋体" w:cs="宋体"/>
          <w:color w:val="000000"/>
          <w:kern w:val="0"/>
          <w:szCs w:val="21"/>
          <w:highlight w:val="none"/>
          <w:lang w:val="en-US" w:eastAsia="zh-CN"/>
        </w:rPr>
        <w:t>3</w:t>
      </w:r>
      <w:r>
        <w:rPr>
          <w:rFonts w:hint="eastAsia" w:ascii="宋体" w:hAnsi="宋体" w:eastAsia="宋体" w:cs="宋体"/>
          <w:color w:val="000000"/>
          <w:kern w:val="0"/>
          <w:szCs w:val="21"/>
          <w:highlight w:val="none"/>
          <w:lang w:eastAsia="zh-CN"/>
        </w:rPr>
        <w:t>月</w:t>
      </w:r>
      <w:r>
        <w:rPr>
          <w:rFonts w:hint="eastAsia" w:ascii="宋体" w:hAnsi="宋体" w:cs="宋体"/>
          <w:color w:val="000000"/>
          <w:kern w:val="0"/>
          <w:szCs w:val="21"/>
          <w:highlight w:val="none"/>
          <w:lang w:val="en-US" w:eastAsia="zh-CN"/>
        </w:rPr>
        <w:t>26</w:t>
      </w:r>
      <w:r>
        <w:rPr>
          <w:rFonts w:hint="eastAsia" w:ascii="宋体" w:hAnsi="宋体" w:eastAsia="宋体" w:cs="宋体"/>
          <w:color w:val="000000"/>
          <w:kern w:val="0"/>
          <w:szCs w:val="21"/>
          <w:highlight w:val="none"/>
          <w:lang w:eastAsia="zh-CN"/>
        </w:rPr>
        <w:t>日</w:t>
      </w:r>
      <w:r>
        <w:rPr>
          <w:rFonts w:hint="eastAsia" w:ascii="宋体" w:hAnsi="宋体" w:eastAsia="宋体" w:cs="宋体"/>
          <w:color w:val="000000"/>
          <w:kern w:val="0"/>
          <w:szCs w:val="21"/>
          <w:highlight w:val="none"/>
          <w:lang w:val="en-US" w:eastAsia="zh-CN"/>
        </w:rPr>
        <w:t>24:00（不少</w:t>
      </w:r>
      <w:r>
        <w:rPr>
          <w:rFonts w:hint="eastAsia" w:ascii="宋体" w:hAnsi="宋体" w:eastAsia="宋体" w:cs="宋体"/>
          <w:color w:val="000000"/>
          <w:kern w:val="0"/>
          <w:szCs w:val="21"/>
          <w:highlight w:val="none"/>
          <w:lang w:val="en-US" w:eastAsia="zh-CN"/>
        </w:rPr>
        <w:t>于两个工作日）</w:t>
      </w:r>
      <w:r>
        <w:rPr>
          <w:rFonts w:hint="eastAsia" w:ascii="宋体" w:hAnsi="宋体" w:eastAsia="宋体" w:cs="宋体"/>
          <w:color w:val="000000"/>
          <w:kern w:val="0"/>
          <w:szCs w:val="21"/>
          <w:highlight w:val="none"/>
          <w:lang w:eastAsia="zh-CN"/>
        </w:rPr>
        <w:t>，送达地址（邮寄或现场提交均可）：广西南宁市青秀区中山街道广西医科大学附属小学对面培训中心办公区二楼后勤办公室。逾期不接收文件。</w:t>
      </w:r>
    </w:p>
    <w:p w14:paraId="61A2B4C6">
      <w:pPr>
        <w:widowControl/>
        <w:shd w:val="clear" w:color="auto" w:fill="FFFFFF"/>
        <w:spacing w:line="560" w:lineRule="exact"/>
        <w:rPr>
          <w:rFonts w:ascii="宋体" w:hAnsi="宋体" w:cs="宋体"/>
          <w:color w:val="000000"/>
          <w:kern w:val="0"/>
          <w:szCs w:val="21"/>
          <w:highlight w:val="none"/>
        </w:rPr>
      </w:pPr>
      <w:r>
        <w:rPr>
          <w:rFonts w:hint="eastAsia" w:ascii="宋体" w:hAnsi="宋体" w:cs="宋体"/>
          <w:color w:val="000000"/>
          <w:kern w:val="0"/>
          <w:szCs w:val="21"/>
          <w:highlight w:val="none"/>
          <w:lang w:val="en-US" w:eastAsia="zh-CN"/>
        </w:rPr>
        <w:t>七</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响应文件</w:t>
      </w:r>
      <w:r>
        <w:rPr>
          <w:rFonts w:hint="eastAsia" w:ascii="宋体" w:hAnsi="宋体" w:cs="宋体"/>
          <w:color w:val="000000"/>
          <w:kern w:val="0"/>
          <w:szCs w:val="21"/>
          <w:highlight w:val="none"/>
        </w:rPr>
        <w:t>要求：</w:t>
      </w:r>
    </w:p>
    <w:p w14:paraId="6B075657">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份数要求：纸质版、电子版（word格式</w:t>
      </w:r>
      <w:r>
        <w:rPr>
          <w:rFonts w:hint="eastAsia" w:ascii="宋体" w:hAnsi="宋体" w:cs="宋体"/>
          <w:color w:val="000000"/>
          <w:kern w:val="0"/>
          <w:szCs w:val="21"/>
          <w:highlight w:val="none"/>
          <w:lang w:eastAsia="zh-CN"/>
        </w:rPr>
        <w:t>、盖章版</w:t>
      </w:r>
      <w:r>
        <w:rPr>
          <w:rFonts w:hint="eastAsia" w:ascii="宋体" w:hAnsi="宋体" w:cs="宋体"/>
          <w:color w:val="000000"/>
          <w:kern w:val="0"/>
          <w:szCs w:val="21"/>
          <w:highlight w:val="none"/>
          <w:lang w:val="en-US" w:eastAsia="zh-CN"/>
        </w:rPr>
        <w:t>pdf格式</w:t>
      </w:r>
      <w:r>
        <w:rPr>
          <w:rFonts w:hint="eastAsia" w:ascii="宋体" w:hAnsi="宋体" w:cs="宋体"/>
          <w:color w:val="000000"/>
          <w:kern w:val="0"/>
          <w:szCs w:val="21"/>
          <w:highlight w:val="none"/>
        </w:rPr>
        <w:t>），正本一份，副本二份，要求密封。</w:t>
      </w:r>
    </w:p>
    <w:p w14:paraId="483CD296">
      <w:pPr>
        <w:widowControl/>
        <w:shd w:val="clear" w:color="auto" w:fill="FFFFFF"/>
        <w:spacing w:line="560" w:lineRule="exact"/>
        <w:ind w:firstLine="420" w:firstLineChars="200"/>
        <w:jc w:val="left"/>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本项目</w:t>
      </w:r>
      <w:r>
        <w:rPr>
          <w:rFonts w:hint="eastAsia" w:ascii="宋体" w:hAnsi="宋体" w:eastAsia="宋体" w:cs="宋体"/>
          <w:kern w:val="0"/>
          <w:sz w:val="22"/>
          <w:szCs w:val="22"/>
          <w:highlight w:val="none"/>
        </w:rPr>
        <w:t>（是/否）</w:t>
      </w:r>
      <w:r>
        <w:rPr>
          <w:rFonts w:hint="eastAsia" w:ascii="宋体" w:hAnsi="宋体" w:cs="宋体"/>
          <w:color w:val="000000"/>
          <w:kern w:val="0"/>
          <w:szCs w:val="21"/>
          <w:highlight w:val="none"/>
          <w:lang w:eastAsia="zh-CN"/>
        </w:rPr>
        <w:t>设置样品分：</w:t>
      </w:r>
      <w:r>
        <w:rPr>
          <w:rFonts w:hint="eastAsia" w:ascii="宋体" w:hAnsi="宋体" w:eastAsia="宋体" w:cs="宋体"/>
          <w:kern w:val="0"/>
          <w:sz w:val="22"/>
          <w:szCs w:val="22"/>
          <w:highlight w:val="none"/>
        </w:rPr>
        <w:t>是</w:t>
      </w:r>
      <w:r>
        <w:rPr>
          <w:rFonts w:hint="eastAsia" w:ascii="宋体" w:hAnsi="宋体" w:cs="宋体"/>
          <w:kern w:val="0"/>
          <w:sz w:val="22"/>
          <w:szCs w:val="22"/>
          <w:highlight w:val="none"/>
          <w:lang w:eastAsia="zh-CN"/>
        </w:rPr>
        <w:t>。</w:t>
      </w:r>
    </w:p>
    <w:p w14:paraId="3D50F817">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供应商可根据自身情况提供样品，作为样品分打分依据。不提供样品的，样品分为0分。</w:t>
      </w:r>
      <w:r>
        <w:rPr>
          <w:rFonts w:hint="eastAsia" w:ascii="宋体" w:hAnsi="宋体" w:cs="宋体"/>
          <w:color w:val="000000"/>
          <w:kern w:val="0"/>
          <w:szCs w:val="21"/>
          <w:highlight w:val="none"/>
          <w:lang w:eastAsia="zh-CN"/>
        </w:rPr>
        <w:t>成交</w:t>
      </w:r>
      <w:r>
        <w:rPr>
          <w:rFonts w:hint="eastAsia" w:ascii="宋体" w:hAnsi="宋体" w:cs="宋体"/>
          <w:color w:val="000000"/>
          <w:kern w:val="0"/>
          <w:szCs w:val="21"/>
          <w:highlight w:val="none"/>
        </w:rPr>
        <w:t>人样品不退，作为验收依据之一。</w:t>
      </w:r>
    </w:p>
    <w:p w14:paraId="554F95C0">
      <w:pPr>
        <w:widowControl/>
        <w:numPr>
          <w:ilvl w:val="0"/>
          <w:numId w:val="0"/>
        </w:numPr>
        <w:shd w:val="clear" w:color="auto" w:fill="FFFFFF"/>
        <w:spacing w:line="560" w:lineRule="exact"/>
        <w:jc w:val="left"/>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val="en-US" w:eastAsia="zh-CN"/>
        </w:rPr>
        <w:t>八</w:t>
      </w:r>
      <w:r>
        <w:rPr>
          <w:rFonts w:hint="eastAsia" w:ascii="宋体" w:hAnsi="宋体" w:cs="宋体"/>
          <w:color w:val="000000"/>
          <w:kern w:val="0"/>
          <w:szCs w:val="21"/>
          <w:highlight w:val="none"/>
          <w:lang w:eastAsia="zh-CN"/>
        </w:rPr>
        <w:t>、联系方式：</w:t>
      </w:r>
    </w:p>
    <w:p w14:paraId="19C87710">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联系人： 黄工    联系电话：  0771-5356589 </w:t>
      </w:r>
    </w:p>
    <w:p w14:paraId="7C7C1CA7">
      <w:pPr>
        <w:widowControl/>
        <w:numPr>
          <w:ilvl w:val="0"/>
          <w:numId w:val="0"/>
        </w:numPr>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zh-CN"/>
        </w:rPr>
        <w:t>地址</w:t>
      </w:r>
      <w:r>
        <w:rPr>
          <w:rFonts w:hint="eastAsia" w:ascii="宋体" w:hAnsi="宋体" w:cs="宋体"/>
          <w:color w:val="000000"/>
          <w:kern w:val="0"/>
          <w:szCs w:val="21"/>
          <w:highlight w:val="none"/>
        </w:rPr>
        <w:t xml:space="preserve">：广西南宁市青秀区中山街道广西医科大学附属小学对面培训中心办公区二楼后勤办公室。  </w:t>
      </w:r>
    </w:p>
    <w:p w14:paraId="688F3EA9">
      <w:pPr>
        <w:spacing w:line="312"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九</w:t>
      </w:r>
      <w:r>
        <w:rPr>
          <w:rFonts w:hint="eastAsia" w:ascii="宋体" w:hAnsi="宋体" w:eastAsia="宋体" w:cs="宋体"/>
          <w:kern w:val="0"/>
          <w:sz w:val="22"/>
          <w:szCs w:val="22"/>
          <w:highlight w:val="none"/>
        </w:rPr>
        <w:t>、公告发布媒体：</w:t>
      </w:r>
    </w:p>
    <w:p w14:paraId="1623A019">
      <w:pPr>
        <w:widowControl/>
        <w:numPr>
          <w:ilvl w:val="0"/>
          <w:numId w:val="0"/>
        </w:numPr>
        <w:shd w:val="clear" w:color="auto" w:fill="FFFFFF"/>
        <w:spacing w:line="560" w:lineRule="exact"/>
        <w:ind w:firstLine="440" w:firstLineChars="200"/>
        <w:jc w:val="left"/>
        <w:rPr>
          <w:rFonts w:hint="eastAsia" w:ascii="宋体" w:hAnsi="宋体" w:cs="宋体"/>
          <w:color w:val="000000"/>
          <w:kern w:val="0"/>
          <w:szCs w:val="21"/>
          <w:highlight w:val="none"/>
        </w:rPr>
      </w:pPr>
      <w:r>
        <w:rPr>
          <w:rFonts w:hint="eastAsia" w:ascii="宋体" w:hAnsi="宋体" w:eastAsia="宋体" w:cs="宋体"/>
          <w:kern w:val="0"/>
          <w:sz w:val="22"/>
          <w:szCs w:val="22"/>
          <w:highlight w:val="none"/>
          <w:lang w:val="en-US" w:eastAsia="zh-CN"/>
        </w:rPr>
        <w:t>广西医科大学第一附属医院（https://www.gxmuyfy.cn/）、广西医科大学（https://www.gxmu.edu.cn/）</w:t>
      </w:r>
      <w:r>
        <w:rPr>
          <w:rFonts w:hint="eastAsia" w:ascii="宋体" w:hAnsi="宋体" w:eastAsia="宋体" w:cs="宋体"/>
          <w:kern w:val="0"/>
          <w:sz w:val="22"/>
          <w:szCs w:val="22"/>
          <w:highlight w:val="none"/>
        </w:rPr>
        <w:t>。</w:t>
      </w:r>
    </w:p>
    <w:p w14:paraId="276ACE69">
      <w:pPr>
        <w:widowControl/>
        <w:numPr>
          <w:ilvl w:val="0"/>
          <w:numId w:val="1"/>
        </w:numPr>
        <w:shd w:val="clear" w:color="auto" w:fill="FFFFFF"/>
        <w:spacing w:line="360" w:lineRule="auto"/>
        <w:jc w:val="left"/>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eastAsia="zh-CN"/>
        </w:rPr>
        <w:t>本</w:t>
      </w:r>
      <w:r>
        <w:rPr>
          <w:rFonts w:hint="eastAsia" w:ascii="宋体" w:hAnsi="宋体" w:cs="宋体"/>
          <w:color w:val="000000"/>
          <w:kern w:val="0"/>
          <w:szCs w:val="21"/>
          <w:highlight w:val="none"/>
          <w:lang w:eastAsia="zh-CN"/>
        </w:rPr>
        <w:t>项目</w:t>
      </w:r>
      <w:r>
        <w:rPr>
          <w:rFonts w:hint="eastAsia" w:ascii="宋体" w:hAnsi="宋体" w:cs="宋体"/>
          <w:color w:val="000000"/>
          <w:kern w:val="0"/>
          <w:szCs w:val="21"/>
          <w:highlight w:val="none"/>
          <w:lang w:val="en-US" w:eastAsia="zh-CN"/>
        </w:rPr>
        <w:t>是否</w:t>
      </w:r>
      <w:r>
        <w:rPr>
          <w:rFonts w:hint="eastAsia" w:ascii="宋体" w:hAnsi="宋体" w:cs="宋体"/>
          <w:color w:val="000000"/>
          <w:kern w:val="0"/>
          <w:szCs w:val="21"/>
          <w:highlight w:val="none"/>
          <w:lang w:eastAsia="zh-CN"/>
        </w:rPr>
        <w:t>属于《</w:t>
      </w:r>
      <w:r>
        <w:rPr>
          <w:rFonts w:hint="eastAsia" w:ascii="宋体" w:hAnsi="宋体" w:cs="宋体"/>
          <w:color w:val="000000"/>
          <w:kern w:val="0"/>
          <w:szCs w:val="21"/>
          <w:highlight w:val="none"/>
        </w:rPr>
        <w:t>广西政府集中采购目录</w:t>
      </w:r>
      <w:r>
        <w:rPr>
          <w:rFonts w:hint="eastAsia" w:ascii="宋体" w:hAnsi="宋体" w:cs="宋体"/>
          <w:color w:val="000000"/>
          <w:kern w:val="0"/>
          <w:szCs w:val="21"/>
          <w:highlight w:val="none"/>
          <w:lang w:eastAsia="zh-CN"/>
        </w:rPr>
        <w:t>》内的货物或服务：</w:t>
      </w:r>
      <w:r>
        <w:rPr>
          <w:rFonts w:hint="eastAsia" w:ascii="宋体" w:hAnsi="宋体" w:cs="宋体"/>
          <w:color w:val="000000"/>
          <w:kern w:val="0"/>
          <w:szCs w:val="21"/>
          <w:highlight w:val="none"/>
          <w:lang w:val="en-US" w:eastAsia="zh-CN"/>
        </w:rPr>
        <w:t>是。</w:t>
      </w:r>
    </w:p>
    <w:p w14:paraId="3B5AD310">
      <w:pPr>
        <w:widowControl/>
        <w:numPr>
          <w:ilvl w:val="0"/>
          <w:numId w:val="0"/>
        </w:numPr>
        <w:shd w:val="clear" w:color="auto" w:fill="FFFFFF"/>
        <w:spacing w:line="360" w:lineRule="auto"/>
        <w:ind w:firstLine="420" w:firstLineChars="200"/>
        <w:jc w:val="left"/>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lang w:eastAsia="zh-CN"/>
        </w:rPr>
        <w:t>本项目完成评审后，按照《桂财规〔2020〕1号</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广西壮族自治区财政厅关于印发广西壮族自治区政府采购电子卖场采购管理暂行办法的通知》申报政府采购计划，经备案通过后组织实施采购活动，在广西政府采购云平台“电子卖场”上成交。</w:t>
      </w:r>
    </w:p>
    <w:p w14:paraId="32220B78">
      <w:pPr>
        <w:widowControl/>
        <w:shd w:val="clear" w:color="auto" w:fill="FFFFFF"/>
        <w:spacing w:line="560" w:lineRule="exact"/>
        <w:ind w:firstLine="420" w:firstLineChars="200"/>
        <w:jc w:val="left"/>
        <w:rPr>
          <w:rFonts w:hint="eastAsia" w:ascii="宋体" w:hAnsi="宋体" w:eastAsia="宋体" w:cs="宋体"/>
          <w:color w:val="000000"/>
          <w:kern w:val="0"/>
          <w:szCs w:val="21"/>
          <w:highlight w:val="none"/>
          <w:lang w:eastAsia="zh-CN"/>
        </w:rPr>
      </w:pPr>
    </w:p>
    <w:p w14:paraId="02719EDA">
      <w:pPr>
        <w:widowControl/>
        <w:shd w:val="clear" w:color="auto" w:fill="FFFFFF"/>
        <w:spacing w:line="56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附件1：</w:t>
      </w:r>
      <w:r>
        <w:rPr>
          <w:rFonts w:hint="eastAsia" w:ascii="宋体" w:hAnsi="宋体" w:cs="宋体"/>
          <w:color w:val="000000"/>
          <w:kern w:val="0"/>
          <w:szCs w:val="21"/>
          <w:highlight w:val="none"/>
          <w:lang w:eastAsia="zh-CN"/>
        </w:rPr>
        <w:t>询比文件</w:t>
      </w:r>
    </w:p>
    <w:p w14:paraId="78394DE6">
      <w:pPr>
        <w:widowControl/>
        <w:shd w:val="clear" w:color="auto" w:fill="FFFFFF"/>
        <w:spacing w:line="560" w:lineRule="exact"/>
        <w:ind w:firstLine="420" w:firstLineChars="200"/>
        <w:jc w:val="left"/>
        <w:rPr>
          <w:rFonts w:ascii="宋体" w:hAnsi="宋体" w:cs="宋体"/>
          <w:color w:val="000000"/>
          <w:kern w:val="0"/>
          <w:szCs w:val="21"/>
          <w:highlight w:val="none"/>
        </w:rPr>
      </w:pPr>
    </w:p>
    <w:p w14:paraId="2B6AEDE5">
      <w:pPr>
        <w:widowControl/>
        <w:shd w:val="clear" w:color="auto" w:fill="FFFFFF"/>
        <w:spacing w:line="560" w:lineRule="exact"/>
        <w:jc w:val="right"/>
        <w:rPr>
          <w:rFonts w:hint="eastAsia" w:ascii="宋体" w:hAnsi="宋体" w:cs="宋体"/>
          <w:color w:val="000000"/>
          <w:kern w:val="0"/>
          <w:szCs w:val="21"/>
          <w:highlight w:val="none"/>
        </w:rPr>
      </w:pPr>
      <w:r>
        <w:rPr>
          <w:rFonts w:hint="eastAsia" w:ascii="宋体" w:hAnsi="宋体" w:cs="宋体"/>
          <w:color w:val="000000"/>
          <w:kern w:val="0"/>
          <w:szCs w:val="21"/>
          <w:highlight w:val="none"/>
        </w:rPr>
        <w:t>广西医科大学第一附属医院</w:t>
      </w:r>
    </w:p>
    <w:p w14:paraId="381E7AF3">
      <w:pPr>
        <w:widowControl/>
        <w:shd w:val="clear" w:color="auto" w:fill="FFFFFF"/>
        <w:spacing w:line="560" w:lineRule="exact"/>
        <w:jc w:val="right"/>
        <w:rPr>
          <w:rFonts w:hint="eastAsia" w:ascii="宋体" w:hAnsi="宋体" w:cs="宋体"/>
          <w:color w:val="000000"/>
          <w:kern w:val="0"/>
          <w:szCs w:val="21"/>
          <w:highlight w:val="none"/>
        </w:rPr>
      </w:pPr>
      <w:r>
        <w:rPr>
          <w:rFonts w:hint="eastAsia" w:ascii="宋体" w:hAnsi="宋体" w:cs="宋体"/>
          <w:color w:val="000000"/>
          <w:kern w:val="0"/>
          <w:szCs w:val="21"/>
          <w:highlight w:val="none"/>
        </w:rPr>
        <w:t>后勤办公室</w:t>
      </w:r>
    </w:p>
    <w:p w14:paraId="5466DA3D">
      <w:pPr>
        <w:widowControl/>
        <w:shd w:val="clear" w:color="auto" w:fill="FFFFFF"/>
        <w:wordWrap w:val="0"/>
        <w:spacing w:line="560" w:lineRule="exact"/>
        <w:jc w:val="right"/>
        <w:rPr>
          <w:rFonts w:ascii="宋体" w:hAnsi="宋体"/>
          <w:color w:val="000000"/>
          <w:szCs w:val="21"/>
          <w:highlight w:val="none"/>
        </w:rPr>
      </w:pPr>
      <w:r>
        <w:rPr>
          <w:rFonts w:hint="eastAsia" w:ascii="宋体" w:hAnsi="宋体" w:cs="宋体"/>
          <w:color w:val="000000"/>
          <w:kern w:val="0"/>
          <w:szCs w:val="21"/>
          <w:highlight w:val="none"/>
        </w:rPr>
        <w:t>202</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 xml:space="preserve"> 3</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 xml:space="preserve">23 </w:t>
      </w:r>
      <w:r>
        <w:rPr>
          <w:rFonts w:hint="eastAsia" w:ascii="宋体" w:hAnsi="宋体" w:cs="宋体"/>
          <w:color w:val="000000"/>
          <w:kern w:val="0"/>
          <w:szCs w:val="21"/>
          <w:highlight w:val="none"/>
        </w:rPr>
        <w:t>日</w:t>
      </w:r>
    </w:p>
    <w:p w14:paraId="0C248A52">
      <w:pPr>
        <w:pStyle w:val="31"/>
        <w:spacing w:line="360" w:lineRule="auto"/>
        <w:jc w:val="center"/>
        <w:rPr>
          <w:rFonts w:hint="eastAsia" w:asciiTheme="minorEastAsia" w:hAnsiTheme="minorEastAsia" w:eastAsiaTheme="minorEastAsia"/>
          <w:b/>
          <w:bCs/>
          <w:sz w:val="30"/>
          <w:szCs w:val="30"/>
          <w:highlight w:val="none"/>
          <w:lang w:eastAsia="zh-CN"/>
        </w:rPr>
        <w:sectPr>
          <w:pgSz w:w="11906" w:h="16838"/>
          <w:pgMar w:top="1440" w:right="1800" w:bottom="1440" w:left="1800" w:header="851" w:footer="992" w:gutter="0"/>
          <w:pgNumType w:fmt="decimal"/>
          <w:cols w:space="425" w:num="1"/>
          <w:docGrid w:type="lines" w:linePitch="312" w:charSpace="0"/>
        </w:sectPr>
      </w:pPr>
    </w:p>
    <w:p w14:paraId="0670F4EC">
      <w:pPr>
        <w:pStyle w:val="3"/>
        <w:numPr>
          <w:ilvl w:val="0"/>
          <w:numId w:val="0"/>
        </w:numPr>
        <w:shd w:val="clear" w:color="auto" w:fill="auto"/>
        <w:spacing w:line="360" w:lineRule="auto"/>
        <w:jc w:val="center"/>
        <w:rPr>
          <w:color w:val="000000"/>
          <w:highlight w:val="none"/>
        </w:rPr>
      </w:pPr>
      <w:bookmarkStart w:id="1" w:name="_Toc44229895"/>
      <w:r>
        <w:rPr>
          <w:rFonts w:hint="eastAsia" w:ascii="Cambria" w:hAnsi="Cambria" w:eastAsia="宋体" w:cs="Times New Roman"/>
          <w:b/>
          <w:bCs/>
          <w:color w:val="000000"/>
          <w:kern w:val="2"/>
          <w:sz w:val="32"/>
          <w:szCs w:val="32"/>
          <w:highlight w:val="none"/>
          <w:lang w:val="en-US" w:eastAsia="zh-CN" w:bidi="ar-SA"/>
        </w:rPr>
        <w:t>第</w:t>
      </w:r>
      <w:r>
        <w:rPr>
          <w:rFonts w:hint="eastAsia" w:cs="Times New Roman"/>
          <w:b/>
          <w:bCs/>
          <w:color w:val="000000"/>
          <w:kern w:val="2"/>
          <w:sz w:val="32"/>
          <w:szCs w:val="32"/>
          <w:highlight w:val="none"/>
          <w:lang w:val="en-US" w:eastAsia="zh-CN" w:bidi="ar-SA"/>
        </w:rPr>
        <w:t>二</w:t>
      </w:r>
      <w:r>
        <w:rPr>
          <w:rFonts w:hint="eastAsia" w:ascii="Cambria" w:hAnsi="Cambria" w:eastAsia="宋体" w:cs="Times New Roman"/>
          <w:b/>
          <w:bCs/>
          <w:color w:val="000000"/>
          <w:kern w:val="2"/>
          <w:sz w:val="32"/>
          <w:szCs w:val="32"/>
          <w:highlight w:val="none"/>
          <w:lang w:val="en-US" w:eastAsia="zh-CN" w:bidi="ar-SA"/>
        </w:rPr>
        <w:t>章</w:t>
      </w:r>
      <w:r>
        <w:rPr>
          <w:rFonts w:hint="eastAsia"/>
          <w:color w:val="000000"/>
          <w:highlight w:val="none"/>
        </w:rPr>
        <w:t xml:space="preserve"> </w:t>
      </w:r>
      <w:bookmarkStart w:id="2" w:name="_Toc14124"/>
      <w:r>
        <w:rPr>
          <w:rFonts w:hint="eastAsia"/>
          <w:color w:val="000000"/>
          <w:highlight w:val="none"/>
        </w:rPr>
        <w:t>采购需求</w:t>
      </w:r>
      <w:bookmarkEnd w:id="1"/>
      <w:bookmarkEnd w:id="2"/>
    </w:p>
    <w:p w14:paraId="407C716D">
      <w:pPr>
        <w:shd w:val="clear" w:color="auto" w:fill="auto"/>
        <w:spacing w:line="480" w:lineRule="auto"/>
        <w:jc w:val="left"/>
        <w:rPr>
          <w:rFonts w:ascii="宋体" w:cs="宋体"/>
          <w:color w:val="000000"/>
          <w:szCs w:val="21"/>
          <w:highlight w:val="none"/>
        </w:rPr>
      </w:pPr>
      <w:r>
        <w:rPr>
          <w:rFonts w:hint="eastAsia" w:ascii="宋体" w:hAnsi="宋体" w:cs="宋体"/>
          <w:color w:val="000000"/>
          <w:szCs w:val="21"/>
          <w:highlight w:val="none"/>
        </w:rPr>
        <w:t>说明：</w:t>
      </w:r>
    </w:p>
    <w:p w14:paraId="635231C6">
      <w:pPr>
        <w:shd w:val="clear" w:color="auto" w:fill="auto"/>
        <w:spacing w:line="360" w:lineRule="auto"/>
        <w:ind w:firstLine="420" w:firstLineChars="200"/>
        <w:jc w:val="left"/>
        <w:rPr>
          <w:rFonts w:hint="eastAsia" w:ascii="新宋体" w:hAnsi="新宋体" w:eastAsia="新宋体" w:cs="新宋体"/>
          <w:color w:val="000000"/>
          <w:szCs w:val="21"/>
          <w:highlight w:val="none"/>
        </w:rPr>
      </w:pPr>
      <w:r>
        <w:rPr>
          <w:rFonts w:hint="eastAsia" w:ascii="新宋体" w:hAnsi="新宋体" w:eastAsia="新宋体" w:cs="新宋体"/>
          <w:color w:val="000000"/>
          <w:highlight w:val="none"/>
        </w:rPr>
        <w:t xml:space="preserve">1. </w:t>
      </w:r>
      <w:r>
        <w:rPr>
          <w:rFonts w:hint="eastAsia" w:ascii="新宋体" w:hAnsi="新宋体" w:eastAsia="新宋体" w:cs="新宋体"/>
          <w:color w:val="000000"/>
          <w:szCs w:val="21"/>
          <w:highlight w:val="none"/>
        </w:rPr>
        <w:t>《采购项目需求》中打</w:t>
      </w:r>
      <w:r>
        <w:rPr>
          <w:rFonts w:hint="eastAsia" w:ascii="新宋体" w:hAnsi="新宋体" w:eastAsia="新宋体" w:cs="新宋体"/>
          <w:color w:val="000000"/>
          <w:szCs w:val="21"/>
          <w:highlight w:val="none"/>
          <w:lang w:eastAsia="zh-CN"/>
        </w:rPr>
        <w:t>▲</w:t>
      </w:r>
      <w:r>
        <w:rPr>
          <w:rFonts w:hint="eastAsia" w:ascii="新宋体" w:hAnsi="新宋体" w:eastAsia="新宋体" w:cs="新宋体"/>
          <w:color w:val="000000"/>
          <w:szCs w:val="21"/>
          <w:highlight w:val="none"/>
        </w:rPr>
        <w:t>号条款均为实质性要求或条件，</w:t>
      </w:r>
      <w:r>
        <w:rPr>
          <w:rFonts w:hint="eastAsia" w:ascii="新宋体" w:hAnsi="新宋体" w:eastAsia="新宋体" w:cs="新宋体"/>
          <w:color w:val="000000"/>
          <w:szCs w:val="21"/>
          <w:highlight w:val="none"/>
          <w:lang w:eastAsia="zh-CN"/>
        </w:rPr>
        <w:t>供应商</w:t>
      </w:r>
      <w:r>
        <w:rPr>
          <w:rFonts w:hint="eastAsia" w:ascii="新宋体" w:hAnsi="新宋体" w:eastAsia="新宋体" w:cs="新宋体"/>
          <w:color w:val="000000"/>
          <w:szCs w:val="21"/>
          <w:highlight w:val="none"/>
        </w:rPr>
        <w:t>必须满足或者优于该要求和条件，否则</w:t>
      </w:r>
      <w:r>
        <w:rPr>
          <w:rFonts w:hint="eastAsia" w:ascii="新宋体" w:hAnsi="新宋体" w:eastAsia="新宋体" w:cs="新宋体"/>
          <w:color w:val="000000"/>
          <w:szCs w:val="21"/>
          <w:highlight w:val="none"/>
          <w:lang w:eastAsia="zh-CN"/>
        </w:rPr>
        <w:t>响应无效</w:t>
      </w:r>
      <w:r>
        <w:rPr>
          <w:rFonts w:hint="eastAsia" w:ascii="新宋体" w:hAnsi="新宋体" w:eastAsia="新宋体" w:cs="新宋体"/>
          <w:color w:val="000000"/>
          <w:szCs w:val="21"/>
          <w:highlight w:val="none"/>
        </w:rPr>
        <w:t>。</w:t>
      </w:r>
    </w:p>
    <w:p w14:paraId="7C581E99">
      <w:pPr>
        <w:shd w:val="clear" w:color="auto" w:fill="auto"/>
        <w:spacing w:line="360" w:lineRule="auto"/>
        <w:ind w:firstLine="424" w:firstLineChars="202"/>
        <w:jc w:val="left"/>
        <w:rPr>
          <w:rFonts w:hint="eastAsia" w:ascii="新宋体" w:hAnsi="新宋体" w:eastAsia="新宋体" w:cs="新宋体"/>
          <w:color w:val="000000"/>
          <w:highlight w:val="none"/>
        </w:rPr>
      </w:pPr>
      <w:r>
        <w:rPr>
          <w:rFonts w:hint="eastAsia" w:ascii="新宋体" w:hAnsi="新宋体" w:eastAsia="新宋体" w:cs="新宋体"/>
          <w:color w:val="000000"/>
          <w:szCs w:val="21"/>
          <w:highlight w:val="none"/>
          <w:lang w:val="en-US" w:eastAsia="zh-CN"/>
        </w:rPr>
        <w:t>2</w:t>
      </w:r>
      <w:r>
        <w:rPr>
          <w:rFonts w:hint="eastAsia" w:ascii="新宋体" w:hAnsi="新宋体" w:eastAsia="新宋体" w:cs="新宋体"/>
          <w:color w:val="000000"/>
          <w:szCs w:val="21"/>
          <w:highlight w:val="none"/>
        </w:rPr>
        <w:t>.</w:t>
      </w:r>
      <w:r>
        <w:rPr>
          <w:rFonts w:hint="eastAsia" w:ascii="新宋体" w:hAnsi="新宋体" w:eastAsia="新宋体" w:cs="新宋体"/>
          <w:color w:val="000000"/>
          <w:highlight w:val="none"/>
        </w:rPr>
        <w:t>供应商必须自行为其</w:t>
      </w:r>
      <w:r>
        <w:rPr>
          <w:rFonts w:hint="eastAsia" w:ascii="新宋体" w:hAnsi="新宋体" w:eastAsia="新宋体" w:cs="新宋体"/>
          <w:color w:val="000000"/>
          <w:highlight w:val="none"/>
          <w:lang w:eastAsia="zh-CN"/>
        </w:rPr>
        <w:t>响应产品</w:t>
      </w:r>
      <w:r>
        <w:rPr>
          <w:rFonts w:hint="eastAsia" w:ascii="新宋体" w:hAnsi="新宋体" w:eastAsia="新宋体" w:cs="新宋体"/>
          <w:color w:val="000000"/>
          <w:highlight w:val="none"/>
        </w:rPr>
        <w:t>侵犯他人的知识产权或者专利成果的行为承担相应法律责任。</w:t>
      </w:r>
    </w:p>
    <w:p w14:paraId="4E0A40E1">
      <w:pPr>
        <w:shd w:val="clear" w:color="auto" w:fill="auto"/>
        <w:spacing w:line="360" w:lineRule="auto"/>
        <w:ind w:firstLine="424" w:firstLineChars="202"/>
        <w:jc w:val="left"/>
        <w:rPr>
          <w:rFonts w:eastAsia="Times New Roman"/>
          <w:color w:val="000000"/>
          <w:kern w:val="0"/>
          <w:sz w:val="2"/>
          <w:szCs w:val="2"/>
          <w:highlight w:val="none"/>
          <w:lang w:bidi="en-US"/>
        </w:rPr>
      </w:pPr>
      <w:r>
        <w:rPr>
          <w:rFonts w:hint="eastAsia" w:ascii="新宋体" w:hAnsi="新宋体" w:eastAsia="新宋体" w:cs="新宋体"/>
          <w:color w:val="000000"/>
          <w:highlight w:val="none"/>
          <w:lang w:val="en-US" w:eastAsia="zh-CN"/>
        </w:rPr>
        <w:t>3.所属行业：</w:t>
      </w:r>
      <w:r>
        <w:rPr>
          <w:rFonts w:hint="eastAsia" w:ascii="新宋体" w:hAnsi="新宋体" w:eastAsia="新宋体" w:cs="新宋体"/>
          <w:color w:val="000000"/>
          <w:highlight w:val="none"/>
          <w:u w:val="single"/>
          <w:lang w:val="en-US" w:eastAsia="zh-CN"/>
        </w:rPr>
        <w:t>制造业</w:t>
      </w:r>
    </w:p>
    <w:p w14:paraId="533246F2">
      <w:pPr>
        <w:shd w:val="clear" w:color="auto" w:fill="auto"/>
        <w:spacing w:line="1" w:lineRule="exact"/>
        <w:jc w:val="left"/>
        <w:rPr>
          <w:rFonts w:eastAsia="Times New Roman"/>
          <w:color w:val="000000"/>
          <w:kern w:val="0"/>
          <w:sz w:val="2"/>
          <w:szCs w:val="2"/>
          <w:highlight w:val="none"/>
          <w:lang w:bidi="en-US"/>
        </w:rPr>
      </w:pPr>
    </w:p>
    <w:p w14:paraId="5A380E55">
      <w:pPr>
        <w:shd w:val="clear" w:color="auto" w:fill="auto"/>
        <w:spacing w:line="1" w:lineRule="exact"/>
        <w:jc w:val="left"/>
        <w:rPr>
          <w:rFonts w:eastAsia="Times New Roman"/>
          <w:color w:val="000000"/>
          <w:kern w:val="0"/>
          <w:sz w:val="2"/>
          <w:szCs w:val="2"/>
          <w:highlight w:val="none"/>
          <w:lang w:bidi="en-US"/>
        </w:rPr>
      </w:pPr>
    </w:p>
    <w:p w14:paraId="4CB296D1">
      <w:pPr>
        <w:shd w:val="clear" w:color="auto" w:fill="auto"/>
        <w:spacing w:line="1" w:lineRule="exact"/>
        <w:jc w:val="left"/>
        <w:rPr>
          <w:rFonts w:eastAsia="Times New Roman"/>
          <w:color w:val="000000"/>
          <w:kern w:val="0"/>
          <w:sz w:val="2"/>
          <w:szCs w:val="2"/>
          <w:highlight w:val="none"/>
          <w:lang w:bidi="en-US"/>
        </w:rPr>
      </w:pPr>
    </w:p>
    <w:p w14:paraId="78A98BAE">
      <w:pPr>
        <w:shd w:val="clear" w:color="auto" w:fill="auto"/>
        <w:spacing w:line="1" w:lineRule="exact"/>
        <w:jc w:val="left"/>
        <w:rPr>
          <w:rFonts w:eastAsia="Times New Roman"/>
          <w:color w:val="000000"/>
          <w:kern w:val="0"/>
          <w:sz w:val="2"/>
          <w:szCs w:val="2"/>
          <w:highlight w:val="none"/>
          <w:lang w:bidi="en-US"/>
        </w:rPr>
      </w:pPr>
    </w:p>
    <w:p w14:paraId="155B9F6A">
      <w:pPr>
        <w:shd w:val="clear" w:color="auto" w:fill="auto"/>
        <w:spacing w:line="1" w:lineRule="exact"/>
        <w:jc w:val="left"/>
        <w:rPr>
          <w:rFonts w:eastAsia="Times New Roman"/>
          <w:color w:val="000000"/>
          <w:kern w:val="0"/>
          <w:sz w:val="2"/>
          <w:szCs w:val="2"/>
          <w:highlight w:val="none"/>
          <w:lang w:bidi="en-US"/>
        </w:rPr>
      </w:pPr>
    </w:p>
    <w:p w14:paraId="2928DC6E">
      <w:pPr>
        <w:shd w:val="clear" w:color="auto" w:fill="auto"/>
        <w:spacing w:line="1" w:lineRule="exact"/>
        <w:jc w:val="left"/>
        <w:rPr>
          <w:rFonts w:eastAsia="Times New Roman"/>
          <w:color w:val="000000"/>
          <w:kern w:val="0"/>
          <w:sz w:val="2"/>
          <w:szCs w:val="2"/>
          <w:highlight w:val="none"/>
          <w:lang w:bidi="en-US"/>
        </w:rPr>
      </w:pPr>
    </w:p>
    <w:p w14:paraId="35D3E55B">
      <w:pPr>
        <w:shd w:val="clear" w:color="auto" w:fill="auto"/>
        <w:spacing w:line="1" w:lineRule="exact"/>
        <w:jc w:val="left"/>
        <w:rPr>
          <w:rFonts w:eastAsia="Times New Roman"/>
          <w:color w:val="000000"/>
          <w:kern w:val="0"/>
          <w:sz w:val="2"/>
          <w:szCs w:val="2"/>
          <w:highlight w:val="none"/>
          <w:lang w:bidi="en-US"/>
        </w:rPr>
      </w:pPr>
    </w:p>
    <w:p w14:paraId="320D1D11">
      <w:pPr>
        <w:shd w:val="clear" w:color="auto" w:fill="auto"/>
        <w:spacing w:line="1" w:lineRule="exact"/>
        <w:jc w:val="left"/>
        <w:rPr>
          <w:rFonts w:eastAsia="Times New Roman"/>
          <w:color w:val="000000"/>
          <w:kern w:val="0"/>
          <w:sz w:val="2"/>
          <w:szCs w:val="2"/>
          <w:highlight w:val="none"/>
          <w:lang w:bidi="en-US"/>
        </w:rPr>
      </w:pPr>
    </w:p>
    <w:tbl>
      <w:tblPr>
        <w:tblStyle w:val="25"/>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9"/>
        <w:gridCol w:w="1114"/>
        <w:gridCol w:w="808"/>
        <w:gridCol w:w="7327"/>
      </w:tblGrid>
      <w:tr w14:paraId="5DDCB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top"/>
          </w:tcPr>
          <w:p w14:paraId="17AA43A7">
            <w:pPr>
              <w:shd w:val="clear" w:color="auto" w:fill="auto"/>
              <w:snapToGrid w:val="0"/>
              <w:spacing w:line="400" w:lineRule="exact"/>
              <w:outlineLvl w:val="0"/>
              <w:rPr>
                <w:rFonts w:hint="eastAsia" w:ascii="宋体" w:hAnsi="宋体" w:eastAsia="宋体" w:cs="宋体"/>
                <w:b/>
                <w:color w:val="000000"/>
                <w:highlight w:val="none"/>
                <w:lang w:eastAsia="zh-CN"/>
              </w:rPr>
            </w:pPr>
            <w:bookmarkStart w:id="3" w:name="_Toc11197"/>
            <w:bookmarkStart w:id="4" w:name="_Toc23351"/>
            <w:bookmarkStart w:id="5" w:name="_Toc13904"/>
            <w:bookmarkStart w:id="6" w:name="_Toc24212"/>
            <w:bookmarkStart w:id="7" w:name="_Toc15832"/>
            <w:r>
              <w:rPr>
                <w:rFonts w:hint="eastAsia" w:ascii="宋体" w:hAnsi="宋体" w:cs="宋体"/>
                <w:b/>
                <w:color w:val="000000"/>
                <w:highlight w:val="none"/>
              </w:rPr>
              <w:t>一、项目</w:t>
            </w:r>
            <w:bookmarkEnd w:id="3"/>
            <w:r>
              <w:rPr>
                <w:rFonts w:hint="eastAsia" w:ascii="宋体" w:hAnsi="宋体" w:cs="宋体"/>
                <w:b/>
                <w:color w:val="000000"/>
                <w:highlight w:val="none"/>
                <w:lang w:val="en-US" w:eastAsia="zh-CN"/>
              </w:rPr>
              <w:t>需求</w:t>
            </w:r>
            <w:bookmarkEnd w:id="4"/>
            <w:bookmarkEnd w:id="5"/>
            <w:bookmarkEnd w:id="6"/>
            <w:bookmarkEnd w:id="7"/>
          </w:p>
        </w:tc>
      </w:tr>
      <w:tr w14:paraId="53F99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79" w:type="dxa"/>
            <w:tcBorders>
              <w:top w:val="single" w:color="auto" w:sz="4" w:space="0"/>
              <w:left w:val="single" w:color="auto" w:sz="4" w:space="0"/>
              <w:bottom w:val="single" w:color="auto" w:sz="4" w:space="0"/>
              <w:right w:val="single" w:color="auto" w:sz="4" w:space="0"/>
            </w:tcBorders>
            <w:noWrap w:val="0"/>
            <w:vAlign w:val="center"/>
          </w:tcPr>
          <w:p w14:paraId="32A6069F">
            <w:pPr>
              <w:shd w:val="clear" w:color="auto" w:fill="auto"/>
              <w:snapToGrid w:val="0"/>
              <w:spacing w:line="400" w:lineRule="exact"/>
              <w:jc w:val="center"/>
              <w:outlineLvl w:val="0"/>
              <w:rPr>
                <w:rFonts w:hint="eastAsia" w:ascii="宋体" w:hAnsi="宋体" w:cs="宋体"/>
                <w:color w:val="000000"/>
                <w:highlight w:val="none"/>
              </w:rPr>
            </w:pPr>
            <w:bookmarkStart w:id="8" w:name="_Toc13034"/>
            <w:bookmarkStart w:id="9" w:name="_Toc3063"/>
            <w:bookmarkStart w:id="10" w:name="_Toc625"/>
            <w:bookmarkStart w:id="11" w:name="_Toc15347"/>
            <w:bookmarkStart w:id="12" w:name="_Toc24419"/>
            <w:r>
              <w:rPr>
                <w:rFonts w:hint="eastAsia" w:ascii="宋体" w:hAnsi="宋体" w:cs="宋体"/>
                <w:color w:val="000000"/>
                <w:highlight w:val="none"/>
              </w:rPr>
              <w:t>序号</w:t>
            </w:r>
            <w:bookmarkEnd w:id="8"/>
            <w:bookmarkEnd w:id="9"/>
            <w:bookmarkEnd w:id="10"/>
            <w:bookmarkEnd w:id="11"/>
            <w:bookmarkEnd w:id="12"/>
          </w:p>
        </w:tc>
        <w:tc>
          <w:tcPr>
            <w:tcW w:w="1114" w:type="dxa"/>
            <w:tcBorders>
              <w:top w:val="single" w:color="auto" w:sz="4" w:space="0"/>
              <w:left w:val="single" w:color="auto" w:sz="4" w:space="0"/>
              <w:bottom w:val="single" w:color="auto" w:sz="4" w:space="0"/>
              <w:right w:val="single" w:color="auto" w:sz="4" w:space="0"/>
            </w:tcBorders>
            <w:noWrap w:val="0"/>
            <w:vAlign w:val="center"/>
          </w:tcPr>
          <w:p w14:paraId="0B11D4A4">
            <w:pPr>
              <w:shd w:val="clear" w:color="auto" w:fill="auto"/>
              <w:snapToGrid w:val="0"/>
              <w:spacing w:line="400" w:lineRule="exact"/>
              <w:jc w:val="center"/>
              <w:outlineLvl w:val="0"/>
              <w:rPr>
                <w:rFonts w:hint="eastAsia" w:ascii="宋体" w:hAnsi="宋体" w:cs="宋体"/>
                <w:color w:val="000000"/>
                <w:highlight w:val="none"/>
              </w:rPr>
            </w:pPr>
            <w:bookmarkStart w:id="13" w:name="_Toc22549"/>
            <w:bookmarkStart w:id="14" w:name="_Toc27198"/>
            <w:bookmarkStart w:id="15" w:name="_Toc19980"/>
            <w:bookmarkStart w:id="16" w:name="_Toc16054"/>
            <w:bookmarkStart w:id="17" w:name="_Toc17206"/>
            <w:r>
              <w:rPr>
                <w:rFonts w:hint="eastAsia" w:ascii="宋体" w:hAnsi="宋体" w:cs="宋体"/>
                <w:color w:val="000000"/>
                <w:highlight w:val="none"/>
                <w:lang w:val="en-US" w:eastAsia="zh-CN"/>
              </w:rPr>
              <w:t>标的</w:t>
            </w:r>
            <w:r>
              <w:rPr>
                <w:rFonts w:hint="eastAsia" w:ascii="宋体" w:hAnsi="宋体" w:cs="宋体"/>
                <w:color w:val="000000"/>
                <w:highlight w:val="none"/>
              </w:rPr>
              <w:t>名称</w:t>
            </w:r>
            <w:bookmarkEnd w:id="13"/>
            <w:bookmarkEnd w:id="14"/>
            <w:bookmarkEnd w:id="15"/>
            <w:bookmarkEnd w:id="16"/>
            <w:bookmarkEnd w:id="17"/>
          </w:p>
        </w:tc>
        <w:tc>
          <w:tcPr>
            <w:tcW w:w="808" w:type="dxa"/>
            <w:tcBorders>
              <w:top w:val="single" w:color="auto" w:sz="4" w:space="0"/>
              <w:left w:val="single" w:color="auto" w:sz="4" w:space="0"/>
              <w:bottom w:val="single" w:color="auto" w:sz="4" w:space="0"/>
              <w:right w:val="single" w:color="auto" w:sz="4" w:space="0"/>
            </w:tcBorders>
            <w:noWrap w:val="0"/>
            <w:vAlign w:val="center"/>
          </w:tcPr>
          <w:p w14:paraId="5C7FF7E1">
            <w:pPr>
              <w:shd w:val="clear" w:color="auto" w:fill="auto"/>
              <w:snapToGrid w:val="0"/>
              <w:spacing w:line="400" w:lineRule="exact"/>
              <w:jc w:val="center"/>
              <w:outlineLvl w:val="0"/>
              <w:rPr>
                <w:rFonts w:hint="eastAsia" w:ascii="宋体" w:hAnsi="宋体" w:cs="宋体"/>
                <w:color w:val="000000"/>
                <w:highlight w:val="none"/>
              </w:rPr>
            </w:pPr>
            <w:bookmarkStart w:id="18" w:name="_Toc13727"/>
            <w:bookmarkStart w:id="19" w:name="_Toc16492"/>
            <w:bookmarkStart w:id="20" w:name="_Toc31365"/>
            <w:bookmarkStart w:id="21" w:name="_Toc17919"/>
            <w:bookmarkStart w:id="22" w:name="_Toc12692"/>
            <w:r>
              <w:rPr>
                <w:rFonts w:hint="eastAsia" w:ascii="宋体" w:hAnsi="宋体" w:cs="宋体"/>
                <w:color w:val="000000"/>
                <w:highlight w:val="none"/>
              </w:rPr>
              <w:t>数量</w:t>
            </w:r>
            <w:bookmarkEnd w:id="18"/>
            <w:bookmarkEnd w:id="19"/>
            <w:bookmarkEnd w:id="20"/>
            <w:bookmarkEnd w:id="21"/>
            <w:bookmarkEnd w:id="22"/>
          </w:p>
        </w:tc>
        <w:tc>
          <w:tcPr>
            <w:tcW w:w="7327" w:type="dxa"/>
            <w:tcBorders>
              <w:top w:val="single" w:color="auto" w:sz="4" w:space="0"/>
              <w:left w:val="single" w:color="auto" w:sz="4" w:space="0"/>
              <w:bottom w:val="single" w:color="auto" w:sz="4" w:space="0"/>
              <w:right w:val="single" w:color="auto" w:sz="4" w:space="0"/>
            </w:tcBorders>
            <w:noWrap w:val="0"/>
            <w:vAlign w:val="center"/>
          </w:tcPr>
          <w:p w14:paraId="3908F881">
            <w:pPr>
              <w:shd w:val="clear" w:color="auto" w:fill="auto"/>
              <w:snapToGrid w:val="0"/>
              <w:spacing w:line="400" w:lineRule="exact"/>
              <w:jc w:val="center"/>
              <w:outlineLvl w:val="0"/>
              <w:rPr>
                <w:rFonts w:hint="eastAsia" w:ascii="宋体" w:hAnsi="宋体" w:cs="宋体"/>
                <w:color w:val="000000"/>
                <w:highlight w:val="none"/>
              </w:rPr>
            </w:pPr>
            <w:bookmarkStart w:id="23" w:name="_Toc4200"/>
            <w:bookmarkStart w:id="24" w:name="_Toc24722"/>
            <w:bookmarkStart w:id="25" w:name="_Toc31851"/>
            <w:bookmarkStart w:id="26" w:name="_Toc25768"/>
            <w:bookmarkStart w:id="27" w:name="_Toc12804"/>
            <w:r>
              <w:rPr>
                <w:rFonts w:hint="eastAsia" w:ascii="宋体" w:hAnsi="宋体" w:cs="宋体"/>
                <w:color w:val="000000"/>
                <w:highlight w:val="none"/>
                <w:lang w:val="en-US" w:eastAsia="zh-CN"/>
              </w:rPr>
              <w:t>采购</w:t>
            </w:r>
            <w:r>
              <w:rPr>
                <w:rFonts w:hint="eastAsia" w:ascii="宋体" w:hAnsi="宋体" w:cs="宋体"/>
                <w:color w:val="000000"/>
                <w:highlight w:val="none"/>
              </w:rPr>
              <w:t>内容和要求</w:t>
            </w:r>
            <w:bookmarkEnd w:id="23"/>
            <w:r>
              <w:rPr>
                <w:rFonts w:hint="eastAsia" w:ascii="宋体" w:hAnsi="宋体" w:cs="宋体"/>
                <w:color w:val="000000"/>
                <w:highlight w:val="none"/>
              </w:rPr>
              <w:t>（技术要求）</w:t>
            </w:r>
            <w:bookmarkEnd w:id="24"/>
            <w:bookmarkEnd w:id="25"/>
            <w:bookmarkEnd w:id="26"/>
            <w:bookmarkEnd w:id="27"/>
          </w:p>
        </w:tc>
      </w:tr>
      <w:tr w14:paraId="3F52B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5FEB5428">
            <w:pPr>
              <w:shd w:val="clear" w:color="auto" w:fill="auto"/>
              <w:spacing w:line="360" w:lineRule="exact"/>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1</w:t>
            </w:r>
          </w:p>
        </w:tc>
        <w:tc>
          <w:tcPr>
            <w:tcW w:w="1114" w:type="dxa"/>
            <w:tcBorders>
              <w:left w:val="single" w:color="auto" w:sz="4" w:space="0"/>
              <w:bottom w:val="single" w:color="auto" w:sz="4" w:space="0"/>
              <w:right w:val="single" w:color="auto" w:sz="4" w:space="0"/>
            </w:tcBorders>
            <w:noWrap w:val="0"/>
            <w:vAlign w:val="center"/>
          </w:tcPr>
          <w:p w14:paraId="28D87CAD">
            <w:pPr>
              <w:keepNext w:val="0"/>
              <w:keepLines w:val="0"/>
              <w:widowControl/>
              <w:suppressLineNumbers w:val="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1.2米移动柜</w:t>
            </w:r>
          </w:p>
        </w:tc>
        <w:tc>
          <w:tcPr>
            <w:tcW w:w="808" w:type="dxa"/>
            <w:tcBorders>
              <w:left w:val="single" w:color="auto" w:sz="4" w:space="0"/>
              <w:bottom w:val="single" w:color="auto" w:sz="4" w:space="0"/>
              <w:right w:val="single" w:color="auto" w:sz="4" w:space="0"/>
            </w:tcBorders>
            <w:noWrap w:val="0"/>
            <w:vAlign w:val="center"/>
          </w:tcPr>
          <w:p w14:paraId="6F3FFB45">
            <w:pPr>
              <w:shd w:val="clear" w:color="auto" w:fill="auto"/>
              <w:snapToGrid w:val="0"/>
              <w:spacing w:line="360" w:lineRule="exact"/>
              <w:jc w:val="center"/>
              <w:outlineLvl w:val="0"/>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61组</w:t>
            </w:r>
          </w:p>
        </w:tc>
        <w:tc>
          <w:tcPr>
            <w:tcW w:w="7327" w:type="dxa"/>
            <w:tcBorders>
              <w:top w:val="single" w:color="auto" w:sz="4" w:space="0"/>
              <w:left w:val="single" w:color="auto" w:sz="4" w:space="0"/>
              <w:right w:val="single" w:color="auto" w:sz="4" w:space="0"/>
            </w:tcBorders>
            <w:noWrap w:val="0"/>
            <w:vAlign w:val="center"/>
          </w:tcPr>
          <w:p w14:paraId="04B4C4CA">
            <w:pPr>
              <w:keepNext w:val="0"/>
              <w:keepLines w:val="0"/>
              <w:widowControl/>
              <w:suppressLineNumbers w:val="0"/>
              <w:jc w:val="left"/>
              <w:textAlignment w:val="center"/>
              <w:rPr>
                <w:rFonts w:hint="eastAsia" w:ascii="宋体" w:hAnsi="宋体" w:eastAsia="宋体" w:cs="宋体"/>
                <w:color w:val="000000"/>
                <w:sz w:val="18"/>
                <w:szCs w:val="18"/>
                <w:highlight w:val="none"/>
                <w:lang w:val="en-US"/>
              </w:rPr>
            </w:pPr>
            <w:r>
              <w:rPr>
                <w:rFonts w:hint="eastAsia" w:ascii="宋体" w:hAnsi="宋体" w:eastAsia="宋体" w:cs="宋体"/>
                <w:i w:val="0"/>
                <w:iCs w:val="0"/>
                <w:color w:val="000000"/>
                <w:kern w:val="0"/>
                <w:sz w:val="18"/>
                <w:szCs w:val="18"/>
                <w:highlight w:val="none"/>
                <w:u w:val="none"/>
                <w:lang w:val="en-US" w:eastAsia="zh-CN" w:bidi="ar"/>
              </w:rPr>
              <w:t>一、规格：（长*宽*高）（1200×480×1800mm）5层可调节，所有材料采用国产品牌优质冷轧板。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二、各部件要求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1.柜子底梁使用加强樑以保证柜子整体牢固性，移动柜子轮子采用带有刹车功能。柜体采用0.8mm厚度优质冷轧板，书柜搁板厚0.8mm，搁板底部增加加强樑以保证承重。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2、钢架加工要求：为了充分利用空间，左右两侧及背部增加调节立柱，以保证整体承重能力。每根立柱上调节孔不少于40个；调节孔内间距25mm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 方便顺畅挂入挂板，调节孔与孔间距20mm便于能调节均匀层板间距；活动层板双面可调式，每层板分为两块，且层板承重边厚为25mm，经三道折弯成形，不易划伤手臂又增加承重量；柜子底框采用方形框架结构，使架体底部形成一个能上下、左右受力的立体结构，最大限度的加强了柜子的稳定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3、安装要求：组装后的书架上，凡触及人体和存放物品的部分，将无毛边、锐角、棱角等；凡需焊接的部件焊接牢固，表面平整，不出现漏焊、焊穿、气孔、咬边等缺陷；冲压件表面不允许有裂痕；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三、表面处理：采用塑粉静电喷塑，使用环保塑粉；涂层表面色泽均匀一致，不允许有流挂、起粒、皱皮、露底、剥落、伤痕等缺陷，颜色：灰白色。表面经过脱脂→酸洗→表调→磷化→水洗→烘干→静电喷塑→烘干等九工位处理。涂料采用国标优质环保塑粉，塑粉符合HG/T 2006-2022《热固性和热塑性粉末涂料》、GB 18581-2020《木器涂料中有害物质限量》、HG/T 3950-2007《抗菌涂料》标准检测要求，检测内容包含但不限于：抗细菌率≧Ⅰ级检测要求。</w:t>
            </w:r>
          </w:p>
        </w:tc>
      </w:tr>
      <w:tr w14:paraId="08F74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453B7BE5">
            <w:pPr>
              <w:shd w:val="clear" w:color="auto" w:fill="auto"/>
              <w:spacing w:line="360" w:lineRule="exact"/>
              <w:jc w:val="center"/>
              <w:rPr>
                <w:rFonts w:hint="eastAsia" w:ascii="宋体" w:hAnsi="宋体" w:eastAsia="宋体" w:cs="宋体"/>
                <w:color w:val="000000"/>
                <w:sz w:val="18"/>
                <w:szCs w:val="18"/>
                <w:highlight w:val="none"/>
                <w:lang w:val="en-US" w:eastAsia="zh-CN"/>
              </w:rPr>
            </w:pPr>
            <w:bookmarkStart w:id="28" w:name="_Toc16031"/>
            <w:bookmarkStart w:id="29" w:name="_Toc23896"/>
            <w:bookmarkStart w:id="30" w:name="_Toc29521"/>
            <w:bookmarkStart w:id="31" w:name="_Toc1348"/>
            <w:bookmarkStart w:id="32" w:name="_Toc3565"/>
            <w:r>
              <w:rPr>
                <w:rFonts w:hint="eastAsia" w:ascii="宋体" w:hAnsi="宋体" w:eastAsia="宋体" w:cs="宋体"/>
                <w:color w:val="000000"/>
                <w:sz w:val="18"/>
                <w:szCs w:val="18"/>
                <w:highlight w:val="none"/>
                <w:lang w:val="en-US" w:eastAsia="zh-CN"/>
              </w:rPr>
              <w:t>2</w:t>
            </w:r>
          </w:p>
        </w:tc>
        <w:tc>
          <w:tcPr>
            <w:tcW w:w="1114" w:type="dxa"/>
            <w:tcBorders>
              <w:left w:val="single" w:color="auto" w:sz="4" w:space="0"/>
              <w:bottom w:val="single" w:color="auto" w:sz="4" w:space="0"/>
              <w:right w:val="single" w:color="auto" w:sz="4" w:space="0"/>
            </w:tcBorders>
            <w:noWrap w:val="0"/>
            <w:vAlign w:val="center"/>
          </w:tcPr>
          <w:p w14:paraId="683A1977">
            <w:pPr>
              <w:keepNext w:val="0"/>
              <w:keepLines w:val="0"/>
              <w:widowControl/>
              <w:suppressLineNumbers w:val="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1.5米移动柜</w:t>
            </w:r>
          </w:p>
        </w:tc>
        <w:tc>
          <w:tcPr>
            <w:tcW w:w="808" w:type="dxa"/>
            <w:tcBorders>
              <w:left w:val="single" w:color="auto" w:sz="4" w:space="0"/>
              <w:bottom w:val="single" w:color="auto" w:sz="4" w:space="0"/>
              <w:right w:val="single" w:color="auto" w:sz="4" w:space="0"/>
            </w:tcBorders>
            <w:noWrap w:val="0"/>
            <w:vAlign w:val="center"/>
          </w:tcPr>
          <w:p w14:paraId="482A34E6">
            <w:pPr>
              <w:shd w:val="clear" w:color="auto" w:fill="auto"/>
              <w:snapToGrid w:val="0"/>
              <w:spacing w:line="360" w:lineRule="exact"/>
              <w:jc w:val="center"/>
              <w:outlineLvl w:val="0"/>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2组</w:t>
            </w:r>
          </w:p>
        </w:tc>
        <w:tc>
          <w:tcPr>
            <w:tcW w:w="7327" w:type="dxa"/>
            <w:tcBorders>
              <w:top w:val="single" w:color="auto" w:sz="4" w:space="0"/>
              <w:left w:val="single" w:color="auto" w:sz="4" w:space="0"/>
              <w:right w:val="single" w:color="auto" w:sz="4" w:space="0"/>
            </w:tcBorders>
            <w:noWrap w:val="0"/>
            <w:vAlign w:val="center"/>
          </w:tcPr>
          <w:p w14:paraId="7218416C">
            <w:pPr>
              <w:keepNext w:val="0"/>
              <w:keepLines w:val="0"/>
              <w:widowControl/>
              <w:suppressLineNumbers w:val="0"/>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一、规格：（长*宽*高）（1500×480×1800mm）5层可调节，所有材料采用国产品牌优质冷轧板。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二、各部件要求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1.柜子底梁使用加强樑以保证柜子整体牢固性，移动柜子轮子采用带有刹车功能。柜体采用0.8mm厚度优质冷轧板，书架搁板厚0.8mm，搁板底部增加加强樑以保证承重。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2、钢架加工要求：为了充分利用空间，左右两侧及背部增加调节立柱，以保证整体承重能力。每根立柱上调节孔不少于40个；调节孔内间距25mm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 方便顺畅挂入挂板，调节孔与孔间距20mm便于能调节均匀层板间距；活动层板双面可调式，每层板分为两块，且层板承重边厚为25mm，经三道折弯成形，不易划伤手臂又增加承重量；柜子底框采用方形框架结构，使架体底部形成一个能上下、左右受力的立体结构，最大限度的加强了柜子的稳定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3、安装要求：组装后的书架上，凡触及人体和存放物品的部分，将无毛边、锐角、棱角等；凡需焊接的部件焊接牢固，表面平整，不出现漏焊、焊穿、气孔、咬边等缺陷；冲压件表面不允许有裂痕；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三、表面处理：采用塑粉静电喷塑，使用环保塑粉；涂层表面色泽均匀一致，不允许有流挂、起粒、皱皮、露底、剥落、伤痕等缺陷，颜色：灰白色。表面经过脱脂→酸洗→表调→磷化→水洗→烘干→静电喷塑→烘干等九工位处理。涂料采用国标优质环保塑粉，塑粉符合HG/T 2006-2022《热固性和热塑性粉末涂料》、GB 18581-2020《木器涂料中有害物质限量》、HG/T 3950-2007《抗菌涂料》标准检测要求，检测内容包含但不限于：抗细菌率≧Ⅰ级检测要求。</w:t>
            </w:r>
          </w:p>
        </w:tc>
      </w:tr>
      <w:tr w14:paraId="5E35D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5106573E">
            <w:pPr>
              <w:shd w:val="clear" w:color="auto" w:fill="auto"/>
              <w:spacing w:line="360" w:lineRule="exact"/>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3</w:t>
            </w:r>
          </w:p>
        </w:tc>
        <w:tc>
          <w:tcPr>
            <w:tcW w:w="1114" w:type="dxa"/>
            <w:tcBorders>
              <w:left w:val="single" w:color="auto" w:sz="4" w:space="0"/>
              <w:bottom w:val="single" w:color="auto" w:sz="4" w:space="0"/>
              <w:right w:val="single" w:color="auto" w:sz="4" w:space="0"/>
            </w:tcBorders>
            <w:noWrap w:val="0"/>
            <w:vAlign w:val="center"/>
          </w:tcPr>
          <w:p w14:paraId="616DB06F">
            <w:pPr>
              <w:keepNext w:val="0"/>
              <w:keepLines w:val="0"/>
              <w:widowControl/>
              <w:suppressLineNumbers w:val="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1.8米移动柜</w:t>
            </w:r>
          </w:p>
        </w:tc>
        <w:tc>
          <w:tcPr>
            <w:tcW w:w="808" w:type="dxa"/>
            <w:tcBorders>
              <w:left w:val="single" w:color="auto" w:sz="4" w:space="0"/>
              <w:bottom w:val="single" w:color="auto" w:sz="4" w:space="0"/>
              <w:right w:val="single" w:color="auto" w:sz="4" w:space="0"/>
            </w:tcBorders>
            <w:noWrap w:val="0"/>
            <w:vAlign w:val="center"/>
          </w:tcPr>
          <w:p w14:paraId="106CDFA9">
            <w:pPr>
              <w:shd w:val="clear" w:color="auto" w:fill="auto"/>
              <w:snapToGrid w:val="0"/>
              <w:spacing w:line="360" w:lineRule="exact"/>
              <w:jc w:val="center"/>
              <w:outlineLvl w:val="0"/>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1组</w:t>
            </w:r>
          </w:p>
        </w:tc>
        <w:tc>
          <w:tcPr>
            <w:tcW w:w="7327" w:type="dxa"/>
            <w:tcBorders>
              <w:top w:val="single" w:color="auto" w:sz="4" w:space="0"/>
              <w:left w:val="single" w:color="auto" w:sz="4" w:space="0"/>
              <w:right w:val="single" w:color="auto" w:sz="4" w:space="0"/>
            </w:tcBorders>
            <w:noWrap w:val="0"/>
            <w:vAlign w:val="center"/>
          </w:tcPr>
          <w:p w14:paraId="43D5174B">
            <w:pPr>
              <w:keepNext w:val="0"/>
              <w:keepLines w:val="0"/>
              <w:widowControl/>
              <w:suppressLineNumbers w:val="0"/>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一、规格：（长*宽*高）（1800×480×1800mm）5层可调节，所有材料采用国产品牌优质冷轧板。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二、各部件要求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1.柜子底梁使用加强樑以保证柜子整体牢固性，移动柜子轮子采用带有刹车功能。柜体采用0.8mm厚度优质冷轧板，书架搁板厚0.8mm，搁板底部增加加强樑以保证承重。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2、钢架加工要求：为了充分利用空间，左右两侧及背部增加调节立柱，以保证整体承重能力。每根立柱上调节孔不少于40个；调节孔内间距25mm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 方便顺畅挂入挂板，调节孔与孔间距20mm便于能调节均匀层板间距；活动层板双面可调式，每层板分为两块，且层板承重边厚为25mm，经三道折弯成形，不易划伤手臂又增加承重量；柜子底框采用方形框架结构，使架体底部形成一个能上下、左右受力的立体结构，最大限度的加强了柜子的稳定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3、安装要求：组装后的书架上，凡触及人体和存放物品的部分，将无毛边、锐角、棱角等；凡需焊接的部件焊接牢固，表面平整，不出现漏焊、焊穿、气孔、咬边等缺陷；冲压件表面不允许有裂痕；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三、表面处理：采用塑粉静电喷塑，使用环保塑粉；涂层表面色泽均匀一致，不允许有流挂、起粒、皱皮、露底、剥落、伤痕等缺陷，颜色：灰白色。表面经过脱脂→酸洗→表调→磷化→水洗→烘干→静电喷塑→烘干等九工位处理。涂料采用国标优质环保塑粉，塑粉符合HG/T 2006-2022《热固性和热塑性粉末涂料》、GB 18581-2020《木器涂料中有害物质限量》、HG/T 3950-2007《抗菌涂料》标准检测要求，检测内容包含但不限于：抗细菌率≧Ⅰ级检测要求。</w:t>
            </w:r>
          </w:p>
        </w:tc>
      </w:tr>
      <w:tr w14:paraId="57970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700CE494">
            <w:pPr>
              <w:shd w:val="clear" w:color="auto" w:fill="auto"/>
              <w:spacing w:line="360" w:lineRule="exact"/>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4</w:t>
            </w:r>
          </w:p>
        </w:tc>
        <w:tc>
          <w:tcPr>
            <w:tcW w:w="1114" w:type="dxa"/>
            <w:tcBorders>
              <w:left w:val="single" w:color="auto" w:sz="4" w:space="0"/>
              <w:bottom w:val="single" w:color="auto" w:sz="4" w:space="0"/>
              <w:right w:val="single" w:color="auto" w:sz="4" w:space="0"/>
            </w:tcBorders>
            <w:noWrap w:val="0"/>
            <w:vAlign w:val="center"/>
          </w:tcPr>
          <w:p w14:paraId="6FF60DA8">
            <w:pPr>
              <w:keepNext w:val="0"/>
              <w:keepLines w:val="0"/>
              <w:widowControl/>
              <w:suppressLineNumbers w:val="0"/>
              <w:jc w:val="center"/>
              <w:textAlignment w:val="center"/>
              <w:rPr>
                <w:rFonts w:hint="default" w:ascii="宋体" w:hAnsi="宋体" w:eastAsia="宋体" w:cs="宋体"/>
                <w:color w:val="00000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2米移动柜</w:t>
            </w:r>
            <w:r>
              <w:rPr>
                <w:rFonts w:hint="eastAsia" w:ascii="宋体" w:hAnsi="宋体" w:cs="宋体"/>
                <w:i w:val="0"/>
                <w:iCs w:val="0"/>
                <w:color w:val="000000"/>
                <w:kern w:val="0"/>
                <w:sz w:val="18"/>
                <w:szCs w:val="18"/>
                <w:highlight w:val="none"/>
                <w:u w:val="none"/>
                <w:lang w:val="en-US" w:eastAsia="zh-CN" w:bidi="ar"/>
              </w:rPr>
              <w:t>（五层）</w:t>
            </w:r>
          </w:p>
        </w:tc>
        <w:tc>
          <w:tcPr>
            <w:tcW w:w="808" w:type="dxa"/>
            <w:tcBorders>
              <w:left w:val="single" w:color="auto" w:sz="4" w:space="0"/>
              <w:bottom w:val="single" w:color="auto" w:sz="4" w:space="0"/>
              <w:right w:val="single" w:color="auto" w:sz="4" w:space="0"/>
            </w:tcBorders>
            <w:noWrap w:val="0"/>
            <w:vAlign w:val="center"/>
          </w:tcPr>
          <w:p w14:paraId="2E2E846B">
            <w:pPr>
              <w:shd w:val="clear" w:color="auto" w:fill="auto"/>
              <w:snapToGrid w:val="0"/>
              <w:spacing w:line="360" w:lineRule="exact"/>
              <w:jc w:val="center"/>
              <w:outlineLvl w:val="0"/>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8组</w:t>
            </w:r>
          </w:p>
        </w:tc>
        <w:tc>
          <w:tcPr>
            <w:tcW w:w="7327" w:type="dxa"/>
            <w:tcBorders>
              <w:top w:val="single" w:color="auto" w:sz="4" w:space="0"/>
              <w:left w:val="single" w:color="auto" w:sz="4" w:space="0"/>
              <w:right w:val="single" w:color="auto" w:sz="4" w:space="0"/>
            </w:tcBorders>
            <w:noWrap w:val="0"/>
            <w:vAlign w:val="center"/>
          </w:tcPr>
          <w:p w14:paraId="21A08B62">
            <w:pPr>
              <w:keepNext w:val="0"/>
              <w:keepLines w:val="0"/>
              <w:widowControl/>
              <w:suppressLineNumbers w:val="0"/>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一、规格：（长*宽*高）（2000×480×1800mm）5层可调节，所有材料采用国产品牌优质冷轧板。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二、各部件要求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1.柜子底梁使用加强樑以保证柜子整体牢固性，移动柜子轮子采用带有刹车功能。柜体采用0.8mm厚度优质冷轧板，货架搁板厚0.8mm，搁板底部增加加强樑以保证承重。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2、钢架加工要求：为了充分利用空间，左右两侧及背部增加调节立柱，以保证整体承重能力。每根立柱上调节孔不少于40个；调节孔内间距25mm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 方便顺畅挂入挂板，调节孔与孔间距20mm便于能调节均匀层板间距；活动层板双面可调式，每层板分为两块，且层板承重边厚为25mm，经三道折弯成形，不易划伤手臂又增加承重量；柜子底框采用方形框架结构，使架体底部形成一个能上下、左右受力的立体结构，最大限度的加强了柜子的稳定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3、安装要求：组装后的书架上，凡触及人体和存放物品的部分，将无毛边、锐角、棱角等；凡需焊接的部件焊接牢固，表面平整，不出现漏焊、焊穿、气孔、咬边等缺陷；冲压件表面不允许有裂痕；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三、表面处理：采用塑粉静电喷塑，使用环保塑粉；涂层表面色泽均匀一致，不允许有流挂、起粒、皱皮、露底、剥落、伤痕等缺陷，颜色：灰白色。表面经过脱脂→酸洗→表调→磷化→水洗→烘干→静电喷塑→烘干等九工位处理。涂料采用国标优质环保塑粉，塑粉符合HG/T 2006-2022《热固性和热塑性粉末涂料》、GB 18581-2020《木器涂料中有害物质限量》、HG/T 3950-2007《抗菌涂料》标准检测要求，检测内容包含但不限于：抗细菌率≧Ⅰ级检测要求。</w:t>
            </w:r>
          </w:p>
        </w:tc>
      </w:tr>
      <w:tr w14:paraId="11CFD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587ADEE0">
            <w:pPr>
              <w:shd w:val="clear" w:color="auto" w:fill="auto"/>
              <w:spacing w:line="360" w:lineRule="exact"/>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5</w:t>
            </w:r>
          </w:p>
        </w:tc>
        <w:tc>
          <w:tcPr>
            <w:tcW w:w="1114" w:type="dxa"/>
            <w:tcBorders>
              <w:left w:val="single" w:color="auto" w:sz="4" w:space="0"/>
              <w:bottom w:val="single" w:color="auto" w:sz="4" w:space="0"/>
              <w:right w:val="single" w:color="auto" w:sz="4" w:space="0"/>
            </w:tcBorders>
            <w:noWrap w:val="0"/>
            <w:vAlign w:val="center"/>
          </w:tcPr>
          <w:p w14:paraId="29A6DE7A">
            <w:pPr>
              <w:keepNext w:val="0"/>
              <w:keepLines w:val="0"/>
              <w:widowControl/>
              <w:suppressLineNumbers w:val="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2米移动柜</w:t>
            </w:r>
            <w:r>
              <w:rPr>
                <w:rFonts w:hint="eastAsia" w:ascii="宋体" w:hAnsi="宋体" w:cs="宋体"/>
                <w:i w:val="0"/>
                <w:iCs w:val="0"/>
                <w:color w:val="000000"/>
                <w:kern w:val="0"/>
                <w:sz w:val="18"/>
                <w:szCs w:val="18"/>
                <w:highlight w:val="none"/>
                <w:u w:val="none"/>
                <w:lang w:val="en-US" w:eastAsia="zh-CN" w:bidi="ar"/>
              </w:rPr>
              <w:t>（四层）</w:t>
            </w:r>
          </w:p>
        </w:tc>
        <w:tc>
          <w:tcPr>
            <w:tcW w:w="808" w:type="dxa"/>
            <w:tcBorders>
              <w:left w:val="single" w:color="auto" w:sz="4" w:space="0"/>
              <w:bottom w:val="single" w:color="auto" w:sz="4" w:space="0"/>
              <w:right w:val="single" w:color="auto" w:sz="4" w:space="0"/>
            </w:tcBorders>
            <w:noWrap w:val="0"/>
            <w:vAlign w:val="center"/>
          </w:tcPr>
          <w:p w14:paraId="2710D030">
            <w:pPr>
              <w:shd w:val="clear" w:color="auto" w:fill="auto"/>
              <w:snapToGrid w:val="0"/>
              <w:spacing w:line="360" w:lineRule="exact"/>
              <w:jc w:val="center"/>
              <w:outlineLvl w:val="0"/>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3组</w:t>
            </w:r>
          </w:p>
        </w:tc>
        <w:tc>
          <w:tcPr>
            <w:tcW w:w="7327" w:type="dxa"/>
            <w:tcBorders>
              <w:top w:val="single" w:color="auto" w:sz="4" w:space="0"/>
              <w:left w:val="single" w:color="auto" w:sz="4" w:space="0"/>
              <w:right w:val="single" w:color="auto" w:sz="4" w:space="0"/>
            </w:tcBorders>
            <w:noWrap w:val="0"/>
            <w:vAlign w:val="center"/>
          </w:tcPr>
          <w:p w14:paraId="055CDC5B">
            <w:pPr>
              <w:keepNext w:val="0"/>
              <w:keepLines w:val="0"/>
              <w:widowControl/>
              <w:suppressLineNumbers w:val="0"/>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一、规格：（长*宽*高）（2000×600×2000mm）4层可调节，所有材料采用国产品牌优质冷轧板。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二、各部件要求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1.柜子底梁使用加强樑以保证柜子整体牢固性，移动柜子轮子采用带有刹车功能。柜体采用0.8mm厚度优质冷轧板，货架搁板厚0.8mm，搁板底部增加加强樑以保证承重。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2、钢架加工要求：为了充分利用空间，左右两侧及背部增加调节立柱，以保证整体承重能力。每根立柱上调节孔不少于40个；调节孔内间距25mm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 xml:space="preserve"> 方便顺畅挂入挂板，调节孔与孔间距20mm便于能调节均匀层板间距；活动层板双面可调式，每层板分为两块，且层板承重边厚为25mm，经三道折弯成形，不易划伤手臂又增加承重量；柜子底框采用方形框架结构，使架体底部形成一个能上下、左右受力的立体结构，最大限度的加强了柜子的稳定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3、安装要求：组装后的书架上，凡触及人体和存放物品的部分，将无毛边、锐角、棱角等；凡需焊接的部件焊接牢固，表面平整，不出现漏焊、焊穿、气孔、咬边等缺陷；冲压件表面不允许有裂痕；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三、表面处理：采用塑粉静电喷塑，使用环保塑粉；涂层表面色泽均匀一致，不允许有流挂、起粒、皱皮、露底、剥落、伤痕等缺陷，颜色：灰白色。表面经过脱脂→酸洗→表调→磷化→水洗→烘干→静电喷塑→烘干等九工位处理。涂料采用国标优质环保塑粉，塑粉符合HG/T 2006-2022《热固性和热塑性粉末涂料》、GB 18581-2020《木器涂料中有害物质限量》、HG/T 3950-2007《抗菌涂料》标准检测要求，检测内容包含但不限于：抗细菌率≧Ⅰ级检测要求。</w:t>
            </w:r>
          </w:p>
        </w:tc>
      </w:tr>
      <w:tr w14:paraId="504FB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336CD442">
            <w:pPr>
              <w:shd w:val="clear" w:color="auto" w:fill="auto"/>
              <w:spacing w:line="360" w:lineRule="exact"/>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6</w:t>
            </w:r>
          </w:p>
        </w:tc>
        <w:tc>
          <w:tcPr>
            <w:tcW w:w="1114" w:type="dxa"/>
            <w:tcBorders>
              <w:left w:val="single" w:color="auto" w:sz="4" w:space="0"/>
              <w:bottom w:val="single" w:color="auto" w:sz="4" w:space="0"/>
              <w:right w:val="single" w:color="auto" w:sz="4" w:space="0"/>
            </w:tcBorders>
            <w:noWrap w:val="0"/>
            <w:vAlign w:val="center"/>
          </w:tcPr>
          <w:p w14:paraId="25666F38">
            <w:pPr>
              <w:keepNext w:val="0"/>
              <w:keepLines w:val="0"/>
              <w:widowControl/>
              <w:suppressLineNumbers w:val="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钢制货架</w:t>
            </w:r>
          </w:p>
        </w:tc>
        <w:tc>
          <w:tcPr>
            <w:tcW w:w="808" w:type="dxa"/>
            <w:tcBorders>
              <w:left w:val="single" w:color="auto" w:sz="4" w:space="0"/>
              <w:bottom w:val="single" w:color="auto" w:sz="4" w:space="0"/>
              <w:right w:val="single" w:color="auto" w:sz="4" w:space="0"/>
            </w:tcBorders>
            <w:noWrap w:val="0"/>
            <w:vAlign w:val="center"/>
          </w:tcPr>
          <w:p w14:paraId="2BF602C8">
            <w:pPr>
              <w:shd w:val="clear" w:color="auto" w:fill="auto"/>
              <w:snapToGrid w:val="0"/>
              <w:spacing w:line="360" w:lineRule="exact"/>
              <w:jc w:val="center"/>
              <w:outlineLvl w:val="0"/>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2组</w:t>
            </w:r>
          </w:p>
        </w:tc>
        <w:tc>
          <w:tcPr>
            <w:tcW w:w="7327" w:type="dxa"/>
            <w:tcBorders>
              <w:top w:val="single" w:color="auto" w:sz="4" w:space="0"/>
              <w:left w:val="single" w:color="auto" w:sz="4" w:space="0"/>
              <w:right w:val="single" w:color="auto" w:sz="4" w:space="0"/>
            </w:tcBorders>
            <w:noWrap w:val="0"/>
            <w:vAlign w:val="center"/>
          </w:tcPr>
          <w:p w14:paraId="726D6153">
            <w:pPr>
              <w:keepNext w:val="0"/>
              <w:keepLines w:val="0"/>
              <w:widowControl/>
              <w:suppressLineNumbers w:val="0"/>
              <w:jc w:val="left"/>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一、规格：（长*宽*高）（2000×600×2000mm）4层可调节，所有材料采用国产品牌优质冷轧板。钢制货架符合GB/T 3325-2024《金属家具通用技术条件》、GB/T 10125-2021《人造气氛腐蚀试验 盐雾试验》标准检测要求，检测内容包含但不限于：形状和位置公差（邻边垂直度、底脚平衡性、分缝、翘曲度）、安全性能（结构安全、铅、镉、铬、汞、锑、钡、硒、砷、重金属含量、甲醛释放量、总挥发性有机化合物）、理化性能（金属喷涂（塑）涂层的硬度、冲击强度、耐盐浴、附着力）、力学性能（柜类强度和耐久性、柜类稳定性）、外观性能等检测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二、各部件要求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1、采用冷轧钢板</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粉末静电喷涂</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焊接牢洗除锈</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锌洗磷化后粉末喷涂.防护性好附着力强。具有、防火、防腐且耐磨、其表面粉末更是无毒、无味、色泽鲜艳。钢板经全自动脱脂，纯净水清洗、加温除油磷化、表调、干燥工艺，立柱、横梁1.0mm厚，层板0.6mm。宽度0.6米，高2米，分四层。货架层板厚0.6mm，搁板底部增加加强樑以保证承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2.尺寸大小、颜色选择、款式选择、安装方法等根据用户需求及现场情况做出调整。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三、表面处理：采用塑粉静电喷塑，使用环保塑粉；涂层表面色泽均匀一致，不允许有流挂、起粒、皱皮、露底、剥落、伤痕等缺陷，颜色：灰白色。表面经过脱脂→酸洗→表调→磷化→水洗→烘干→静电喷塑→烘干等九工位处理。涂料采用国标优质环保塑粉，塑粉符合HG/T 2006-2022《热固性和热塑性粉末涂料》、GB 18581-2020《木器涂料中有害物质限量》、HG/T 3950-2007《抗菌涂料》标准检测要求，检测内容包含但不限于：抗细菌率≧Ⅰ级检测要求。</w:t>
            </w:r>
          </w:p>
        </w:tc>
      </w:tr>
      <w:tr w14:paraId="584EA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center"/>
          </w:tcPr>
          <w:p w14:paraId="4B9D2C90">
            <w:pPr>
              <w:shd w:val="clear" w:color="auto" w:fill="auto"/>
              <w:snapToGrid w:val="0"/>
              <w:spacing w:line="400" w:lineRule="exact"/>
              <w:outlineLvl w:val="0"/>
              <w:rPr>
                <w:rFonts w:hint="eastAsia" w:ascii="宋体" w:hAnsi="宋体" w:cs="宋体"/>
                <w:b/>
                <w:color w:val="000000"/>
                <w:highlight w:val="none"/>
              </w:rPr>
            </w:pPr>
            <w:r>
              <w:rPr>
                <w:rFonts w:hint="eastAsia" w:ascii="宋体" w:hAnsi="宋体" w:cs="宋体"/>
                <w:b/>
                <w:color w:val="000000"/>
                <w:highlight w:val="none"/>
              </w:rPr>
              <w:t>二、商务要求表</w:t>
            </w:r>
            <w:bookmarkEnd w:id="28"/>
            <w:bookmarkEnd w:id="29"/>
            <w:bookmarkEnd w:id="30"/>
            <w:bookmarkEnd w:id="31"/>
            <w:bookmarkEnd w:id="32"/>
          </w:p>
        </w:tc>
      </w:tr>
      <w:tr w14:paraId="76A18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7E146BB8">
            <w:pPr>
              <w:shd w:val="clear" w:color="auto" w:fill="auto"/>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rPr>
              <w:t>工期</w:t>
            </w:r>
            <w:r>
              <w:rPr>
                <w:rFonts w:hint="eastAsia" w:ascii="宋体" w:hAnsi="宋体" w:cs="宋体"/>
                <w:color w:val="000000"/>
                <w:szCs w:val="21"/>
                <w:highlight w:val="none"/>
                <w:lang w:val="en-US" w:eastAsia="zh-CN"/>
              </w:rPr>
              <w:t>/</w:t>
            </w:r>
            <w:r>
              <w:rPr>
                <w:rFonts w:hint="eastAsia" w:cs="宋体"/>
                <w:sz w:val="21"/>
                <w:szCs w:val="21"/>
                <w:highlight w:val="none"/>
                <w:lang w:val="zh-CN"/>
              </w:rPr>
              <w:t>交货</w:t>
            </w:r>
            <w:r>
              <w:rPr>
                <w:rFonts w:hint="eastAsia" w:ascii="宋体" w:hAnsi="宋体" w:eastAsia="宋体" w:cs="宋体"/>
                <w:sz w:val="21"/>
                <w:szCs w:val="21"/>
                <w:highlight w:val="none"/>
                <w:lang w:val="zh-CN"/>
              </w:rPr>
              <w:t>期</w:t>
            </w:r>
            <w:r>
              <w:rPr>
                <w:rFonts w:hint="eastAsia" w:ascii="宋体" w:hAnsi="宋体" w:cs="宋体"/>
                <w:color w:val="000000"/>
                <w:szCs w:val="21"/>
                <w:highlight w:val="none"/>
                <w:lang w:val="en-US" w:eastAsia="zh-CN"/>
              </w:rPr>
              <w:t>/服务期</w:t>
            </w:r>
          </w:p>
        </w:tc>
        <w:tc>
          <w:tcPr>
            <w:tcW w:w="73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41AAD">
            <w:pPr>
              <w:shd w:val="clear" w:color="auto" w:fil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请根据项目情况勾选：</w:t>
            </w:r>
          </w:p>
          <w:p w14:paraId="651FF6BA">
            <w:pPr>
              <w:numPr>
                <w:ilvl w:val="0"/>
                <w:numId w:val="0"/>
              </w:numPr>
              <w:shd w:val="clear" w:color="auto" w:fil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lang w:val="en-US" w:eastAsia="zh-CN"/>
              </w:rPr>
              <w:t>工期：x日历天</w:t>
            </w:r>
            <w:r>
              <w:rPr>
                <w:rFonts w:hint="eastAsia" w:ascii="宋体" w:hAnsi="宋体" w:cs="宋体"/>
                <w:color w:val="000000"/>
                <w:szCs w:val="21"/>
                <w:highlight w:val="none"/>
              </w:rPr>
              <w:t>。</w:t>
            </w:r>
          </w:p>
          <w:p w14:paraId="2F8AD386">
            <w:pPr>
              <w:numPr>
                <w:ilvl w:val="0"/>
                <w:numId w:val="0"/>
              </w:numPr>
              <w:shd w:val="clear" w:color="auto" w:fill="auto"/>
              <w:ind w:left="0" w:leftChars="0" w:firstLine="0" w:firstLineChars="0"/>
              <w:rPr>
                <w:rFonts w:hint="eastAsia" w:ascii="宋体" w:hAnsi="宋体" w:cs="宋体"/>
                <w:color w:val="000000"/>
                <w:szCs w:val="21"/>
                <w:highlight w:val="none"/>
              </w:rPr>
            </w:pPr>
            <w:r>
              <w:rPr>
                <w:rFonts w:hint="default" w:ascii="Arial" w:hAnsi="Arial" w:eastAsia="宋体" w:cs="Arial"/>
                <w:color w:val="000000"/>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2、</w:t>
            </w:r>
            <w:r>
              <w:rPr>
                <w:rFonts w:hint="eastAsia" w:cs="宋体"/>
                <w:sz w:val="21"/>
                <w:szCs w:val="21"/>
                <w:highlight w:val="none"/>
                <w:lang w:val="zh-CN"/>
              </w:rPr>
              <w:t>交货</w:t>
            </w:r>
            <w:r>
              <w:rPr>
                <w:rFonts w:hint="eastAsia" w:ascii="宋体" w:hAnsi="宋体" w:eastAsia="宋体" w:cs="宋体"/>
                <w:sz w:val="21"/>
                <w:szCs w:val="21"/>
                <w:highlight w:val="none"/>
                <w:lang w:val="zh-CN"/>
              </w:rPr>
              <w:t>期：</w:t>
            </w:r>
            <w:r>
              <w:rPr>
                <w:rFonts w:hint="eastAsia" w:ascii="宋体" w:hAnsi="宋体" w:cs="宋体"/>
                <w:color w:val="000000"/>
                <w:szCs w:val="21"/>
                <w:highlight w:val="none"/>
              </w:rPr>
              <w:t>自采购人通知供货之日起</w:t>
            </w: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天内送货安装调试完毕，验收合格并交付使用。</w:t>
            </w:r>
          </w:p>
          <w:p w14:paraId="7460EA05">
            <w:pPr>
              <w:numPr>
                <w:ilvl w:val="0"/>
                <w:numId w:val="0"/>
              </w:numPr>
              <w:shd w:val="clear" w:color="auto" w:fill="auto"/>
              <w:ind w:leftChars="0"/>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lang w:val="en-US" w:eastAsia="zh-CN"/>
              </w:rPr>
              <w:t xml:space="preserve">3、服务期：自合同签订生效之日起x个月，按实际采购金额进行结算，若在合同期内供应金额达到合同总金额的100%则终止合同。 </w:t>
            </w:r>
            <w:r>
              <w:rPr>
                <w:rFonts w:hint="eastAsia" w:ascii="宋体" w:hAnsi="宋体" w:cs="宋体"/>
                <w:color w:val="000000"/>
                <w:szCs w:val="21"/>
                <w:highlight w:val="none"/>
              </w:rPr>
              <w:t xml:space="preserve"> </w:t>
            </w:r>
          </w:p>
        </w:tc>
      </w:tr>
      <w:tr w14:paraId="4AB4D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0C6F373E">
            <w:pPr>
              <w:shd w:val="clear" w:color="auto" w:fill="auto"/>
              <w:spacing w:line="360" w:lineRule="auto"/>
              <w:jc w:val="center"/>
              <w:rPr>
                <w:rFonts w:hint="eastAsia" w:ascii="宋体" w:hAnsi="宋体" w:cs="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地点</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30681E4A">
            <w:pPr>
              <w:shd w:val="clear" w:color="auto" w:fill="auto"/>
              <w:spacing w:line="360" w:lineRule="auto"/>
              <w:rPr>
                <w:rFonts w:hint="eastAsia" w:ascii="宋体" w:hAnsi="宋体" w:cs="宋体"/>
                <w:b/>
                <w:color w:val="000000"/>
                <w:szCs w:val="21"/>
                <w:highlight w:val="none"/>
              </w:rPr>
            </w:pPr>
            <w:r>
              <w:rPr>
                <w:rFonts w:hint="eastAsia" w:ascii="宋体" w:hAnsi="宋体" w:eastAsia="宋体" w:cs="Times New Roman"/>
                <w:color w:val="000000"/>
                <w:kern w:val="2"/>
                <w:sz w:val="21"/>
                <w:szCs w:val="21"/>
                <w:highlight w:val="none"/>
                <w:lang w:val="en-US" w:eastAsia="zh-CN" w:bidi="ar-SA"/>
              </w:rPr>
              <w:t>广西壮族自治区南宁市青秀区双拥路</w:t>
            </w:r>
            <w:r>
              <w:rPr>
                <w:rFonts w:hint="eastAsia" w:ascii="宋体" w:hAnsi="宋体" w:cs="Times New Roman"/>
                <w:color w:val="000000"/>
                <w:kern w:val="2"/>
                <w:sz w:val="21"/>
                <w:szCs w:val="21"/>
                <w:highlight w:val="none"/>
                <w:lang w:val="en-US" w:eastAsia="zh-CN" w:bidi="ar-SA"/>
              </w:rPr>
              <w:t>6</w:t>
            </w:r>
            <w:r>
              <w:rPr>
                <w:rFonts w:hint="eastAsia" w:ascii="宋体" w:hAnsi="宋体" w:eastAsia="宋体" w:cs="Times New Roman"/>
                <w:color w:val="000000"/>
                <w:kern w:val="2"/>
                <w:sz w:val="21"/>
                <w:szCs w:val="21"/>
                <w:highlight w:val="none"/>
                <w:lang w:val="en-US" w:eastAsia="zh-CN" w:bidi="ar-SA"/>
              </w:rPr>
              <w:t>号</w:t>
            </w:r>
          </w:p>
        </w:tc>
      </w:tr>
      <w:tr w14:paraId="6F04C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57E5D8B3">
            <w:pPr>
              <w:shd w:val="clear" w:color="auto" w:fill="auto"/>
              <w:spacing w:line="360" w:lineRule="auto"/>
              <w:jc w:val="center"/>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缺陷责任期</w:t>
            </w:r>
          </w:p>
          <w:p w14:paraId="377088AA">
            <w:pPr>
              <w:shd w:val="clear" w:color="auto" w:fill="auto"/>
              <w:spacing w:line="360" w:lineRule="auto"/>
              <w:jc w:val="center"/>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（工程项目）：</w:t>
            </w:r>
          </w:p>
          <w:p w14:paraId="171519B9">
            <w:pPr>
              <w:pStyle w:val="19"/>
              <w:jc w:val="center"/>
              <w:rPr>
                <w:rFonts w:hint="default"/>
                <w:highlight w:val="none"/>
                <w:lang w:val="en-US"/>
              </w:rPr>
            </w:pPr>
            <w:r>
              <w:rPr>
                <w:rFonts w:hint="eastAsia" w:ascii="宋体" w:hAnsi="宋体" w:cs="宋体"/>
                <w:color w:val="000000"/>
                <w:highlight w:val="none"/>
                <w:lang w:val="en-US" w:eastAsia="zh-CN"/>
              </w:rPr>
              <w:t>本项目不适用</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3ED0BA24">
            <w:pPr>
              <w:shd w:val="clear" w:color="auto" w:fill="auto"/>
              <w:spacing w:line="360" w:lineRule="auto"/>
              <w:rPr>
                <w:rFonts w:hint="eastAsia" w:ascii="宋体" w:hAnsi="宋体" w:cs="宋体"/>
                <w:color w:val="000000"/>
                <w:highlight w:val="none"/>
              </w:rPr>
            </w:pPr>
            <w:r>
              <w:rPr>
                <w:rFonts w:hint="eastAsia" w:ascii="宋体" w:hAnsi="宋体" w:cs="宋体"/>
                <w:color w:val="000000"/>
                <w:highlight w:val="none"/>
                <w:lang w:val="en-US" w:eastAsia="zh-CN"/>
              </w:rPr>
              <w:t>自工程竣工验收合格之日起2年。</w:t>
            </w:r>
          </w:p>
        </w:tc>
      </w:tr>
      <w:tr w14:paraId="7EDB3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4DB7849A">
            <w:pPr>
              <w:rPr>
                <w:rFonts w:hint="eastAsia" w:ascii="宋体" w:hAnsi="宋体" w:cs="宋体"/>
                <w:color w:val="000000"/>
                <w:highlight w:val="none"/>
                <w:lang w:val="en-US" w:eastAsia="zh-CN"/>
              </w:rPr>
            </w:pPr>
            <w:r>
              <w:rPr>
                <w:rStyle w:val="47"/>
                <w:rFonts w:hint="eastAsia" w:ascii="宋体" w:hAnsi="宋体" w:cs="宋体"/>
                <w:szCs w:val="21"/>
                <w:highlight w:val="none"/>
                <w:lang w:eastAsia="zh-CN"/>
              </w:rPr>
              <w:t>货物</w:t>
            </w:r>
            <w:r>
              <w:rPr>
                <w:rStyle w:val="47"/>
                <w:rFonts w:hint="eastAsia" w:ascii="宋体" w:hAnsi="宋体" w:cs="宋体"/>
                <w:szCs w:val="21"/>
                <w:highlight w:val="none"/>
              </w:rPr>
              <w:t>质保期</w:t>
            </w:r>
            <w:r>
              <w:rPr>
                <w:rFonts w:hint="eastAsia" w:ascii="宋体" w:hAnsi="宋体" w:cs="宋体"/>
                <w:color w:val="000000"/>
                <w:highlight w:val="none"/>
                <w:lang w:val="en-US" w:eastAsia="zh-CN"/>
              </w:rPr>
              <w:t>（货物项目）：</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3398BCB3">
            <w:pPr>
              <w:rPr>
                <w:rStyle w:val="47"/>
                <w:rFonts w:hint="eastAsia" w:ascii="宋体" w:hAnsi="宋体" w:cs="宋体"/>
                <w:szCs w:val="21"/>
                <w:highlight w:val="none"/>
              </w:rPr>
            </w:pPr>
            <w:r>
              <w:rPr>
                <w:rStyle w:val="47"/>
                <w:rFonts w:hint="eastAsia" w:ascii="宋体" w:hAnsi="宋体" w:cs="宋体"/>
                <w:szCs w:val="21"/>
                <w:highlight w:val="none"/>
              </w:rPr>
              <w:t>1</w:t>
            </w:r>
            <w:r>
              <w:rPr>
                <w:rStyle w:val="47"/>
                <w:rFonts w:hint="eastAsia" w:ascii="宋体" w:hAnsi="宋体" w:cs="宋体"/>
                <w:szCs w:val="21"/>
                <w:highlight w:val="none"/>
                <w:lang w:eastAsia="zh-CN"/>
              </w:rPr>
              <w:t>、</w:t>
            </w:r>
            <w:r>
              <w:rPr>
                <w:rStyle w:val="47"/>
                <w:rFonts w:hint="eastAsia" w:ascii="宋体" w:hAnsi="宋体" w:cs="宋体"/>
                <w:szCs w:val="21"/>
                <w:highlight w:val="none"/>
              </w:rPr>
              <w:t>自交货并验收合格之日起</w:t>
            </w:r>
            <w:r>
              <w:rPr>
                <w:rStyle w:val="47"/>
                <w:rFonts w:hint="eastAsia" w:ascii="宋体" w:hAnsi="宋体" w:cs="宋体"/>
                <w:szCs w:val="21"/>
                <w:highlight w:val="none"/>
                <w:lang w:val="en-US" w:eastAsia="zh-CN"/>
              </w:rPr>
              <w:t>3</w:t>
            </w:r>
            <w:r>
              <w:rPr>
                <w:rStyle w:val="47"/>
                <w:rFonts w:hint="eastAsia" w:ascii="宋体" w:hAnsi="宋体" w:cs="宋体"/>
                <w:szCs w:val="21"/>
                <w:highlight w:val="none"/>
              </w:rPr>
              <w:t>年，若厂家免费质保期超过此年限的，按厂家规定执行，并提供终身维护支持。</w:t>
            </w:r>
          </w:p>
          <w:p w14:paraId="1C559718">
            <w:pPr>
              <w:rPr>
                <w:rStyle w:val="47"/>
                <w:rFonts w:hint="eastAsia" w:ascii="宋体" w:hAnsi="宋体" w:cs="宋体"/>
                <w:szCs w:val="21"/>
                <w:highlight w:val="none"/>
              </w:rPr>
            </w:pPr>
            <w:r>
              <w:rPr>
                <w:rStyle w:val="47"/>
                <w:rFonts w:hint="eastAsia" w:ascii="宋体" w:hAnsi="宋体" w:cs="宋体"/>
                <w:szCs w:val="21"/>
                <w:highlight w:val="none"/>
              </w:rPr>
              <w:t>2</w:t>
            </w:r>
            <w:r>
              <w:rPr>
                <w:rStyle w:val="47"/>
                <w:rFonts w:hint="eastAsia" w:ascii="宋体" w:hAnsi="宋体" w:cs="宋体"/>
                <w:szCs w:val="21"/>
                <w:highlight w:val="none"/>
                <w:lang w:eastAsia="zh-CN"/>
              </w:rPr>
              <w:t>、</w:t>
            </w:r>
            <w:r>
              <w:rPr>
                <w:rStyle w:val="47"/>
                <w:rFonts w:hint="eastAsia" w:ascii="宋体" w:hAnsi="宋体" w:cs="宋体"/>
                <w:szCs w:val="21"/>
                <w:highlight w:val="none"/>
              </w:rPr>
              <w:t>如“技术参数及性能（配置）要求”中有特殊要求的，按特殊要求。</w:t>
            </w:r>
          </w:p>
          <w:p w14:paraId="48A78572">
            <w:pPr>
              <w:rPr>
                <w:rFonts w:hint="eastAsia" w:ascii="宋体" w:hAnsi="宋体" w:cs="宋体"/>
                <w:color w:val="000000"/>
                <w:highlight w:val="none"/>
                <w:lang w:val="en-US" w:eastAsia="zh-CN"/>
              </w:rPr>
            </w:pPr>
            <w:r>
              <w:rPr>
                <w:rStyle w:val="47"/>
                <w:rFonts w:hint="eastAsia" w:ascii="宋体" w:hAnsi="宋体" w:cs="宋体"/>
                <w:szCs w:val="21"/>
                <w:highlight w:val="none"/>
              </w:rPr>
              <w:t>3</w:t>
            </w:r>
            <w:r>
              <w:rPr>
                <w:rStyle w:val="47"/>
                <w:rFonts w:hint="eastAsia" w:ascii="宋体" w:hAnsi="宋体" w:cs="宋体"/>
                <w:szCs w:val="21"/>
                <w:highlight w:val="none"/>
                <w:lang w:eastAsia="zh-CN"/>
              </w:rPr>
              <w:t>、</w:t>
            </w:r>
            <w:r>
              <w:rPr>
                <w:rStyle w:val="47"/>
                <w:rFonts w:hint="eastAsia" w:ascii="宋体" w:hAnsi="宋体" w:cs="宋体"/>
                <w:szCs w:val="21"/>
                <w:highlight w:val="none"/>
              </w:rPr>
              <w:t>按照国家有关规定实行“三包”，在规定的保修期内，凡货物质量事故和质量缺陷由</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无偿保修。</w:t>
            </w:r>
          </w:p>
        </w:tc>
      </w:tr>
      <w:tr w14:paraId="63028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3BF82B27">
            <w:pPr>
              <w:shd w:val="clear" w:color="auto" w:fill="auto"/>
              <w:spacing w:line="360" w:lineRule="auto"/>
              <w:jc w:val="center"/>
              <w:rPr>
                <w:rFonts w:hint="eastAsia" w:ascii="宋体" w:hAnsi="宋体" w:cs="宋体"/>
                <w:color w:val="000000"/>
                <w:highlight w:val="none"/>
                <w:lang w:val="en-US" w:eastAsia="zh-CN"/>
              </w:rPr>
            </w:pPr>
            <w:r>
              <w:rPr>
                <w:rFonts w:hint="eastAsia" w:ascii="宋体" w:hAnsi="宋体" w:cs="宋体"/>
                <w:color w:val="000000"/>
                <w:szCs w:val="21"/>
                <w:highlight w:val="none"/>
              </w:rPr>
              <w:t>付款条件</w:t>
            </w:r>
            <w:r>
              <w:rPr>
                <w:rFonts w:hint="eastAsia" w:ascii="宋体" w:hAnsi="宋体" w:cs="宋体"/>
                <w:color w:val="000000"/>
                <w:szCs w:val="21"/>
                <w:highlight w:val="none"/>
                <w:lang w:eastAsia="zh-CN"/>
              </w:rPr>
              <w:t>及竣工违约金</w:t>
            </w:r>
            <w:r>
              <w:rPr>
                <w:rFonts w:hint="eastAsia" w:ascii="宋体" w:hAnsi="宋体" w:cs="宋体"/>
                <w:color w:val="000000"/>
                <w:highlight w:val="none"/>
                <w:lang w:val="en-US" w:eastAsia="zh-CN"/>
              </w:rPr>
              <w:t>（工程项目）：</w:t>
            </w:r>
          </w:p>
          <w:p w14:paraId="2E0565B8">
            <w:pPr>
              <w:pStyle w:val="19"/>
              <w:rPr>
                <w:rFonts w:hint="eastAsia"/>
                <w:highlight w:val="none"/>
                <w:lang w:eastAsia="zh-CN"/>
              </w:rPr>
            </w:pPr>
            <w:r>
              <w:rPr>
                <w:rFonts w:hint="eastAsia" w:ascii="宋体" w:hAnsi="宋体" w:cs="宋体"/>
                <w:color w:val="000000"/>
                <w:highlight w:val="none"/>
                <w:lang w:val="en-US" w:eastAsia="zh-CN"/>
              </w:rPr>
              <w:t>本项目不适用</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0060321F">
            <w:pPr>
              <w:pStyle w:val="31"/>
              <w:numPr>
                <w:ilvl w:val="0"/>
                <w:numId w:val="0"/>
              </w:numPr>
              <w:spacing w:line="360" w:lineRule="auto"/>
              <w:ind w:left="0" w:leftChars="0"/>
              <w:rPr>
                <w:rFonts w:hint="eastAsia" w:ascii="宋体" w:hAnsi="宋体" w:eastAsia="宋体" w:cs="宋体"/>
                <w:kern w:val="0"/>
                <w:sz w:val="21"/>
                <w:szCs w:val="21"/>
                <w:highlight w:val="none"/>
                <w:lang w:val="zh-CN" w:eastAsia="zh-CN" w:bidi="ar-SA"/>
              </w:rPr>
            </w:pPr>
            <w:bookmarkStart w:id="33" w:name="OLE_LINK20"/>
            <w:r>
              <w:rPr>
                <w:rFonts w:hint="eastAsia" w:ascii="宋体" w:hAnsi="宋体" w:eastAsia="宋体" w:cs="宋体"/>
                <w:kern w:val="0"/>
                <w:sz w:val="21"/>
                <w:szCs w:val="21"/>
                <w:highlight w:val="none"/>
                <w:lang w:val="zh-CN" w:eastAsia="zh-CN" w:bidi="ar-SA"/>
              </w:rPr>
              <w:t>1、</w:t>
            </w:r>
            <w:r>
              <w:rPr>
                <w:rFonts w:hint="eastAsia" w:ascii="宋体" w:hAnsi="宋体" w:eastAsia="宋体" w:cs="宋体"/>
                <w:kern w:val="0"/>
                <w:sz w:val="21"/>
                <w:szCs w:val="21"/>
                <w:highlight w:val="none"/>
                <w:lang w:val="zh-CN" w:eastAsia="zh-CN" w:bidi="ar-SA"/>
              </w:rPr>
              <w:t>完成所有</w:t>
            </w:r>
            <w:bookmarkStart w:id="34" w:name="OLE_LINK32"/>
            <w:r>
              <w:rPr>
                <w:rFonts w:hint="eastAsia" w:ascii="宋体" w:hAnsi="宋体" w:eastAsia="宋体" w:cs="宋体"/>
                <w:kern w:val="0"/>
                <w:sz w:val="21"/>
                <w:szCs w:val="21"/>
                <w:highlight w:val="none"/>
                <w:lang w:val="zh-CN" w:eastAsia="zh-CN" w:bidi="ar-SA"/>
              </w:rPr>
              <w:t>工程量，验收合格结算审定后支付至审定结算总价的</w:t>
            </w:r>
            <w:r>
              <w:rPr>
                <w:rFonts w:hint="eastAsia" w:ascii="宋体" w:hAnsi="宋体" w:eastAsia="宋体" w:cs="宋体"/>
                <w:kern w:val="0"/>
                <w:sz w:val="21"/>
                <w:szCs w:val="21"/>
                <w:highlight w:val="none"/>
                <w:lang w:val="en-US" w:eastAsia="zh-CN" w:bidi="ar-SA"/>
              </w:rPr>
              <w:t>97</w:t>
            </w:r>
            <w:r>
              <w:rPr>
                <w:rFonts w:hint="eastAsia" w:ascii="宋体" w:hAnsi="宋体" w:eastAsia="宋体" w:cs="宋体"/>
                <w:kern w:val="0"/>
                <w:sz w:val="21"/>
                <w:szCs w:val="21"/>
                <w:highlight w:val="none"/>
                <w:lang w:val="zh-CN" w:eastAsia="zh-CN" w:bidi="ar-SA"/>
              </w:rPr>
              <w:t>%，</w:t>
            </w:r>
            <w:r>
              <w:rPr>
                <w:rFonts w:hint="eastAsia" w:cs="宋体"/>
                <w:kern w:val="0"/>
                <w:sz w:val="21"/>
                <w:szCs w:val="21"/>
                <w:highlight w:val="none"/>
                <w:lang w:val="zh-CN" w:eastAsia="zh-CN" w:bidi="ar-SA"/>
              </w:rPr>
              <w:t>采购人</w:t>
            </w:r>
            <w:r>
              <w:rPr>
                <w:rFonts w:hint="eastAsia" w:ascii="宋体" w:hAnsi="宋体" w:eastAsia="宋体" w:cs="宋体"/>
                <w:kern w:val="0"/>
                <w:sz w:val="21"/>
                <w:szCs w:val="21"/>
                <w:highlight w:val="none"/>
                <w:lang w:val="zh-CN" w:eastAsia="zh-CN" w:bidi="ar-SA"/>
              </w:rPr>
              <w:t>按结算总额的</w:t>
            </w: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%预留工程质</w:t>
            </w:r>
            <w:bookmarkEnd w:id="34"/>
            <w:r>
              <w:rPr>
                <w:rFonts w:hint="eastAsia" w:ascii="宋体" w:hAnsi="宋体" w:eastAsia="宋体" w:cs="宋体"/>
                <w:kern w:val="0"/>
                <w:sz w:val="21"/>
                <w:szCs w:val="21"/>
                <w:highlight w:val="none"/>
                <w:lang w:val="zh-CN" w:eastAsia="zh-CN" w:bidi="ar-SA"/>
              </w:rPr>
              <w:t>量保证金。</w:t>
            </w:r>
            <w:bookmarkEnd w:id="33"/>
            <w:r>
              <w:rPr>
                <w:rFonts w:hint="eastAsia" w:ascii="宋体" w:hAnsi="宋体" w:eastAsia="宋体" w:cs="宋体"/>
                <w:kern w:val="0"/>
                <w:sz w:val="21"/>
                <w:szCs w:val="21"/>
                <w:highlight w:val="none"/>
                <w:lang w:val="zh-CN" w:eastAsia="zh-CN" w:bidi="ar-SA"/>
              </w:rPr>
              <w:t>质保期满后，由</w:t>
            </w:r>
            <w:r>
              <w:rPr>
                <w:rFonts w:hint="eastAsia" w:cs="宋体"/>
                <w:kern w:val="0"/>
                <w:sz w:val="21"/>
                <w:szCs w:val="21"/>
                <w:highlight w:val="none"/>
                <w:lang w:val="zh-CN" w:eastAsia="zh-CN" w:bidi="ar-SA"/>
              </w:rPr>
              <w:t>供应商</w:t>
            </w:r>
            <w:r>
              <w:rPr>
                <w:rFonts w:hint="eastAsia" w:ascii="宋体" w:hAnsi="宋体" w:eastAsia="宋体" w:cs="宋体"/>
                <w:kern w:val="0"/>
                <w:sz w:val="21"/>
                <w:szCs w:val="21"/>
                <w:highlight w:val="none"/>
                <w:lang w:val="zh-CN" w:eastAsia="zh-CN" w:bidi="ar-SA"/>
              </w:rPr>
              <w:t>向</w:t>
            </w:r>
            <w:r>
              <w:rPr>
                <w:rFonts w:hint="eastAsia" w:cs="宋体"/>
                <w:kern w:val="0"/>
                <w:sz w:val="21"/>
                <w:szCs w:val="21"/>
                <w:highlight w:val="none"/>
                <w:lang w:val="zh-CN" w:eastAsia="zh-CN" w:bidi="ar-SA"/>
              </w:rPr>
              <w:t>采购人</w:t>
            </w:r>
            <w:r>
              <w:rPr>
                <w:rFonts w:hint="eastAsia" w:ascii="宋体" w:hAnsi="宋体" w:eastAsia="宋体" w:cs="宋体"/>
                <w:kern w:val="0"/>
                <w:sz w:val="21"/>
                <w:szCs w:val="21"/>
                <w:highlight w:val="none"/>
                <w:lang w:val="zh-CN" w:eastAsia="zh-CN" w:bidi="ar-SA"/>
              </w:rPr>
              <w:t>提出返还质量保证金的申请。</w:t>
            </w:r>
          </w:p>
          <w:p w14:paraId="241A6FF1">
            <w:pPr>
              <w:pStyle w:val="31"/>
              <w:numPr>
                <w:ilvl w:val="0"/>
                <w:numId w:val="0"/>
              </w:numPr>
              <w:spacing w:line="360" w:lineRule="auto"/>
              <w:ind w:left="0"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2、</w:t>
            </w:r>
            <w:r>
              <w:rPr>
                <w:rFonts w:hint="eastAsia" w:ascii="宋体" w:hAnsi="宋体" w:eastAsia="宋体" w:cs="宋体"/>
                <w:kern w:val="0"/>
                <w:sz w:val="21"/>
                <w:szCs w:val="21"/>
                <w:highlight w:val="none"/>
                <w:lang w:val="zh-CN" w:eastAsia="zh-CN" w:bidi="ar-SA"/>
              </w:rPr>
              <w:t>供应商必须提供真实、有效、合法的正式发票，如供应商提供虚假发票，除须向采购人补开合法发票外，须赔偿采购人发票票面金额一倍的违约金，且采购人有权终止合同，供应商不得提出异议，因终止合同而产生的一切损失均由供应商承担。</w:t>
            </w:r>
          </w:p>
          <w:p w14:paraId="5A764646">
            <w:pPr>
              <w:pStyle w:val="31"/>
              <w:numPr>
                <w:ilvl w:val="0"/>
                <w:numId w:val="0"/>
              </w:numPr>
              <w:spacing w:line="360" w:lineRule="auto"/>
              <w:ind w:leftChars="0"/>
              <w:rPr>
                <w:rFonts w:hint="eastAsia" w:eastAsia="宋体"/>
                <w:color w:val="000000"/>
                <w:highlight w:val="none"/>
                <w:lang w:eastAsia="zh-CN"/>
              </w:rPr>
            </w:pPr>
            <w:r>
              <w:rPr>
                <w:rFonts w:hint="eastAsia" w:cs="宋体"/>
                <w:kern w:val="0"/>
                <w:sz w:val="21"/>
                <w:szCs w:val="21"/>
                <w:highlight w:val="none"/>
                <w:lang w:val="en-US" w:eastAsia="zh-CN" w:bidi="ar-SA"/>
              </w:rPr>
              <w:t>3、</w:t>
            </w:r>
            <w:r>
              <w:rPr>
                <w:rFonts w:hint="eastAsia" w:ascii="宋体" w:hAnsi="宋体" w:eastAsia="宋体" w:cs="宋体"/>
                <w:kern w:val="0"/>
                <w:sz w:val="21"/>
                <w:szCs w:val="21"/>
                <w:highlight w:val="none"/>
                <w:lang w:val="en-US" w:eastAsia="zh-CN" w:bidi="ar-SA"/>
              </w:rPr>
              <w:t>竣工违约</w:t>
            </w:r>
          </w:p>
          <w:p w14:paraId="5A1E9DBB">
            <w:pPr>
              <w:pStyle w:val="31"/>
              <w:numPr>
                <w:ilvl w:val="0"/>
                <w:numId w:val="0"/>
              </w:numPr>
              <w:spacing w:line="360" w:lineRule="auto"/>
              <w:ind w:leftChars="0" w:firstLine="420" w:firstLineChars="200"/>
              <w:rPr>
                <w:rFonts w:hint="default"/>
                <w:color w:val="000000"/>
                <w:highlight w:val="none"/>
                <w:lang w:val="en-US" w:eastAsia="zh-CN"/>
              </w:rPr>
            </w:pPr>
            <w:r>
              <w:rPr>
                <w:rFonts w:hint="eastAsia" w:ascii="宋体" w:hAnsi="宋体" w:eastAsia="宋体" w:cs="宋体"/>
                <w:kern w:val="0"/>
                <w:sz w:val="21"/>
                <w:szCs w:val="21"/>
                <w:highlight w:val="none"/>
                <w:lang w:val="en-US" w:eastAsia="zh-CN" w:bidi="ar-SA"/>
              </w:rPr>
              <w:t>因供应商原因造成工期延误，逾期竣工违约金的计算方法为：供应商不能按合同约定的时间竣工，供应商应承担违约责任。应向采购人支付误期赔偿费（赔偿费按逾期竣工的单栋（段）工程罚款，每延误一天</w:t>
            </w:r>
            <w:r>
              <w:rPr>
                <w:rFonts w:hint="eastAsia"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按</w:t>
            </w:r>
            <w:r>
              <w:rPr>
                <w:rFonts w:hint="eastAsia" w:cs="宋体"/>
                <w:kern w:val="0"/>
                <w:sz w:val="21"/>
                <w:szCs w:val="21"/>
                <w:highlight w:val="none"/>
                <w:lang w:val="en-US" w:eastAsia="zh-CN" w:bidi="ar-SA"/>
              </w:rPr>
              <w:t>500元</w:t>
            </w:r>
            <w:r>
              <w:rPr>
                <w:rFonts w:hint="eastAsia" w:ascii="宋体" w:hAnsi="宋体" w:eastAsia="宋体" w:cs="宋体"/>
                <w:kern w:val="0"/>
                <w:sz w:val="21"/>
                <w:szCs w:val="21"/>
                <w:highlight w:val="none"/>
                <w:lang w:val="en-US" w:eastAsia="zh-CN" w:bidi="ar-SA"/>
              </w:rPr>
              <w:t>处罚</w:t>
            </w:r>
            <w:r>
              <w:rPr>
                <w:rFonts w:hint="eastAsia"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罚款直接从结算款中扣除），误期时间从规定竣工日期起直到实际竣工日期的天数（扣除采购人批准顺延的工期）。采购人可从应向供应商支付的任何金额中扣除此项赔款费或其他方式收回此款，此赔偿款的支付并不能解除供应商应完成工程的责任或合同规定的其他责任。因供应商原因造成工期延误，逾期竣工违约金的上限：</w:t>
            </w:r>
            <w:r>
              <w:rPr>
                <w:rFonts w:hint="eastAsia" w:cs="宋体"/>
                <w:kern w:val="0"/>
                <w:sz w:val="21"/>
                <w:szCs w:val="21"/>
                <w:highlight w:val="none"/>
                <w:lang w:val="en-US" w:eastAsia="zh-CN" w:bidi="ar-SA"/>
              </w:rPr>
              <w:t>30000元</w:t>
            </w:r>
            <w:r>
              <w:rPr>
                <w:rFonts w:hint="eastAsia" w:ascii="宋体" w:hAnsi="宋体" w:eastAsia="宋体" w:cs="宋体"/>
                <w:kern w:val="0"/>
                <w:sz w:val="21"/>
                <w:szCs w:val="21"/>
                <w:highlight w:val="none"/>
                <w:lang w:val="en-US" w:eastAsia="zh-CN" w:bidi="ar-SA"/>
              </w:rPr>
              <w:t>。</w:t>
            </w:r>
          </w:p>
        </w:tc>
      </w:tr>
      <w:tr w14:paraId="32CA3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29DC1EF6">
            <w:pPr>
              <w:shd w:val="clear" w:color="auto" w:fill="auto"/>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付款条件</w:t>
            </w:r>
            <w:r>
              <w:rPr>
                <w:rFonts w:hint="eastAsia" w:ascii="宋体" w:hAnsi="宋体" w:cs="宋体"/>
                <w:color w:val="000000"/>
                <w:highlight w:val="none"/>
                <w:lang w:val="en-US" w:eastAsia="zh-CN"/>
              </w:rPr>
              <w:t>（货物、服务项目）：</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7F3AC84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本项目采</w:t>
            </w:r>
            <w:r>
              <w:rPr>
                <w:rFonts w:hint="eastAsia" w:ascii="宋体" w:hAnsi="宋体" w:eastAsia="宋体" w:cs="宋体"/>
                <w:kern w:val="0"/>
                <w:sz w:val="21"/>
                <w:szCs w:val="21"/>
                <w:highlight w:val="none"/>
                <w:lang w:val="en-US" w:eastAsia="zh-CN" w:bidi="ar-SA"/>
              </w:rPr>
              <w:t>用以下</w:t>
            </w:r>
            <w:r>
              <w:rPr>
                <w:rFonts w:hint="eastAsia" w:ascii="宋体" w:hAnsi="宋体" w:eastAsia="宋体" w:cs="宋体"/>
                <w:kern w:val="0"/>
                <w:sz w:val="21"/>
                <w:szCs w:val="21"/>
                <w:highlight w:val="none"/>
                <w:u w:val="single"/>
                <w:lang w:val="en-US" w:eastAsia="zh-CN" w:bidi="ar-SA"/>
              </w:rPr>
              <w:t xml:space="preserve">第  </w:t>
            </w:r>
            <w:r>
              <w:rPr>
                <w:rFonts w:hint="eastAsia" w:ascii="宋体" w:hAnsi="宋体" w:cs="宋体"/>
                <w:kern w:val="0"/>
                <w:sz w:val="21"/>
                <w:szCs w:val="21"/>
                <w:highlight w:val="none"/>
                <w:u w:val="single"/>
                <w:lang w:val="en-US" w:eastAsia="zh-CN" w:bidi="ar-SA"/>
              </w:rPr>
              <w:t>1</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种方</w:t>
            </w:r>
            <w:r>
              <w:rPr>
                <w:rFonts w:hint="eastAsia" w:ascii="宋体" w:hAnsi="宋体" w:eastAsia="宋体" w:cs="宋体"/>
                <w:kern w:val="0"/>
                <w:sz w:val="21"/>
                <w:szCs w:val="21"/>
                <w:highlight w:val="none"/>
                <w:lang w:val="en-US" w:eastAsia="zh-CN" w:bidi="ar-SA"/>
              </w:rPr>
              <w:t>式支付。</w:t>
            </w:r>
          </w:p>
          <w:p w14:paraId="16EA361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1、本项目一次性付款，全部货物验收合格后，按照供货数量结算，供应商将发票等相关付款资料交与采购人，采购人完成付款审批手续后10个工作日内付款。</w:t>
            </w:r>
          </w:p>
          <w:p w14:paraId="6CCC7EA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w:t>
            </w:r>
            <w:r>
              <w:rPr>
                <w:rFonts w:hint="eastAsia" w:ascii="宋体" w:hAnsi="宋体" w:eastAsia="宋体" w:cs="宋体"/>
                <w:kern w:val="0"/>
                <w:sz w:val="21"/>
                <w:szCs w:val="21"/>
                <w:highlight w:val="none"/>
                <w:lang w:val="zh-CN" w:eastAsia="zh-CN" w:bidi="ar-SA"/>
              </w:rPr>
              <w:t>、款项</w:t>
            </w:r>
            <w:r>
              <w:rPr>
                <w:rFonts w:hint="eastAsia" w:ascii="宋体" w:hAnsi="宋体" w:eastAsia="宋体" w:cs="宋体"/>
                <w:kern w:val="0"/>
                <w:sz w:val="21"/>
                <w:szCs w:val="21"/>
                <w:highlight w:val="none"/>
                <w:lang w:val="en-US" w:eastAsia="zh-CN" w:bidi="ar-SA"/>
              </w:rPr>
              <w:t>x</w:t>
            </w:r>
            <w:r>
              <w:rPr>
                <w:rFonts w:hint="default" w:ascii="宋体" w:hAnsi="宋体" w:eastAsia="宋体" w:cs="宋体"/>
                <w:kern w:val="0"/>
                <w:sz w:val="21"/>
                <w:szCs w:val="21"/>
                <w:highlight w:val="none"/>
                <w:lang w:val="en-US" w:eastAsia="zh-CN" w:bidi="ar-SA"/>
              </w:rPr>
              <w:t>个月结算一次，双方对数量金额进行核对后，计算考核表</w:t>
            </w:r>
            <w:r>
              <w:rPr>
                <w:rFonts w:hint="eastAsia" w:ascii="宋体" w:hAnsi="宋体" w:eastAsia="宋体" w:cs="宋体"/>
                <w:kern w:val="0"/>
                <w:sz w:val="21"/>
                <w:szCs w:val="21"/>
                <w:highlight w:val="none"/>
                <w:lang w:val="en-US" w:eastAsia="zh-CN" w:bidi="ar-SA"/>
              </w:rPr>
              <w:t>（如有）</w:t>
            </w:r>
            <w:r>
              <w:rPr>
                <w:rFonts w:hint="default" w:ascii="宋体" w:hAnsi="宋体" w:eastAsia="宋体" w:cs="宋体"/>
                <w:kern w:val="0"/>
                <w:sz w:val="21"/>
                <w:szCs w:val="21"/>
                <w:highlight w:val="none"/>
                <w:lang w:val="en-US" w:eastAsia="zh-CN" w:bidi="ar-SA"/>
              </w:rPr>
              <w:t>扣减费用，供应商向采购人提供合法有效的发票、验收资料（验收单、结算单），双方确认无误后，采购人</w:t>
            </w:r>
            <w:r>
              <w:rPr>
                <w:rFonts w:hint="eastAsia" w:ascii="宋体" w:hAnsi="宋体" w:eastAsia="宋体" w:cs="宋体"/>
                <w:color w:val="auto"/>
                <w:sz w:val="22"/>
                <w:szCs w:val="22"/>
                <w:highlight w:val="none"/>
                <w:lang w:val="en-US" w:eastAsia="zh-CN"/>
              </w:rPr>
              <w:t>自材料审核完成之日起10个工作日内，</w:t>
            </w:r>
            <w:r>
              <w:rPr>
                <w:rFonts w:hint="default" w:ascii="宋体" w:hAnsi="宋体" w:eastAsia="宋体" w:cs="宋体"/>
                <w:kern w:val="0"/>
                <w:sz w:val="21"/>
                <w:szCs w:val="21"/>
                <w:highlight w:val="none"/>
                <w:lang w:val="en-US" w:eastAsia="zh-CN" w:bidi="ar-SA"/>
              </w:rPr>
              <w:t>将费用支付给供应商。</w:t>
            </w:r>
          </w:p>
          <w:p w14:paraId="23A52DED">
            <w:pPr>
              <w:pStyle w:val="31"/>
              <w:keepNext w:val="0"/>
              <w:keepLines w:val="0"/>
              <w:pageBreakBefore w:val="0"/>
              <w:numPr>
                <w:ilvl w:val="0"/>
                <w:numId w:val="0"/>
              </w:numPr>
              <w:kinsoku/>
              <w:wordWrap/>
              <w:overflowPunct/>
              <w:topLinePunct w:val="0"/>
              <w:autoSpaceDE/>
              <w:autoSpaceDN/>
              <w:bidi w:val="0"/>
              <w:adjustRightInd/>
              <w:snapToGrid/>
              <w:spacing w:line="560" w:lineRule="exact"/>
              <w:ind w:left="0" w:leftChars="0"/>
              <w:textAlignment w:val="auto"/>
              <w:rPr>
                <w:rFonts w:hint="default"/>
                <w:color w:val="000000"/>
                <w:highlight w:val="none"/>
                <w:lang w:val="en-US" w:eastAsia="zh-CN"/>
              </w:rPr>
            </w:pPr>
            <w:r>
              <w:rPr>
                <w:rFonts w:hint="eastAsia" w:ascii="宋体" w:hAnsi="宋体" w:eastAsia="宋体" w:cs="宋体"/>
                <w:kern w:val="0"/>
                <w:sz w:val="21"/>
                <w:szCs w:val="21"/>
                <w:highlight w:val="none"/>
                <w:lang w:val="zh-CN" w:eastAsia="zh-CN" w:bidi="ar-SA"/>
              </w:rPr>
              <w:t>2、供应商必须提供真实、有效、合法的正式发票，如供应商提供虚假发票，除须向采购人补开合法发票外，须赔偿采购人发票票面金额一倍的违约金，且采购人有权终止合同，供应商不得提出异议，因终止合同而产生的一切损失均由供应商承担。</w:t>
            </w:r>
          </w:p>
        </w:tc>
      </w:tr>
      <w:tr w14:paraId="0A14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3AAFB149">
            <w:pPr>
              <w:shd w:val="clear" w:color="auto" w:fill="auto"/>
              <w:spacing w:line="360" w:lineRule="auto"/>
              <w:jc w:val="center"/>
              <w:rPr>
                <w:rFonts w:hint="eastAsia" w:ascii="宋体" w:hAnsi="宋体" w:cs="宋体"/>
                <w:color w:val="000000"/>
                <w:szCs w:val="21"/>
                <w:highlight w:val="none"/>
              </w:rPr>
            </w:pPr>
            <w:r>
              <w:rPr>
                <w:rFonts w:hint="eastAsia" w:ascii="宋体" w:hAnsi="宋体" w:cs="宋体"/>
                <w:bCs/>
                <w:color w:val="000000"/>
                <w:szCs w:val="21"/>
                <w:highlight w:val="none"/>
                <w:lang w:eastAsia="zh-CN"/>
              </w:rPr>
              <w:t>▲</w:t>
            </w:r>
            <w:r>
              <w:rPr>
                <w:rFonts w:hint="eastAsia" w:ascii="宋体" w:hAnsi="宋体" w:cs="宋体"/>
                <w:bCs/>
                <w:color w:val="000000"/>
                <w:szCs w:val="21"/>
                <w:highlight w:val="none"/>
              </w:rPr>
              <w:t>验收标准</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449EF92A">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验收标准：符合现行国家相关标准、行业标准、地方标准或者其他标准、规范。</w:t>
            </w:r>
          </w:p>
        </w:tc>
      </w:tr>
      <w:tr w14:paraId="5BA42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071B209E">
            <w:pPr>
              <w:shd w:val="clear" w:color="auto" w:fill="auto"/>
              <w:spacing w:line="360" w:lineRule="auto"/>
              <w:jc w:val="center"/>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▲竞标报价</w:t>
            </w:r>
          </w:p>
          <w:p w14:paraId="50D357F6">
            <w:pPr>
              <w:shd w:val="clear" w:color="auto" w:fill="auto"/>
              <w:spacing w:line="360" w:lineRule="auto"/>
              <w:jc w:val="center"/>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（工程项目）：</w:t>
            </w:r>
          </w:p>
          <w:p w14:paraId="1FC2E121">
            <w:pPr>
              <w:pStyle w:val="19"/>
              <w:rPr>
                <w:rFonts w:hint="default"/>
                <w:highlight w:val="none"/>
                <w:lang w:val="en-US" w:eastAsia="zh-CN"/>
              </w:rPr>
            </w:pPr>
            <w:r>
              <w:rPr>
                <w:rFonts w:hint="default"/>
                <w:highlight w:val="none"/>
                <w:lang w:val="en-US" w:eastAsia="zh-CN"/>
              </w:rPr>
              <w:t>本项目不适用</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03F1A90A">
            <w:pPr>
              <w:pStyle w:val="9"/>
              <w:rPr>
                <w:rFonts w:hint="eastAsia" w:ascii="宋体" w:hAnsi="宋体" w:cs="宋体"/>
                <w:bCs/>
                <w:color w:val="000000"/>
                <w:szCs w:val="21"/>
                <w:highlight w:val="none"/>
                <w:lang w:val="en-US" w:eastAsia="zh-CN"/>
              </w:rPr>
            </w:pPr>
            <w:r>
              <w:rPr>
                <w:rFonts w:hint="eastAsia"/>
                <w:highlight w:val="none"/>
                <w:lang w:val="en-US" w:eastAsia="zh-CN"/>
              </w:rPr>
              <w:t>1、</w:t>
            </w:r>
            <w:r>
              <w:rPr>
                <w:rFonts w:hint="eastAsia" w:eastAsia="宋体"/>
                <w:highlight w:val="none"/>
                <w:lang w:val="en-US" w:eastAsia="zh-CN"/>
              </w:rPr>
              <w:t>依据规定《财政部关于推动解决政府采购异常低价问题的通知》（财库〔2026〕2号）规定，</w:t>
            </w:r>
            <w:r>
              <w:rPr>
                <w:rFonts w:hint="eastAsia" w:ascii="宋体" w:hAnsi="宋体" w:cs="宋体"/>
                <w:bCs/>
                <w:color w:val="000000"/>
                <w:szCs w:val="21"/>
                <w:highlight w:val="none"/>
                <w:lang w:val="en-US" w:eastAsia="zh-CN"/>
              </w:rPr>
              <w:t>评审小组在评审过程中，出现下列情形之一的，评审小组应当启动异常低价投标（响应）审查程序： </w:t>
            </w:r>
          </w:p>
          <w:p w14:paraId="6188F936">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（1）投标（响应）报价低于全部通过符合性审查供应商投标（响应）报价平均值50%的，即投标（响应）报价&lt;全部通过符合性审查供应商投标（响应）报价平均值×50%； </w:t>
            </w:r>
          </w:p>
          <w:p w14:paraId="04E3E441">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（2）投标（响应）报价低于通过符合性审查的次低报价供应商投标（响应）报价50%的，即投标（响应）报价&lt;通过符合性审查的次低报价供应商投标（响应）报价×50%； </w:t>
            </w:r>
          </w:p>
          <w:p w14:paraId="7B689DAC">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（3）投标（响应）报价低于采购项目最高限价45%的，即投标（响应）报价&lt;采购项目最高限价×45%； </w:t>
            </w:r>
          </w:p>
          <w:p w14:paraId="32B25A32">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（4）评审委员会基于专业判断，认为供应商报价过低，有可能影响产品质量或者不能诚信履约的其他情形。 </w:t>
            </w:r>
          </w:p>
          <w:p w14:paraId="3B581AD4">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2、触发审查的供应商应在评审小组规定的时间内（原则上不超过1小时，竞标供应商应提前做好充分准备）提交书面说明，并提供必要的证明材料，包括但不限于：</w:t>
            </w:r>
          </w:p>
          <w:p w14:paraId="26C93702">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（1）详细的成本构成分析：包括人工、材料、机械、管理费、利润、税金等分项报价明细；</w:t>
            </w:r>
          </w:p>
          <w:p w14:paraId="0E7DCB44">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（2）拟采用的主要材料品牌、型号、产地及供应商报价单；</w:t>
            </w:r>
          </w:p>
          <w:p w14:paraId="713A616F">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（3）拟投入本项目的关键人员、设备清单及来源说明；</w:t>
            </w:r>
          </w:p>
          <w:p w14:paraId="3795642B">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（4）能够证明其报价合理性的其他材料（如类似项目合同、采购凭证等）。</w:t>
            </w:r>
          </w:p>
          <w:p w14:paraId="46E38992">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3、评审小组结合项目具体特点、市场行情、供应商的说明及证明材料，对其报价是否低于成本、是否影响工程质量和合同履约进行集体评议。</w:t>
            </w:r>
          </w:p>
          <w:p w14:paraId="7C57A63A">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4、若供应商未能按时提交说明和证明材料，或提交的材料不足以合理证明其报价能够保证工程质量并诚信履约，经评审小组过半数成员认定，其响应文件将按无效响应处理。</w:t>
            </w:r>
          </w:p>
          <w:p w14:paraId="45F05790">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5、若供应商的说明和证明材料经评审小组评议认为合理、可信，其报价继续参与后续评审。</w:t>
            </w:r>
          </w:p>
        </w:tc>
      </w:tr>
      <w:tr w14:paraId="449DB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2D32E197">
            <w:pPr>
              <w:shd w:val="clear" w:color="auto" w:fill="auto"/>
              <w:spacing w:line="360" w:lineRule="auto"/>
              <w:jc w:val="center"/>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▲竞标报价</w:t>
            </w:r>
          </w:p>
          <w:p w14:paraId="79A89096">
            <w:pPr>
              <w:shd w:val="clear" w:color="auto" w:fill="auto"/>
              <w:spacing w:line="360" w:lineRule="auto"/>
              <w:jc w:val="center"/>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（服务项目）：</w:t>
            </w:r>
          </w:p>
          <w:p w14:paraId="10EB43E1">
            <w:pPr>
              <w:pStyle w:val="19"/>
              <w:rPr>
                <w:rFonts w:hint="eastAsia"/>
                <w:highlight w:val="none"/>
                <w:lang w:val="en-US" w:eastAsia="zh-CN"/>
              </w:rPr>
            </w:pPr>
            <w:r>
              <w:rPr>
                <w:rFonts w:hint="eastAsia"/>
                <w:highlight w:val="none"/>
                <w:lang w:val="en-US" w:eastAsia="zh-CN"/>
              </w:rPr>
              <w:t>本项目不适用</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712FE459">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报价为总费用包干，报价包含但不限于服务的价格，租赁设备，安装调试、现场布线、使用培训、差旅及食宿、交通费、策划设计执行、物料制作、设备拆除、必要的保险费用和各项税金等为完成项目所需的所有费用。对于本文件中明确列明必须报价的服务，供应商应分别报价。对于本文件中未列明，而供应商认为必需的费用也需列入总报价。在合同实施时，采购人将不予支付供应商没有列入的项目费用，并认为此项目的费用已包括在响应总报价中。</w:t>
            </w:r>
          </w:p>
          <w:p w14:paraId="78D84FED">
            <w:pPr>
              <w:pStyle w:val="9"/>
              <w:rPr>
                <w:rFonts w:hint="eastAsia" w:ascii="宋体" w:hAnsi="宋体" w:cs="宋体"/>
                <w:bCs/>
                <w:color w:val="000000"/>
                <w:szCs w:val="21"/>
                <w:highlight w:val="none"/>
                <w:lang w:val="en-US" w:eastAsia="zh-CN"/>
              </w:rPr>
            </w:pPr>
            <w:r>
              <w:rPr>
                <w:rFonts w:hint="eastAsia"/>
                <w:highlight w:val="none"/>
                <w:lang w:val="en-US" w:eastAsia="zh-CN"/>
              </w:rPr>
              <w:t>1、</w:t>
            </w:r>
            <w:r>
              <w:rPr>
                <w:rFonts w:hint="eastAsia" w:eastAsia="宋体"/>
                <w:highlight w:val="none"/>
                <w:lang w:val="en-US" w:eastAsia="zh-CN"/>
              </w:rPr>
              <w:t>依据规定《财政部关于推动解决政府采购异常低价问题的通知》（财库〔2026〕2号）规定，</w:t>
            </w:r>
            <w:r>
              <w:rPr>
                <w:rFonts w:hint="eastAsia" w:ascii="宋体" w:hAnsi="宋体" w:cs="宋体"/>
                <w:bCs/>
                <w:color w:val="000000"/>
                <w:szCs w:val="21"/>
                <w:highlight w:val="none"/>
                <w:lang w:val="en-US" w:eastAsia="zh-CN"/>
              </w:rPr>
              <w:t>评审小组在评审过程中，出现下列情形之一的，评审小组应当启动异常低价投标（响应）审查程序： </w:t>
            </w:r>
          </w:p>
          <w:p w14:paraId="6CDEEAA2">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（1）投标（响应）报价低于全部通过符合性审查供应商投标（响应）报价平均值50%的，即投标（响应）报价&lt;全部通过符合性审查供应商投标（响应）报价平均值×50%； </w:t>
            </w:r>
          </w:p>
          <w:p w14:paraId="63A09BD2">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（2）投标（响应）报价低于通过符合性审查的次低报价供应商投标（响应）报价50%的，即投标（响应）报价&lt;通过符合性审查的次低报价供应商投标（响应）报价×50%； </w:t>
            </w:r>
          </w:p>
          <w:p w14:paraId="746FF572">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（3）投标（响应）报价低于采购项目最高限价45%的，即投标（响应）报价&lt;采购项目最高限价×45%； </w:t>
            </w:r>
          </w:p>
          <w:p w14:paraId="1A380DC6">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（4）评审委员会基于专业判断，认为供应商报价过低，有可能影响产品质量或者不能诚信履约的其他情形。 </w:t>
            </w:r>
          </w:p>
          <w:p w14:paraId="26A79C2C">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2、触发审查的供应商应在评审小组规定的时间内（原则上不超过1小时，竞标供应商应提前做好充分准备）提交书面说明，并提供必要的证明材料，包括但不限于：</w:t>
            </w:r>
          </w:p>
          <w:p w14:paraId="3617E599">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（1）详细的成本构成分析：包括人工、材料、管理费、利润、税金等分项报价明细；</w:t>
            </w:r>
          </w:p>
          <w:p w14:paraId="0B2B6A1C">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（2）拟采用的主要品牌、型号、产地及供应商报价单；</w:t>
            </w:r>
          </w:p>
          <w:p w14:paraId="38C06966">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（3）拟投入本项目的关键人员、设备清单及来源说明；</w:t>
            </w:r>
          </w:p>
          <w:p w14:paraId="057D6BD8">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（4）能够证明其报价合理性的其他材料（如类似项目合同、采购凭证等）。</w:t>
            </w:r>
          </w:p>
          <w:p w14:paraId="49631712">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3、评审小组结合项目具体特点、市场行情、供应商的说明及证明材料，对其报价是否低于成本、是否影响工程质量和合同履约进行集体评议。</w:t>
            </w:r>
          </w:p>
          <w:p w14:paraId="75D0681E">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4、若供应商未能按时提交说明和证明材料，或提交的材料不足以合理证明其报价能够保证工程质量并诚信履约，经评审小组过半数成员认定，其响应文件将按无效响应处理。</w:t>
            </w:r>
          </w:p>
          <w:p w14:paraId="12117867">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5、若供应商的说明和证明材料经评审小组评议认为合理、可信，其报价继续参与后续评审。</w:t>
            </w:r>
          </w:p>
        </w:tc>
      </w:tr>
      <w:tr w14:paraId="26605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2C9C9851">
            <w:pPr>
              <w:shd w:val="clear" w:color="auto" w:fill="auto"/>
              <w:spacing w:line="360" w:lineRule="auto"/>
              <w:jc w:val="center"/>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▲竞标报价</w:t>
            </w:r>
          </w:p>
          <w:p w14:paraId="6D731D8B">
            <w:pPr>
              <w:shd w:val="clear" w:color="auto" w:fill="auto"/>
              <w:spacing w:line="360" w:lineRule="auto"/>
              <w:jc w:val="center"/>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（货物项目）：</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69E723D7">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竞标报价包含货物、货物标准附件、备品备件、专用工具、设备安装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明示或暗示的所有责任、义务和一般风险等费用。</w:t>
            </w:r>
          </w:p>
          <w:p w14:paraId="2FC5D91F">
            <w:pPr>
              <w:pStyle w:val="9"/>
              <w:rPr>
                <w:rFonts w:hint="eastAsia" w:ascii="宋体" w:hAnsi="宋体" w:cs="宋体"/>
                <w:bCs/>
                <w:color w:val="000000"/>
                <w:szCs w:val="21"/>
                <w:highlight w:val="none"/>
                <w:lang w:val="en-US" w:eastAsia="zh-CN"/>
              </w:rPr>
            </w:pPr>
            <w:r>
              <w:rPr>
                <w:rFonts w:hint="eastAsia"/>
                <w:highlight w:val="none"/>
                <w:lang w:val="en-US" w:eastAsia="zh-CN"/>
              </w:rPr>
              <w:t>1、</w:t>
            </w:r>
            <w:r>
              <w:rPr>
                <w:rFonts w:hint="eastAsia" w:eastAsia="宋体"/>
                <w:highlight w:val="none"/>
                <w:lang w:val="en-US" w:eastAsia="zh-CN"/>
              </w:rPr>
              <w:t>依据规定《财政部关于推动解决政府采购异常低价问题的通知》（财库〔2026〕2号）规定，</w:t>
            </w:r>
            <w:r>
              <w:rPr>
                <w:rFonts w:hint="eastAsia" w:ascii="宋体" w:hAnsi="宋体" w:cs="宋体"/>
                <w:bCs/>
                <w:color w:val="000000"/>
                <w:szCs w:val="21"/>
                <w:highlight w:val="none"/>
                <w:lang w:val="en-US" w:eastAsia="zh-CN"/>
              </w:rPr>
              <w:t>评审小组在评审过程中，出现下列情形之一的，评审小组应当启动异常低价投标（响应）审查程序： </w:t>
            </w:r>
          </w:p>
          <w:p w14:paraId="641749D6">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（1）投标（响应）报价低于全部通过符合性审查供应商投标（响应）报价平均值50%的，即投标（响应）报价&lt;全部通过符合性审查供应商投标（响应）报价平均值×50%； </w:t>
            </w:r>
          </w:p>
          <w:p w14:paraId="0F0C077A">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（2）投标（响应）报价低于通过符合性审查的次低报价供应商投标（响应）报价50%的，即投标（响应）报价&lt;通过符合性审查的次低报价供应商投标（响应）报价×50%； </w:t>
            </w:r>
          </w:p>
          <w:p w14:paraId="6E43D1D3">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（3）投标（响应）报价低于采购项目最高限价45%的，即投标（响应）报价&lt;采购项目最高限价×45%； </w:t>
            </w:r>
          </w:p>
          <w:p w14:paraId="56D96F0A">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（4）评审委员会基于专业判断，认为供应商报价过低，有可能影响产品质量或者不能诚信履约的其他情形。 </w:t>
            </w:r>
          </w:p>
          <w:p w14:paraId="49B3B1AD">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2、触发审查的供应商应在评审小组规定的时间内（原则上不超过1小时，竞标供应商应提前做好充分准备）提交书面说明，并提供必要的证明材料，包括但不限于：</w:t>
            </w:r>
          </w:p>
          <w:p w14:paraId="34D28CBF">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（1）详细的成本构成分析：包括人工、材料、管理费、利润、税金等分项报价明细；</w:t>
            </w:r>
          </w:p>
          <w:p w14:paraId="118BC27A">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（2）拟采用的主要品牌、型号、产地及供应商报价单；</w:t>
            </w:r>
          </w:p>
          <w:p w14:paraId="4FBEBE79">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（3）拟投入本项目的关键人员、设备清单及来源说明；</w:t>
            </w:r>
          </w:p>
          <w:p w14:paraId="6B893050">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（4）能够证明其报价合理性的其他材料（如类似项目合同、采购凭证等）。</w:t>
            </w:r>
          </w:p>
          <w:p w14:paraId="6C9A707B">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3、评审小组结合项目具体特点、市场行情、供应商的说明及证明材料，对其报价是否低于成本、是否影响工程质量和合同履约进行集体评议。</w:t>
            </w:r>
          </w:p>
          <w:p w14:paraId="723550BD">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4、若供应商未能按时提交说明和证明材料，或提交的材料不足以合理证明其报价能够保证工程质量并诚信履约，经评审小组过半数成员认定，其响应文件将按无效响应处理。</w:t>
            </w:r>
          </w:p>
          <w:p w14:paraId="300454C0">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5、若供应商的说明和证明材料经评审小组评议认为合理、可信，其报价继续参与后续评审。</w:t>
            </w:r>
          </w:p>
        </w:tc>
      </w:tr>
      <w:tr w14:paraId="625A7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64BC6F3B">
            <w:pPr>
              <w:rPr>
                <w:rFonts w:hint="eastAsia" w:ascii="宋体" w:hAnsi="宋体" w:eastAsia="宋体" w:cs="宋体"/>
                <w:bCs/>
                <w:color w:val="000000"/>
                <w:szCs w:val="21"/>
                <w:highlight w:val="none"/>
                <w:lang w:eastAsia="zh-CN"/>
              </w:rPr>
            </w:pPr>
            <w:r>
              <w:rPr>
                <w:rStyle w:val="47"/>
                <w:rFonts w:hint="eastAsia" w:ascii="宋体" w:hAnsi="宋体" w:cs="宋体"/>
                <w:szCs w:val="21"/>
                <w:highlight w:val="none"/>
              </w:rPr>
              <w:t>样品要求</w:t>
            </w:r>
            <w:r>
              <w:rPr>
                <w:rStyle w:val="47"/>
                <w:rFonts w:hint="eastAsia" w:ascii="宋体" w:hAnsi="宋体" w:cs="宋体"/>
                <w:szCs w:val="21"/>
                <w:highlight w:val="none"/>
                <w:lang w:eastAsia="zh-CN"/>
              </w:rPr>
              <w:t>（如有）</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110198CE">
            <w:pPr>
              <w:rPr>
                <w:rFonts w:hint="eastAsia" w:ascii="宋体" w:hAnsi="宋体"/>
                <w:szCs w:val="21"/>
                <w:highlight w:val="none"/>
              </w:rPr>
            </w:pPr>
            <w:r>
              <w:rPr>
                <w:rFonts w:hint="eastAsia"/>
                <w:highlight w:val="none"/>
                <w:lang w:eastAsia="zh-CN"/>
              </w:rPr>
              <w:t>供应商可根据评分标准提供样品，若不提供样品，样品分为</w:t>
            </w:r>
            <w:r>
              <w:rPr>
                <w:rFonts w:hint="eastAsia"/>
                <w:highlight w:val="none"/>
                <w:lang w:val="en-US" w:eastAsia="zh-CN"/>
              </w:rPr>
              <w:t>0分。成交</w:t>
            </w:r>
            <w:r>
              <w:rPr>
                <w:rFonts w:hint="eastAsia"/>
                <w:highlight w:val="none"/>
                <w:lang w:eastAsia="zh-CN"/>
              </w:rPr>
              <w:t>人样品不退，</w:t>
            </w:r>
            <w:r>
              <w:rPr>
                <w:rFonts w:hint="eastAsia" w:ascii="宋体" w:hAnsi="宋体"/>
                <w:szCs w:val="21"/>
                <w:highlight w:val="none"/>
              </w:rPr>
              <w:t>作为验收依据之一。</w:t>
            </w:r>
          </w:p>
          <w:tbl>
            <w:tblPr>
              <w:tblStyle w:val="25"/>
              <w:tblW w:w="7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890"/>
              <w:gridCol w:w="1178"/>
              <w:gridCol w:w="2618"/>
              <w:gridCol w:w="1232"/>
            </w:tblGrid>
            <w:tr w14:paraId="05C6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529" w:type="dxa"/>
                  <w:noWrap w:val="0"/>
                  <w:vAlign w:val="center"/>
                </w:tcPr>
                <w:p w14:paraId="26E2561E">
                  <w:pPr>
                    <w:spacing w:line="320" w:lineRule="exact"/>
                    <w:jc w:val="center"/>
                    <w:rPr>
                      <w:rFonts w:ascii="宋体" w:hAnsi="宋体"/>
                      <w:szCs w:val="21"/>
                      <w:highlight w:val="none"/>
                    </w:rPr>
                  </w:pPr>
                  <w:r>
                    <w:rPr>
                      <w:rFonts w:hint="eastAsia" w:ascii="宋体" w:hAnsi="宋体"/>
                      <w:szCs w:val="21"/>
                      <w:highlight w:val="none"/>
                    </w:rPr>
                    <w:t>项号</w:t>
                  </w:r>
                </w:p>
              </w:tc>
              <w:tc>
                <w:tcPr>
                  <w:tcW w:w="1890" w:type="dxa"/>
                  <w:noWrap w:val="0"/>
                  <w:vAlign w:val="center"/>
                </w:tcPr>
                <w:p w14:paraId="37E45130">
                  <w:pPr>
                    <w:jc w:val="center"/>
                    <w:rPr>
                      <w:szCs w:val="21"/>
                      <w:highlight w:val="none"/>
                    </w:rPr>
                  </w:pPr>
                  <w:r>
                    <w:rPr>
                      <w:rFonts w:hint="eastAsia"/>
                      <w:szCs w:val="21"/>
                      <w:highlight w:val="none"/>
                    </w:rPr>
                    <w:t>小样名称</w:t>
                  </w:r>
                </w:p>
              </w:tc>
              <w:tc>
                <w:tcPr>
                  <w:tcW w:w="1178" w:type="dxa"/>
                  <w:noWrap w:val="0"/>
                  <w:vAlign w:val="center"/>
                </w:tcPr>
                <w:p w14:paraId="3EA82D77">
                  <w:pPr>
                    <w:jc w:val="center"/>
                    <w:rPr>
                      <w:szCs w:val="21"/>
                      <w:highlight w:val="none"/>
                    </w:rPr>
                  </w:pPr>
                  <w:r>
                    <w:rPr>
                      <w:rFonts w:hint="eastAsia"/>
                      <w:szCs w:val="21"/>
                      <w:highlight w:val="none"/>
                    </w:rPr>
                    <w:t>数量</w:t>
                  </w:r>
                </w:p>
              </w:tc>
              <w:tc>
                <w:tcPr>
                  <w:tcW w:w="2618" w:type="dxa"/>
                  <w:noWrap w:val="0"/>
                  <w:vAlign w:val="center"/>
                </w:tcPr>
                <w:p w14:paraId="6B2896A0">
                  <w:pPr>
                    <w:jc w:val="center"/>
                    <w:rPr>
                      <w:szCs w:val="21"/>
                      <w:highlight w:val="none"/>
                      <w:lang w:val="en"/>
                    </w:rPr>
                  </w:pPr>
                  <w:r>
                    <w:rPr>
                      <w:rFonts w:hint="eastAsia"/>
                      <w:szCs w:val="21"/>
                      <w:highlight w:val="none"/>
                    </w:rPr>
                    <w:t>规格</w:t>
                  </w:r>
                  <w:r>
                    <w:rPr>
                      <w:rFonts w:hint="eastAsia"/>
                      <w:szCs w:val="21"/>
                      <w:highlight w:val="none"/>
                      <w:lang w:val="en"/>
                    </w:rPr>
                    <w:t>参考</w:t>
                  </w:r>
                </w:p>
              </w:tc>
              <w:tc>
                <w:tcPr>
                  <w:tcW w:w="1232" w:type="dxa"/>
                  <w:noWrap w:val="0"/>
                  <w:vAlign w:val="center"/>
                </w:tcPr>
                <w:p w14:paraId="7E215EFA">
                  <w:pPr>
                    <w:jc w:val="center"/>
                    <w:rPr>
                      <w:szCs w:val="21"/>
                      <w:highlight w:val="none"/>
                    </w:rPr>
                  </w:pPr>
                  <w:r>
                    <w:rPr>
                      <w:rFonts w:hint="eastAsia"/>
                      <w:szCs w:val="21"/>
                      <w:highlight w:val="none"/>
                    </w:rPr>
                    <w:t>备注</w:t>
                  </w:r>
                </w:p>
              </w:tc>
            </w:tr>
            <w:tr w14:paraId="11B9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0"/>
                  <w:vAlign w:val="center"/>
                </w:tcPr>
                <w:p w14:paraId="4449849F">
                  <w:pPr>
                    <w:widowControl w:val="0"/>
                    <w:numPr>
                      <w:ilvl w:val="0"/>
                      <w:numId w:val="2"/>
                    </w:numPr>
                    <w:ind w:left="53" w:leftChars="25" w:firstLine="0"/>
                    <w:jc w:val="center"/>
                    <w:textAlignment w:val="auto"/>
                    <w:rPr>
                      <w:rFonts w:ascii="宋体" w:hAnsi="宋体"/>
                      <w:szCs w:val="21"/>
                      <w:highlight w:val="none"/>
                    </w:rPr>
                  </w:pPr>
                </w:p>
              </w:tc>
              <w:tc>
                <w:tcPr>
                  <w:tcW w:w="1890" w:type="dxa"/>
                  <w:noWrap w:val="0"/>
                  <w:vAlign w:val="center"/>
                </w:tcPr>
                <w:p w14:paraId="0628F2F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1.2米移动柜</w:t>
                  </w:r>
                </w:p>
                <w:p w14:paraId="77418FAF">
                  <w:pPr>
                    <w:keepNext w:val="0"/>
                    <w:keepLines w:val="0"/>
                    <w:widowControl/>
                    <w:suppressLineNumbers w:val="0"/>
                    <w:jc w:val="center"/>
                    <w:textAlignment w:val="center"/>
                    <w:rPr>
                      <w:rFonts w:hint="default" w:ascii="宋体" w:hAnsi="宋体" w:eastAsia="宋体"/>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（脚轮）</w:t>
                  </w:r>
                </w:p>
              </w:tc>
              <w:tc>
                <w:tcPr>
                  <w:tcW w:w="1178" w:type="dxa"/>
                  <w:noWrap w:val="0"/>
                  <w:vAlign w:val="center"/>
                </w:tcPr>
                <w:p w14:paraId="18750994">
                  <w:pPr>
                    <w:keepNext w:val="0"/>
                    <w:keepLines w:val="0"/>
                    <w:widowControl/>
                    <w:suppressLineNumbers w:val="0"/>
                    <w:jc w:val="center"/>
                    <w:textAlignment w:val="center"/>
                    <w:rPr>
                      <w:rFonts w:hint="eastAsia" w:ascii="宋体" w:hAnsi="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1个</w:t>
                  </w:r>
                </w:p>
              </w:tc>
              <w:tc>
                <w:tcPr>
                  <w:tcW w:w="2618" w:type="dxa"/>
                  <w:noWrap w:val="0"/>
                  <w:vAlign w:val="center"/>
                </w:tcPr>
                <w:p w14:paraId="4DB77604">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无</w:t>
                  </w:r>
                </w:p>
              </w:tc>
              <w:tc>
                <w:tcPr>
                  <w:tcW w:w="1232" w:type="dxa"/>
                  <w:noWrap w:val="0"/>
                  <w:vAlign w:val="center"/>
                </w:tcPr>
                <w:p w14:paraId="1DC0049F">
                  <w:pPr>
                    <w:jc w:val="center"/>
                    <w:rPr>
                      <w:rFonts w:hint="eastAsia"/>
                      <w:szCs w:val="21"/>
                      <w:highlight w:val="none"/>
                    </w:rPr>
                  </w:pPr>
                </w:p>
              </w:tc>
            </w:tr>
            <w:tr w14:paraId="7750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456A5FD1">
                  <w:pPr>
                    <w:widowControl w:val="0"/>
                    <w:numPr>
                      <w:ilvl w:val="0"/>
                      <w:numId w:val="2"/>
                    </w:numPr>
                    <w:ind w:left="53" w:leftChars="25" w:firstLine="0"/>
                    <w:jc w:val="center"/>
                    <w:textAlignment w:val="auto"/>
                    <w:rPr>
                      <w:rFonts w:ascii="宋体" w:hAnsi="宋体"/>
                      <w:szCs w:val="21"/>
                      <w:highlight w:val="none"/>
                    </w:rPr>
                  </w:pPr>
                </w:p>
              </w:tc>
              <w:tc>
                <w:tcPr>
                  <w:tcW w:w="1890" w:type="dxa"/>
                  <w:noWrap w:val="0"/>
                  <w:vAlign w:val="center"/>
                </w:tcPr>
                <w:p w14:paraId="1FF38E3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1.2米移动柜</w:t>
                  </w:r>
                </w:p>
                <w:p w14:paraId="1BC5A5B8">
                  <w:pPr>
                    <w:keepNext w:val="0"/>
                    <w:keepLines w:val="0"/>
                    <w:widowControl/>
                    <w:suppressLineNumbers w:val="0"/>
                    <w:jc w:val="center"/>
                    <w:textAlignment w:val="center"/>
                    <w:rPr>
                      <w:rFonts w:hint="eastAsia" w:ascii="宋体" w:hAnsi="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（柜体钢板）</w:t>
                  </w:r>
                </w:p>
              </w:tc>
              <w:tc>
                <w:tcPr>
                  <w:tcW w:w="1178" w:type="dxa"/>
                  <w:noWrap w:val="0"/>
                  <w:vAlign w:val="center"/>
                </w:tcPr>
                <w:p w14:paraId="7D66DFA3">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1片</w:t>
                  </w:r>
                </w:p>
              </w:tc>
              <w:tc>
                <w:tcPr>
                  <w:tcW w:w="2618" w:type="dxa"/>
                  <w:noWrap w:val="0"/>
                  <w:vAlign w:val="center"/>
                </w:tcPr>
                <w:p w14:paraId="4E5DDDAA">
                  <w:pPr>
                    <w:keepNext w:val="0"/>
                    <w:keepLines w:val="0"/>
                    <w:widowControl/>
                    <w:suppressLineNumbers w:val="0"/>
                    <w:jc w:val="center"/>
                    <w:textAlignment w:val="center"/>
                    <w:rPr>
                      <w:rFonts w:hint="eastAsia" w:ascii="宋体" w:hAnsi="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约100mm*100mm（厚度0.8mm）</w:t>
                  </w:r>
                </w:p>
              </w:tc>
              <w:tc>
                <w:tcPr>
                  <w:tcW w:w="1232" w:type="dxa"/>
                  <w:noWrap w:val="0"/>
                  <w:vAlign w:val="center"/>
                </w:tcPr>
                <w:p w14:paraId="2C64D77F">
                  <w:pPr>
                    <w:jc w:val="center"/>
                    <w:rPr>
                      <w:rFonts w:hint="eastAsia"/>
                      <w:szCs w:val="21"/>
                      <w:highlight w:val="none"/>
                    </w:rPr>
                  </w:pPr>
                </w:p>
              </w:tc>
            </w:tr>
            <w:tr w14:paraId="2A16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508D0904">
                  <w:pPr>
                    <w:widowControl w:val="0"/>
                    <w:numPr>
                      <w:ilvl w:val="0"/>
                      <w:numId w:val="2"/>
                    </w:numPr>
                    <w:ind w:left="53" w:leftChars="25" w:firstLine="0"/>
                    <w:jc w:val="center"/>
                    <w:textAlignment w:val="auto"/>
                    <w:rPr>
                      <w:rFonts w:ascii="宋体" w:hAnsi="宋体"/>
                      <w:szCs w:val="21"/>
                      <w:highlight w:val="none"/>
                    </w:rPr>
                  </w:pPr>
                </w:p>
              </w:tc>
              <w:tc>
                <w:tcPr>
                  <w:tcW w:w="1890" w:type="dxa"/>
                  <w:noWrap w:val="0"/>
                  <w:vAlign w:val="center"/>
                </w:tcPr>
                <w:p w14:paraId="1BD47C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1.2米移动柜</w:t>
                  </w:r>
                </w:p>
                <w:p w14:paraId="51E4522F">
                  <w:pPr>
                    <w:keepNext w:val="0"/>
                    <w:keepLines w:val="0"/>
                    <w:widowControl/>
                    <w:suppressLineNumbers w:val="0"/>
                    <w:jc w:val="center"/>
                    <w:textAlignment w:val="center"/>
                    <w:rPr>
                      <w:rFonts w:hint="eastAsia" w:ascii="宋体" w:hAnsi="宋体" w:cs="宋体"/>
                      <w:kern w:val="0"/>
                      <w:szCs w:val="21"/>
                      <w:highlight w:val="none"/>
                    </w:rPr>
                  </w:pPr>
                  <w:r>
                    <w:rPr>
                      <w:rFonts w:hint="eastAsia" w:ascii="宋体" w:hAnsi="宋体" w:eastAsia="宋体" w:cs="宋体"/>
                      <w:i w:val="0"/>
                      <w:iCs w:val="0"/>
                      <w:color w:val="000000"/>
                      <w:kern w:val="0"/>
                      <w:sz w:val="21"/>
                      <w:szCs w:val="21"/>
                      <w:highlight w:val="none"/>
                      <w:u w:val="none"/>
                      <w:lang w:val="en-US" w:eastAsia="zh-CN" w:bidi="ar"/>
                    </w:rPr>
                    <w:t>（调节立柱）</w:t>
                  </w:r>
                </w:p>
              </w:tc>
              <w:tc>
                <w:tcPr>
                  <w:tcW w:w="1178" w:type="dxa"/>
                  <w:noWrap w:val="0"/>
                  <w:vAlign w:val="center"/>
                </w:tcPr>
                <w:p w14:paraId="2420E80D">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1根</w:t>
                  </w:r>
                </w:p>
              </w:tc>
              <w:tc>
                <w:tcPr>
                  <w:tcW w:w="2618" w:type="dxa"/>
                  <w:noWrap w:val="0"/>
                  <w:vAlign w:val="center"/>
                </w:tcPr>
                <w:p w14:paraId="1548C34A">
                  <w:pPr>
                    <w:keepNext w:val="0"/>
                    <w:keepLines w:val="0"/>
                    <w:widowControl/>
                    <w:suppressLineNumbers w:val="0"/>
                    <w:jc w:val="center"/>
                    <w:textAlignment w:val="center"/>
                    <w:rPr>
                      <w:rFonts w:hint="eastAsia" w:ascii="宋体" w:hAnsi="宋体" w:eastAsia="宋体"/>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约200mm长</w:t>
                  </w:r>
                </w:p>
              </w:tc>
              <w:tc>
                <w:tcPr>
                  <w:tcW w:w="1232" w:type="dxa"/>
                  <w:noWrap w:val="0"/>
                  <w:vAlign w:val="center"/>
                </w:tcPr>
                <w:p w14:paraId="02E7BCD5">
                  <w:pPr>
                    <w:jc w:val="center"/>
                    <w:rPr>
                      <w:rFonts w:hint="eastAsia"/>
                      <w:szCs w:val="21"/>
                      <w:highlight w:val="none"/>
                    </w:rPr>
                  </w:pPr>
                </w:p>
              </w:tc>
            </w:tr>
            <w:tr w14:paraId="0C07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2D8D0C6F">
                  <w:pPr>
                    <w:widowControl w:val="0"/>
                    <w:numPr>
                      <w:ilvl w:val="0"/>
                      <w:numId w:val="2"/>
                    </w:numPr>
                    <w:ind w:left="53" w:leftChars="25" w:firstLine="0"/>
                    <w:jc w:val="center"/>
                    <w:textAlignment w:val="auto"/>
                    <w:rPr>
                      <w:rFonts w:ascii="宋体" w:hAnsi="宋体"/>
                      <w:szCs w:val="21"/>
                      <w:highlight w:val="none"/>
                    </w:rPr>
                  </w:pPr>
                </w:p>
              </w:tc>
              <w:tc>
                <w:tcPr>
                  <w:tcW w:w="1890" w:type="dxa"/>
                  <w:noWrap w:val="0"/>
                  <w:vAlign w:val="center"/>
                </w:tcPr>
                <w:p w14:paraId="0A76D915">
                  <w:pPr>
                    <w:keepNext w:val="0"/>
                    <w:keepLines w:val="0"/>
                    <w:widowControl/>
                    <w:suppressLineNumbers w:val="0"/>
                    <w:jc w:val="center"/>
                    <w:textAlignment w:val="center"/>
                    <w:rPr>
                      <w:rFonts w:ascii="宋体" w:hAnsi="宋体" w:cs="宋体"/>
                      <w:kern w:val="0"/>
                      <w:szCs w:val="21"/>
                      <w:highlight w:val="none"/>
                    </w:rPr>
                  </w:pPr>
                  <w:r>
                    <w:rPr>
                      <w:rFonts w:hint="eastAsia" w:ascii="宋体" w:hAnsi="宋体" w:eastAsia="宋体" w:cs="宋体"/>
                      <w:i w:val="0"/>
                      <w:iCs w:val="0"/>
                      <w:color w:val="000000"/>
                      <w:kern w:val="0"/>
                      <w:sz w:val="21"/>
                      <w:szCs w:val="21"/>
                      <w:highlight w:val="none"/>
                      <w:u w:val="none"/>
                      <w:lang w:val="en-US" w:eastAsia="zh-CN" w:bidi="ar"/>
                    </w:rPr>
                    <w:t>钢制货架（立柱）</w:t>
                  </w:r>
                </w:p>
              </w:tc>
              <w:tc>
                <w:tcPr>
                  <w:tcW w:w="1178" w:type="dxa"/>
                  <w:noWrap w:val="0"/>
                  <w:vAlign w:val="center"/>
                </w:tcPr>
                <w:p w14:paraId="6EFEC210">
                  <w:pPr>
                    <w:keepNext w:val="0"/>
                    <w:keepLines w:val="0"/>
                    <w:widowControl/>
                    <w:suppressLineNumbers w:val="0"/>
                    <w:jc w:val="center"/>
                    <w:textAlignment w:val="center"/>
                    <w:rPr>
                      <w:highlight w:val="none"/>
                    </w:rPr>
                  </w:pPr>
                  <w:r>
                    <w:rPr>
                      <w:rFonts w:hint="eastAsia" w:ascii="宋体" w:hAnsi="宋体" w:eastAsia="宋体" w:cs="宋体"/>
                      <w:i w:val="0"/>
                      <w:iCs w:val="0"/>
                      <w:color w:val="000000"/>
                      <w:kern w:val="0"/>
                      <w:sz w:val="21"/>
                      <w:szCs w:val="21"/>
                      <w:highlight w:val="none"/>
                      <w:u w:val="none"/>
                      <w:lang w:val="en-US" w:eastAsia="zh-CN" w:bidi="ar"/>
                    </w:rPr>
                    <w:t>1根</w:t>
                  </w:r>
                </w:p>
              </w:tc>
              <w:tc>
                <w:tcPr>
                  <w:tcW w:w="2618" w:type="dxa"/>
                  <w:noWrap w:val="0"/>
                  <w:vAlign w:val="center"/>
                </w:tcPr>
                <w:p w14:paraId="1044CF47">
                  <w:pPr>
                    <w:keepNext w:val="0"/>
                    <w:keepLines w:val="0"/>
                    <w:widowControl/>
                    <w:suppressLineNumbers w:val="0"/>
                    <w:jc w:val="center"/>
                    <w:textAlignment w:val="center"/>
                    <w:rPr>
                      <w:rFonts w:hint="eastAsia" w:ascii="宋体" w:hAnsi="宋体"/>
                      <w:szCs w:val="21"/>
                      <w:highlight w:val="none"/>
                    </w:rPr>
                  </w:pPr>
                  <w:r>
                    <w:rPr>
                      <w:rFonts w:hint="eastAsia" w:ascii="宋体" w:hAnsi="宋体" w:eastAsia="宋体" w:cs="宋体"/>
                      <w:i w:val="0"/>
                      <w:iCs w:val="0"/>
                      <w:color w:val="000000"/>
                      <w:kern w:val="0"/>
                      <w:sz w:val="21"/>
                      <w:szCs w:val="21"/>
                      <w:highlight w:val="none"/>
                      <w:u w:val="none"/>
                      <w:lang w:val="en-US" w:eastAsia="zh-CN" w:bidi="ar"/>
                    </w:rPr>
                    <w:t>约200mm，厚度≥1mm</w:t>
                  </w:r>
                </w:p>
              </w:tc>
              <w:tc>
                <w:tcPr>
                  <w:tcW w:w="1232" w:type="dxa"/>
                  <w:noWrap w:val="0"/>
                  <w:vAlign w:val="center"/>
                </w:tcPr>
                <w:p w14:paraId="692C2226">
                  <w:pPr>
                    <w:jc w:val="center"/>
                    <w:rPr>
                      <w:rFonts w:hint="eastAsia"/>
                      <w:szCs w:val="21"/>
                      <w:highlight w:val="none"/>
                    </w:rPr>
                  </w:pPr>
                </w:p>
              </w:tc>
            </w:tr>
            <w:tr w14:paraId="0FF2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29" w:type="dxa"/>
                  <w:noWrap w:val="0"/>
                  <w:vAlign w:val="center"/>
                </w:tcPr>
                <w:p w14:paraId="5F4A5255">
                  <w:pPr>
                    <w:widowControl w:val="0"/>
                    <w:numPr>
                      <w:ilvl w:val="0"/>
                      <w:numId w:val="2"/>
                    </w:numPr>
                    <w:ind w:left="53" w:leftChars="25" w:firstLine="0"/>
                    <w:jc w:val="center"/>
                    <w:textAlignment w:val="auto"/>
                    <w:rPr>
                      <w:rFonts w:ascii="宋体" w:hAnsi="宋体"/>
                      <w:szCs w:val="21"/>
                      <w:highlight w:val="none"/>
                    </w:rPr>
                  </w:pPr>
                </w:p>
              </w:tc>
              <w:tc>
                <w:tcPr>
                  <w:tcW w:w="1890" w:type="dxa"/>
                  <w:noWrap w:val="0"/>
                  <w:vAlign w:val="center"/>
                </w:tcPr>
                <w:p w14:paraId="22BDD07F">
                  <w:pPr>
                    <w:keepNext w:val="0"/>
                    <w:keepLines w:val="0"/>
                    <w:widowControl/>
                    <w:suppressLineNumbers w:val="0"/>
                    <w:jc w:val="left"/>
                    <w:textAlignment w:val="center"/>
                    <w:rPr>
                      <w:rFonts w:hint="eastAsia" w:ascii="宋体" w:hAnsi="宋体" w:cs="宋体"/>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钢制货架（横梁）</w:t>
                  </w:r>
                </w:p>
              </w:tc>
              <w:tc>
                <w:tcPr>
                  <w:tcW w:w="1178" w:type="dxa"/>
                  <w:noWrap w:val="0"/>
                  <w:vAlign w:val="center"/>
                </w:tcPr>
                <w:p w14:paraId="1BF3512A">
                  <w:pPr>
                    <w:keepNext w:val="0"/>
                    <w:keepLines w:val="0"/>
                    <w:widowControl/>
                    <w:suppressLineNumbers w:val="0"/>
                    <w:jc w:val="center"/>
                    <w:textAlignment w:val="center"/>
                    <w:rPr>
                      <w:rFonts w:hint="eastAsia" w:ascii="宋体" w:hAnsi="宋体"/>
                      <w:szCs w:val="21"/>
                      <w:highlight w:val="none"/>
                    </w:rPr>
                  </w:pPr>
                  <w:r>
                    <w:rPr>
                      <w:rFonts w:hint="eastAsia" w:ascii="宋体" w:hAnsi="宋体" w:eastAsia="宋体" w:cs="宋体"/>
                      <w:i w:val="0"/>
                      <w:iCs w:val="0"/>
                      <w:color w:val="000000"/>
                      <w:kern w:val="0"/>
                      <w:sz w:val="22"/>
                      <w:szCs w:val="22"/>
                      <w:highlight w:val="none"/>
                      <w:u w:val="none"/>
                      <w:lang w:val="en-US" w:eastAsia="zh-CN" w:bidi="ar"/>
                    </w:rPr>
                    <w:t>1根</w:t>
                  </w:r>
                </w:p>
              </w:tc>
              <w:tc>
                <w:tcPr>
                  <w:tcW w:w="2618" w:type="dxa"/>
                  <w:noWrap w:val="0"/>
                  <w:vAlign w:val="center"/>
                </w:tcPr>
                <w:p w14:paraId="3A680D1A">
                  <w:pPr>
                    <w:keepNext w:val="0"/>
                    <w:keepLines w:val="0"/>
                    <w:widowControl/>
                    <w:suppressLineNumbers w:val="0"/>
                    <w:jc w:val="center"/>
                    <w:textAlignment w:val="center"/>
                    <w:rPr>
                      <w:rFonts w:hint="eastAsia" w:ascii="宋体" w:hAnsi="宋体"/>
                      <w:szCs w:val="21"/>
                      <w:highlight w:val="none"/>
                    </w:rPr>
                  </w:pPr>
                  <w:r>
                    <w:rPr>
                      <w:rFonts w:hint="eastAsia" w:ascii="宋体" w:hAnsi="宋体" w:eastAsia="宋体" w:cs="宋体"/>
                      <w:i w:val="0"/>
                      <w:iCs w:val="0"/>
                      <w:color w:val="000000"/>
                      <w:kern w:val="0"/>
                      <w:sz w:val="22"/>
                      <w:szCs w:val="22"/>
                      <w:highlight w:val="none"/>
                      <w:u w:val="none"/>
                      <w:lang w:val="en-US" w:eastAsia="zh-CN" w:bidi="ar"/>
                    </w:rPr>
                    <w:t>约200mm，厚度≥1mm</w:t>
                  </w:r>
                </w:p>
              </w:tc>
              <w:tc>
                <w:tcPr>
                  <w:tcW w:w="1232" w:type="dxa"/>
                  <w:noWrap w:val="0"/>
                  <w:vAlign w:val="center"/>
                </w:tcPr>
                <w:p w14:paraId="683C0864">
                  <w:pPr>
                    <w:jc w:val="center"/>
                    <w:rPr>
                      <w:rFonts w:hint="eastAsia"/>
                      <w:szCs w:val="21"/>
                      <w:highlight w:val="none"/>
                    </w:rPr>
                  </w:pPr>
                </w:p>
              </w:tc>
            </w:tr>
          </w:tbl>
          <w:p w14:paraId="74AAE2AC">
            <w:pPr>
              <w:rPr>
                <w:rFonts w:hint="eastAsia" w:ascii="宋体" w:hAnsi="宋体" w:cs="宋体"/>
                <w:b/>
                <w:bCs w:val="0"/>
                <w:color w:val="000000"/>
                <w:szCs w:val="21"/>
                <w:highlight w:val="none"/>
                <w:lang w:val="en-US" w:eastAsia="zh-CN"/>
              </w:rPr>
            </w:pPr>
          </w:p>
        </w:tc>
      </w:tr>
      <w:tr w14:paraId="31D7F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1F10CCBC">
            <w:pPr>
              <w:rPr>
                <w:rStyle w:val="47"/>
                <w:rFonts w:hint="eastAsia" w:ascii="宋体" w:hAnsi="宋体" w:cs="宋体"/>
                <w:szCs w:val="21"/>
                <w:highlight w:val="none"/>
              </w:rPr>
            </w:pPr>
            <w:r>
              <w:rPr>
                <w:rStyle w:val="47"/>
                <w:rFonts w:hint="eastAsia" w:ascii="宋体" w:hAnsi="宋体" w:cs="宋体"/>
                <w:szCs w:val="21"/>
                <w:highlight w:val="none"/>
                <w:lang w:eastAsia="zh-CN"/>
              </w:rPr>
              <w:t>货物</w:t>
            </w:r>
            <w:r>
              <w:rPr>
                <w:rStyle w:val="47"/>
                <w:rFonts w:hint="eastAsia" w:ascii="宋体" w:hAnsi="宋体" w:cs="宋体"/>
                <w:szCs w:val="21"/>
                <w:highlight w:val="none"/>
              </w:rPr>
              <w:t>售后服务要求</w:t>
            </w:r>
          </w:p>
          <w:p w14:paraId="716C4A7E">
            <w:pPr>
              <w:rPr>
                <w:rFonts w:hint="eastAsia" w:ascii="宋体" w:hAnsi="宋体" w:eastAsia="宋体" w:cs="宋体"/>
                <w:bCs/>
                <w:color w:val="000000"/>
                <w:szCs w:val="21"/>
                <w:highlight w:val="none"/>
                <w:lang w:eastAsia="zh-CN"/>
              </w:rPr>
            </w:pPr>
            <w:r>
              <w:rPr>
                <w:rStyle w:val="47"/>
                <w:rFonts w:hint="eastAsia" w:ascii="宋体" w:hAnsi="宋体" w:cs="宋体"/>
                <w:szCs w:val="21"/>
                <w:highlight w:val="none"/>
                <w:lang w:eastAsia="zh-CN"/>
              </w:rPr>
              <w:t>（货物项目）：</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4A1036D4">
            <w:pPr>
              <w:rPr>
                <w:rStyle w:val="47"/>
                <w:rFonts w:hint="eastAsia" w:ascii="宋体" w:hAnsi="宋体" w:cs="宋体"/>
                <w:szCs w:val="21"/>
                <w:highlight w:val="none"/>
              </w:rPr>
            </w:pPr>
            <w:r>
              <w:rPr>
                <w:rStyle w:val="47"/>
                <w:rFonts w:hint="eastAsia" w:ascii="宋体" w:hAnsi="宋体" w:cs="宋体"/>
                <w:szCs w:val="21"/>
                <w:highlight w:val="none"/>
                <w:lang w:val="en-US" w:eastAsia="zh-CN"/>
              </w:rPr>
              <w:t>1、</w:t>
            </w:r>
            <w:r>
              <w:rPr>
                <w:rStyle w:val="47"/>
                <w:rFonts w:hint="eastAsia" w:ascii="宋体" w:hAnsi="宋体" w:cs="宋体"/>
                <w:szCs w:val="21"/>
                <w:highlight w:val="none"/>
              </w:rPr>
              <w:t>免费送货上门、安装、调试至正常使用。</w:t>
            </w:r>
          </w:p>
          <w:p w14:paraId="23DCADE7">
            <w:pPr>
              <w:rPr>
                <w:rStyle w:val="47"/>
                <w:rFonts w:hint="eastAsia" w:ascii="宋体" w:hAnsi="宋体" w:cs="宋体"/>
                <w:szCs w:val="21"/>
                <w:highlight w:val="none"/>
              </w:rPr>
            </w:pPr>
            <w:r>
              <w:rPr>
                <w:rStyle w:val="47"/>
                <w:rFonts w:hint="eastAsia" w:ascii="宋体" w:hAnsi="宋体" w:cs="宋体"/>
                <w:szCs w:val="21"/>
                <w:highlight w:val="none"/>
                <w:lang w:val="en-US" w:eastAsia="zh-CN"/>
              </w:rPr>
              <w:t>2、</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在质量保证期内应当为采购人提供以下技术支持和服务：</w:t>
            </w:r>
          </w:p>
          <w:p w14:paraId="5E80482F">
            <w:pPr>
              <w:rPr>
                <w:rStyle w:val="47"/>
                <w:rFonts w:hint="eastAsia" w:ascii="宋体" w:hAnsi="宋体" w:cs="宋体"/>
                <w:szCs w:val="21"/>
                <w:highlight w:val="none"/>
              </w:rPr>
            </w:pPr>
            <w:r>
              <w:rPr>
                <w:rStyle w:val="47"/>
                <w:rFonts w:hint="eastAsia" w:ascii="宋体" w:hAnsi="宋体" w:cs="宋体"/>
                <w:szCs w:val="21"/>
                <w:highlight w:val="none"/>
              </w:rPr>
              <w:t>2.1 电话咨询</w:t>
            </w:r>
          </w:p>
          <w:p w14:paraId="4A8C11BA">
            <w:pPr>
              <w:rPr>
                <w:rStyle w:val="47"/>
                <w:rFonts w:hint="eastAsia" w:ascii="宋体" w:hAnsi="宋体" w:cs="宋体"/>
                <w:szCs w:val="21"/>
                <w:highlight w:val="none"/>
              </w:rPr>
            </w:pP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应当为采购人提供技术援助电话，解答采购人在使用中遇到的问题，及时为采购人提出解决问题</w:t>
            </w:r>
            <w:r>
              <w:rPr>
                <w:rStyle w:val="47"/>
                <w:rFonts w:hint="eastAsia" w:ascii="宋体" w:hAnsi="宋体" w:cs="宋体"/>
                <w:szCs w:val="21"/>
                <w:highlight w:val="none"/>
              </w:rPr>
              <w:t>的建议。</w:t>
            </w:r>
          </w:p>
          <w:p w14:paraId="7D29276F">
            <w:pPr>
              <w:rPr>
                <w:rStyle w:val="47"/>
                <w:rFonts w:hint="eastAsia" w:ascii="宋体" w:hAnsi="宋体" w:cs="宋体"/>
                <w:szCs w:val="21"/>
                <w:highlight w:val="none"/>
              </w:rPr>
            </w:pPr>
            <w:r>
              <w:rPr>
                <w:rStyle w:val="47"/>
                <w:rFonts w:hint="eastAsia" w:ascii="宋体" w:hAnsi="宋体" w:cs="宋体"/>
                <w:szCs w:val="21"/>
                <w:highlight w:val="none"/>
              </w:rPr>
              <w:t>2.2 现场响应</w:t>
            </w:r>
          </w:p>
          <w:p w14:paraId="7E1D7353">
            <w:pPr>
              <w:rPr>
                <w:rStyle w:val="47"/>
                <w:rFonts w:hint="eastAsia" w:ascii="宋体" w:hAnsi="宋体" w:cs="宋体"/>
                <w:szCs w:val="21"/>
                <w:highlight w:val="none"/>
              </w:rPr>
            </w:pPr>
            <w:r>
              <w:rPr>
                <w:rStyle w:val="47"/>
                <w:rFonts w:hint="eastAsia" w:ascii="宋体" w:hAnsi="宋体" w:cs="宋体"/>
                <w:szCs w:val="21"/>
                <w:highlight w:val="none"/>
              </w:rPr>
              <w:t>采购人遇到使用或技术问题，电话咨询不能解决的，</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应在接到通知后</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的维修技术人员必须在</w:t>
            </w:r>
            <w:r>
              <w:rPr>
                <w:rStyle w:val="47"/>
                <w:rFonts w:hint="eastAsia" w:ascii="宋体" w:hAnsi="宋体" w:cs="宋体"/>
                <w:szCs w:val="21"/>
                <w:highlight w:val="none"/>
                <w:lang w:val="en-US" w:eastAsia="zh-CN"/>
              </w:rPr>
              <w:t>2小时</w:t>
            </w:r>
            <w:r>
              <w:rPr>
                <w:rStyle w:val="47"/>
                <w:rFonts w:hint="eastAsia" w:ascii="宋体" w:hAnsi="宋体" w:cs="宋体"/>
                <w:szCs w:val="21"/>
                <w:highlight w:val="none"/>
              </w:rPr>
              <w:t>内响应，</w:t>
            </w:r>
            <w:r>
              <w:rPr>
                <w:rStyle w:val="47"/>
                <w:rFonts w:hint="eastAsia" w:ascii="宋体" w:hAnsi="宋体" w:cs="宋体"/>
                <w:szCs w:val="21"/>
                <w:highlight w:val="none"/>
                <w:lang w:val="en-US" w:eastAsia="zh-CN"/>
              </w:rPr>
              <w:t>3</w:t>
            </w:r>
            <w:r>
              <w:rPr>
                <w:rStyle w:val="47"/>
                <w:rFonts w:hint="eastAsia" w:ascii="宋体" w:hAnsi="宋体" w:cs="宋体"/>
                <w:szCs w:val="21"/>
                <w:highlight w:val="none"/>
              </w:rPr>
              <w:t>小时内到达现场处理，一般故障处理时限不超过</w:t>
            </w:r>
            <w:r>
              <w:rPr>
                <w:rStyle w:val="47"/>
                <w:rFonts w:hint="eastAsia" w:ascii="宋体" w:hAnsi="宋体" w:cs="宋体"/>
                <w:szCs w:val="21"/>
                <w:highlight w:val="none"/>
                <w:lang w:val="en-US" w:eastAsia="zh-CN"/>
              </w:rPr>
              <w:t>12</w:t>
            </w:r>
            <w:r>
              <w:rPr>
                <w:rStyle w:val="47"/>
                <w:rFonts w:hint="eastAsia" w:ascii="宋体" w:hAnsi="宋体" w:cs="宋体"/>
                <w:szCs w:val="21"/>
                <w:highlight w:val="none"/>
              </w:rPr>
              <w:t>小时，重大故障处理时限不超过24小时修复。未能修复的直接更换，保证采购人正常使用。按国家及行业标准对故障进行及时处理。</w:t>
            </w:r>
          </w:p>
          <w:p w14:paraId="58D38EB4">
            <w:pPr>
              <w:rPr>
                <w:rStyle w:val="47"/>
                <w:rFonts w:hint="eastAsia" w:ascii="宋体" w:hAnsi="宋体" w:cs="宋体"/>
                <w:szCs w:val="21"/>
                <w:highlight w:val="none"/>
              </w:rPr>
            </w:pPr>
            <w:r>
              <w:rPr>
                <w:rStyle w:val="47"/>
                <w:rFonts w:hint="eastAsia" w:ascii="宋体" w:hAnsi="宋体" w:cs="宋体"/>
                <w:szCs w:val="21"/>
                <w:highlight w:val="none"/>
              </w:rPr>
              <w:t>2.3 技术升级</w:t>
            </w:r>
          </w:p>
          <w:p w14:paraId="4C739D5B">
            <w:pPr>
              <w:rPr>
                <w:rStyle w:val="47"/>
                <w:rFonts w:hint="eastAsia" w:ascii="宋体" w:hAnsi="宋体" w:cs="宋体"/>
                <w:szCs w:val="21"/>
                <w:highlight w:val="none"/>
              </w:rPr>
            </w:pPr>
            <w:r>
              <w:rPr>
                <w:rStyle w:val="47"/>
                <w:rFonts w:hint="eastAsia" w:ascii="宋体" w:hAnsi="宋体" w:cs="宋体"/>
                <w:szCs w:val="21"/>
                <w:highlight w:val="none"/>
              </w:rPr>
              <w:t>在质保期内，如果</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的产品或服务升级，</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应及时通知采购人，如采购人有相应要求，</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应对采购人购买的产品或服务进行升级。</w:t>
            </w:r>
          </w:p>
          <w:p w14:paraId="49F35F77">
            <w:pPr>
              <w:rPr>
                <w:rStyle w:val="47"/>
                <w:rFonts w:hint="eastAsia" w:ascii="宋体" w:hAnsi="宋体" w:cs="宋体"/>
                <w:szCs w:val="21"/>
                <w:highlight w:val="none"/>
              </w:rPr>
            </w:pPr>
            <w:r>
              <w:rPr>
                <w:rStyle w:val="47"/>
                <w:rFonts w:hint="eastAsia" w:ascii="宋体" w:hAnsi="宋体" w:cs="宋体"/>
                <w:szCs w:val="21"/>
                <w:highlight w:val="none"/>
                <w:lang w:val="en-US" w:eastAsia="zh-CN"/>
              </w:rPr>
              <w:t>3、</w:t>
            </w:r>
            <w:r>
              <w:rPr>
                <w:rStyle w:val="47"/>
                <w:rFonts w:hint="eastAsia" w:ascii="宋体" w:hAnsi="宋体" w:cs="宋体"/>
                <w:szCs w:val="21"/>
                <w:highlight w:val="none"/>
              </w:rPr>
              <w:t>质保期外服务要求</w:t>
            </w:r>
          </w:p>
          <w:p w14:paraId="59129271">
            <w:pPr>
              <w:rPr>
                <w:rStyle w:val="47"/>
                <w:rFonts w:hint="eastAsia" w:ascii="宋体" w:hAnsi="宋体" w:cs="宋体"/>
                <w:szCs w:val="21"/>
                <w:highlight w:val="none"/>
              </w:rPr>
            </w:pPr>
            <w:r>
              <w:rPr>
                <w:rStyle w:val="47"/>
                <w:rFonts w:hint="eastAsia" w:ascii="宋体" w:hAnsi="宋体" w:cs="宋体"/>
                <w:szCs w:val="21"/>
                <w:highlight w:val="none"/>
              </w:rPr>
              <w:t>3.1 质量保证期过后，</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应同样提供免费电话咨询服务，并应承诺提供产品或服务上门维护。</w:t>
            </w:r>
          </w:p>
          <w:p w14:paraId="6809C00A">
            <w:pPr>
              <w:rPr>
                <w:rStyle w:val="47"/>
                <w:rFonts w:hint="eastAsia" w:ascii="宋体" w:hAnsi="宋体" w:cs="宋体"/>
                <w:szCs w:val="21"/>
                <w:highlight w:val="none"/>
              </w:rPr>
            </w:pPr>
            <w:r>
              <w:rPr>
                <w:rStyle w:val="47"/>
                <w:rFonts w:hint="eastAsia" w:ascii="宋体" w:hAnsi="宋体" w:cs="宋体"/>
                <w:szCs w:val="21"/>
                <w:highlight w:val="none"/>
              </w:rPr>
              <w:t>3.2 质量保证期过后，采购人需要继续由原</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提供售后服务的，该</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和制造商应以优惠价格提供售后服务。</w:t>
            </w:r>
          </w:p>
          <w:p w14:paraId="4D7B1133">
            <w:pPr>
              <w:rPr>
                <w:rStyle w:val="47"/>
                <w:rFonts w:hint="eastAsia" w:ascii="宋体" w:hAnsi="宋体" w:cs="宋体"/>
                <w:szCs w:val="21"/>
                <w:highlight w:val="none"/>
              </w:rPr>
            </w:pPr>
            <w:r>
              <w:rPr>
                <w:rStyle w:val="47"/>
                <w:rFonts w:hint="eastAsia" w:ascii="宋体" w:hAnsi="宋体" w:cs="宋体"/>
                <w:szCs w:val="21"/>
                <w:highlight w:val="none"/>
              </w:rPr>
              <w:t>4</w:t>
            </w:r>
            <w:r>
              <w:rPr>
                <w:rStyle w:val="47"/>
                <w:rFonts w:hint="eastAsia" w:ascii="宋体" w:hAnsi="宋体" w:cs="宋体"/>
                <w:szCs w:val="21"/>
                <w:highlight w:val="none"/>
                <w:lang w:eastAsia="zh-CN"/>
              </w:rPr>
              <w:t>、</w:t>
            </w:r>
            <w:r>
              <w:rPr>
                <w:rStyle w:val="47"/>
                <w:rFonts w:hint="eastAsia" w:ascii="宋体" w:hAnsi="宋体" w:cs="宋体"/>
                <w:szCs w:val="21"/>
                <w:highlight w:val="none"/>
              </w:rPr>
              <w:t>备品备件及易损件</w:t>
            </w:r>
          </w:p>
          <w:p w14:paraId="49576821">
            <w:pPr>
              <w:rPr>
                <w:rStyle w:val="47"/>
                <w:rFonts w:hint="eastAsia" w:ascii="宋体" w:hAnsi="宋体" w:cs="宋体"/>
                <w:szCs w:val="21"/>
                <w:highlight w:val="none"/>
              </w:rPr>
            </w:pP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售后服务中，维修使用的备品备件及易损件应为原厂配件，未经采购人同意不得使用非原厂配件。</w:t>
            </w:r>
          </w:p>
          <w:p w14:paraId="4F18FC7A">
            <w:pPr>
              <w:numPr>
                <w:ilvl w:val="0"/>
                <w:numId w:val="0"/>
              </w:numPr>
              <w:rPr>
                <w:rStyle w:val="47"/>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5</w:t>
            </w:r>
            <w:r>
              <w:rPr>
                <w:rFonts w:hint="eastAsia" w:ascii="宋体" w:hAnsi="宋体" w:cs="宋体"/>
                <w:kern w:val="2"/>
                <w:sz w:val="21"/>
                <w:szCs w:val="21"/>
                <w:highlight w:val="none"/>
                <w:lang w:val="en-US" w:eastAsia="zh-CN" w:bidi="ar-SA"/>
              </w:rPr>
              <w:t>、</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有完善的安装施工队伍，实现销售、安装、售后服务一条龙。</w:t>
            </w:r>
          </w:p>
          <w:p w14:paraId="59EB01E1">
            <w:pPr>
              <w:numPr>
                <w:ilvl w:val="0"/>
                <w:numId w:val="0"/>
              </w:numPr>
              <w:rPr>
                <w:rStyle w:val="47"/>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6</w:t>
            </w:r>
            <w:r>
              <w:rPr>
                <w:rFonts w:hint="eastAsia" w:ascii="宋体" w:hAnsi="宋体" w:cs="宋体"/>
                <w:kern w:val="2"/>
                <w:sz w:val="21"/>
                <w:szCs w:val="21"/>
                <w:highlight w:val="none"/>
                <w:lang w:val="en-US" w:eastAsia="zh-CN" w:bidi="ar-SA"/>
              </w:rPr>
              <w:t>、</w:t>
            </w:r>
            <w:r>
              <w:rPr>
                <w:rStyle w:val="47"/>
                <w:rFonts w:hint="eastAsia" w:ascii="宋体" w:hAnsi="宋体" w:cs="宋体"/>
                <w:szCs w:val="21"/>
                <w:highlight w:val="none"/>
              </w:rPr>
              <w:t>培训</w:t>
            </w:r>
          </w:p>
          <w:p w14:paraId="4893F4CA">
            <w:pPr>
              <w:rPr>
                <w:rStyle w:val="47"/>
                <w:rFonts w:hint="eastAsia" w:ascii="宋体" w:hAnsi="宋体" w:cs="宋体"/>
                <w:szCs w:val="21"/>
                <w:highlight w:val="none"/>
              </w:rPr>
            </w:pP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对其提供产品或服务的使用和操作应尽培训义务。</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应提供对采购人的多次免费培训，使采购人使用人员熟练掌握所培训内容，熟练掌握全部功能。</w:t>
            </w:r>
          </w:p>
          <w:p w14:paraId="33F15082">
            <w:pPr>
              <w:rPr>
                <w:rFonts w:hint="eastAsia" w:ascii="宋体" w:hAnsi="宋体" w:cs="宋体"/>
                <w:b/>
                <w:bCs w:val="0"/>
                <w:color w:val="000000"/>
                <w:szCs w:val="21"/>
                <w:highlight w:val="none"/>
                <w:lang w:val="en-US" w:eastAsia="zh-CN"/>
              </w:rPr>
            </w:pPr>
            <w:r>
              <w:rPr>
                <w:rFonts w:hint="eastAsia"/>
                <w:szCs w:val="24"/>
                <w:highlight w:val="none"/>
              </w:rPr>
              <w:t>7</w:t>
            </w:r>
            <w:r>
              <w:rPr>
                <w:rFonts w:hint="eastAsia"/>
                <w:szCs w:val="24"/>
                <w:highlight w:val="none"/>
                <w:lang w:eastAsia="zh-CN"/>
              </w:rPr>
              <w:t>、</w:t>
            </w:r>
            <w:r>
              <w:rPr>
                <w:rFonts w:hint="eastAsia"/>
                <w:szCs w:val="24"/>
                <w:highlight w:val="none"/>
              </w:rPr>
              <w:t>提供售后服务方案，内容包括</w:t>
            </w:r>
            <w:r>
              <w:rPr>
                <w:rFonts w:hint="eastAsia"/>
                <w:szCs w:val="24"/>
                <w:highlight w:val="none"/>
                <w:lang w:eastAsia="zh-CN"/>
              </w:rPr>
              <w:t>但</w:t>
            </w:r>
            <w:r>
              <w:rPr>
                <w:rFonts w:hint="eastAsia"/>
                <w:szCs w:val="24"/>
                <w:highlight w:val="none"/>
              </w:rPr>
              <w:t>不限于项目回访计划、培训计划、安装调试的技术保障方案、产品保养与维护计划、备品及备件计划等。</w:t>
            </w:r>
          </w:p>
        </w:tc>
      </w:tr>
      <w:tr w14:paraId="74C47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31D7814D">
            <w:pPr>
              <w:shd w:val="clear" w:color="auto" w:fill="auto"/>
              <w:spacing w:line="360" w:lineRule="auto"/>
              <w:jc w:val="center"/>
              <w:rPr>
                <w:rFonts w:hint="eastAsia" w:ascii="宋体" w:hAnsi="宋体" w:cs="宋体"/>
                <w:bCs/>
                <w:color w:val="000000"/>
                <w:szCs w:val="21"/>
                <w:highlight w:val="none"/>
              </w:rPr>
            </w:pPr>
            <w:r>
              <w:rPr>
                <w:rFonts w:hint="eastAsia" w:ascii="宋体" w:hAnsi="宋体" w:cs="宋体"/>
                <w:bCs/>
                <w:color w:val="000000"/>
                <w:szCs w:val="21"/>
                <w:highlight w:val="none"/>
              </w:rPr>
              <w:t>其他要求</w:t>
            </w:r>
          </w:p>
        </w:tc>
        <w:tc>
          <w:tcPr>
            <w:tcW w:w="7327" w:type="dxa"/>
            <w:tcBorders>
              <w:top w:val="single" w:color="auto" w:sz="4" w:space="0"/>
              <w:left w:val="single" w:color="auto" w:sz="4" w:space="0"/>
              <w:bottom w:val="single" w:color="auto" w:sz="4" w:space="0"/>
              <w:right w:val="single" w:color="auto" w:sz="4" w:space="0"/>
            </w:tcBorders>
            <w:noWrap w:val="0"/>
            <w:vAlign w:val="center"/>
          </w:tcPr>
          <w:p w14:paraId="2D3CD3D8">
            <w:pPr>
              <w:rPr>
                <w:rStyle w:val="47"/>
                <w:rFonts w:hint="eastAsia" w:ascii="宋体" w:hAnsi="宋体" w:cs="宋体"/>
                <w:szCs w:val="21"/>
                <w:highlight w:val="none"/>
              </w:rPr>
            </w:pPr>
            <w:r>
              <w:rPr>
                <w:rStyle w:val="47"/>
                <w:rFonts w:hint="eastAsia" w:ascii="宋体" w:hAnsi="宋体" w:cs="宋体"/>
                <w:szCs w:val="21"/>
                <w:highlight w:val="none"/>
              </w:rPr>
              <w:t>1）本项目不接受进口产品（即通过中国海关报关验放进入中国境内且产自关境外的产品）竞标。</w:t>
            </w:r>
          </w:p>
          <w:p w14:paraId="54839240">
            <w:pPr>
              <w:jc w:val="left"/>
              <w:rPr>
                <w:rStyle w:val="47"/>
                <w:rFonts w:hint="eastAsia" w:ascii="宋体" w:hAnsi="宋体" w:cs="宋体"/>
                <w:szCs w:val="21"/>
                <w:highlight w:val="none"/>
              </w:rPr>
            </w:pPr>
            <w:r>
              <w:rPr>
                <w:rStyle w:val="47"/>
                <w:rFonts w:hint="eastAsia" w:ascii="宋体" w:hAnsi="宋体" w:cs="宋体"/>
                <w:szCs w:val="21"/>
                <w:highlight w:val="none"/>
              </w:rPr>
              <w:t>2）成交供应商提供的产品必须是原厂生产的正品全新、完整、未使用过的合格产品，产品质量符合国家相关标准和规范，具备正规合法经销渠道。所有产品除满足上表要求的技术参数外，其余均按国家标准及生产厂家出厂标准配置。成交供应商提供的产品品牌、型号、规格、技术参数、质量不符合合同规定及采购需求规定标准的，采购人有权拒收该货物。成交供应商拒绝更换货物的，采购人可单方面解除合同，并有权要求乙方赔偿经济损失。</w:t>
            </w:r>
          </w:p>
          <w:p w14:paraId="714403A0">
            <w:pPr>
              <w:pStyle w:val="10"/>
              <w:jc w:val="left"/>
              <w:rPr>
                <w:rFonts w:hint="eastAsia"/>
                <w:b/>
                <w:highlight w:val="none"/>
              </w:rPr>
            </w:pPr>
            <w:r>
              <w:rPr>
                <w:rStyle w:val="47"/>
                <w:rFonts w:hint="eastAsia" w:ascii="宋体" w:hAnsi="宋体" w:cs="宋体"/>
                <w:b/>
                <w:szCs w:val="21"/>
                <w:highlight w:val="none"/>
              </w:rPr>
              <w:t>3）</w:t>
            </w:r>
            <w:r>
              <w:rPr>
                <w:rFonts w:hint="eastAsia"/>
                <w:b/>
                <w:highlight w:val="none"/>
              </w:rPr>
              <w:t>家具的最终外形尺寸须根据实际布置进行调整，对有特殊的定制家具及修改的尺寸均包含在报价中，成交供应商在报价时应自行考虑，承诺不因定制或修改家具尺寸的因素而改变报价。</w:t>
            </w:r>
          </w:p>
          <w:p w14:paraId="16744FAA">
            <w:pPr>
              <w:pStyle w:val="10"/>
              <w:jc w:val="left"/>
              <w:rPr>
                <w:rStyle w:val="47"/>
                <w:rFonts w:hint="eastAsia" w:ascii="宋体" w:hAnsi="宋体" w:cs="宋体"/>
                <w:szCs w:val="21"/>
                <w:highlight w:val="none"/>
              </w:rPr>
            </w:pPr>
            <w:r>
              <w:rPr>
                <w:rStyle w:val="47"/>
                <w:rFonts w:hint="eastAsia" w:ascii="宋体" w:hAnsi="宋体" w:cs="宋体"/>
                <w:szCs w:val="21"/>
                <w:highlight w:val="none"/>
              </w:rPr>
              <w:t>4）成交供应商提供的货物及服务不满足采购要求而导致验收不合格的，采购人有权解除合同并追究成交供应商的法律责任。</w:t>
            </w:r>
          </w:p>
          <w:p w14:paraId="08F368F9">
            <w:pPr>
              <w:jc w:val="left"/>
              <w:rPr>
                <w:rStyle w:val="47"/>
                <w:rFonts w:hint="eastAsia" w:ascii="宋体" w:hAnsi="宋体" w:cs="宋体"/>
                <w:szCs w:val="21"/>
                <w:highlight w:val="none"/>
              </w:rPr>
            </w:pPr>
            <w:r>
              <w:rPr>
                <w:rStyle w:val="47"/>
                <w:rFonts w:hint="eastAsia" w:ascii="宋体" w:hAnsi="宋体" w:cs="宋体"/>
                <w:szCs w:val="21"/>
                <w:highlight w:val="none"/>
              </w:rPr>
              <w:t>5）成交供应商交货时应提供设备操作手册、使用指南、维修指南、服务手册和示意图等。严格按照用户指定的位置进行安装，成交供应商在施工、安装、调试等全过程中接受用户的监督。</w:t>
            </w:r>
          </w:p>
          <w:p w14:paraId="466D6FDA">
            <w:pPr>
              <w:rPr>
                <w:rStyle w:val="47"/>
                <w:rFonts w:hint="eastAsia" w:ascii="宋体" w:hAnsi="宋体" w:cs="宋体"/>
                <w:szCs w:val="21"/>
                <w:highlight w:val="none"/>
              </w:rPr>
            </w:pPr>
            <w:r>
              <w:rPr>
                <w:rStyle w:val="47"/>
                <w:rFonts w:hint="eastAsia" w:ascii="宋体" w:hAnsi="宋体" w:cs="宋体"/>
                <w:szCs w:val="21"/>
                <w:highlight w:val="none"/>
              </w:rPr>
              <w:t>6）在成交供应商承诺的保修期内，设备保修包换所需要的配件均是原厂原装，不得使用兼容产品。</w:t>
            </w:r>
          </w:p>
          <w:p w14:paraId="77B12899">
            <w:pPr>
              <w:rPr>
                <w:rStyle w:val="47"/>
                <w:rFonts w:hint="eastAsia" w:ascii="宋体" w:hAnsi="宋体" w:cs="宋体"/>
                <w:szCs w:val="21"/>
                <w:highlight w:val="none"/>
              </w:rPr>
            </w:pPr>
            <w:r>
              <w:rPr>
                <w:rStyle w:val="47"/>
                <w:rFonts w:hint="eastAsia" w:ascii="宋体" w:hAnsi="宋体" w:cs="宋体"/>
                <w:szCs w:val="21"/>
                <w:highlight w:val="none"/>
              </w:rPr>
              <w:t>7）</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应保证参与本次政府采购项目时其按要求所提供的所有证明材料和资质文件真实，如出现虚假应标情况，</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除了应接受有关部门的处罚外，还应依据《中华人民共和国政府采购法》及其实施条例的相关条款来确定赔偿金额。</w:t>
            </w:r>
          </w:p>
          <w:p w14:paraId="2621139C">
            <w:pPr>
              <w:rPr>
                <w:rStyle w:val="47"/>
                <w:rFonts w:hint="eastAsia" w:ascii="宋体" w:hAnsi="宋体" w:cs="宋体"/>
                <w:szCs w:val="21"/>
                <w:highlight w:val="none"/>
              </w:rPr>
            </w:pPr>
            <w:r>
              <w:rPr>
                <w:rStyle w:val="47"/>
                <w:rFonts w:hint="eastAsia" w:ascii="宋体" w:hAnsi="宋体" w:cs="宋体"/>
                <w:szCs w:val="21"/>
                <w:highlight w:val="none"/>
              </w:rPr>
              <w:t>8）设备到货后，成交供应商和采购人应在现场进行清点，清点过程中如果发现因包装或运输不当引起的产品外观或内部的损坏，成交供应商应负责更换，若发现错发/漏发情况，成交供应商应负责更换和补发。</w:t>
            </w:r>
          </w:p>
          <w:p w14:paraId="3DCDDDE2">
            <w:pPr>
              <w:rPr>
                <w:rStyle w:val="47"/>
                <w:rFonts w:hint="eastAsia" w:ascii="宋体" w:hAnsi="宋体" w:cs="宋体"/>
                <w:szCs w:val="21"/>
                <w:highlight w:val="none"/>
              </w:rPr>
            </w:pPr>
            <w:r>
              <w:rPr>
                <w:rStyle w:val="47"/>
                <w:rFonts w:hint="eastAsia" w:ascii="宋体" w:hAnsi="宋体" w:cs="宋体"/>
                <w:szCs w:val="21"/>
                <w:highlight w:val="none"/>
              </w:rPr>
              <w:t>9）签署采购合同后，成交供应商提供配套图纸。项目设备在安装前，成交供应商要与采购单位共同协商实施方案，两方认可后才能安装。</w:t>
            </w:r>
          </w:p>
          <w:p w14:paraId="37EA6860">
            <w:pPr>
              <w:rPr>
                <w:rStyle w:val="47"/>
                <w:rFonts w:hint="eastAsia" w:ascii="宋体" w:hAnsi="宋体" w:cs="宋体"/>
                <w:szCs w:val="21"/>
                <w:highlight w:val="none"/>
              </w:rPr>
            </w:pPr>
            <w:r>
              <w:rPr>
                <w:rStyle w:val="47"/>
                <w:rFonts w:hint="eastAsia" w:ascii="宋体" w:hAnsi="宋体" w:cs="宋体"/>
                <w:szCs w:val="21"/>
                <w:highlight w:val="none"/>
              </w:rPr>
              <w:t>10）</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应保证针对本项目的货物和服务涉及到的知识产权和所提供的相关技术资料是合法取得，并享有完整的知识产权，不会因为采购人的使用而被责令停止使用、追偿或要求赔偿损失，如出现此情况，一切经济和法律责任均由</w:t>
            </w:r>
            <w:r>
              <w:rPr>
                <w:rStyle w:val="47"/>
                <w:rFonts w:hint="eastAsia" w:ascii="宋体" w:hAnsi="宋体" w:cs="宋体"/>
                <w:szCs w:val="21"/>
                <w:highlight w:val="none"/>
                <w:lang w:eastAsia="zh-CN"/>
              </w:rPr>
              <w:t>供应商</w:t>
            </w:r>
            <w:r>
              <w:rPr>
                <w:rStyle w:val="47"/>
                <w:rFonts w:hint="eastAsia" w:ascii="宋体" w:hAnsi="宋体" w:cs="宋体"/>
                <w:szCs w:val="21"/>
                <w:highlight w:val="none"/>
              </w:rPr>
              <w:t>承担。成交供应商需在采购合同中书面承诺采购方免受第三方提出侵犯其著作权、专利权、商标权或设计权的纠纷。</w:t>
            </w:r>
          </w:p>
          <w:p w14:paraId="145854FB">
            <w:pPr>
              <w:numPr>
                <w:ilvl w:val="0"/>
                <w:numId w:val="0"/>
              </w:numPr>
              <w:shd w:val="clear" w:color="auto" w:fill="auto"/>
              <w:spacing w:line="360" w:lineRule="auto"/>
              <w:rPr>
                <w:rFonts w:hint="default"/>
                <w:highlight w:val="none"/>
                <w:lang w:val="en-US" w:eastAsia="zh-CN"/>
              </w:rPr>
            </w:pPr>
            <w:r>
              <w:rPr>
                <w:rStyle w:val="47"/>
                <w:rFonts w:hint="eastAsia" w:ascii="宋体" w:hAnsi="宋体" w:cs="宋体"/>
                <w:b/>
                <w:szCs w:val="21"/>
                <w:highlight w:val="none"/>
              </w:rPr>
              <w:t>11）本项目采购任务紧急，现特向潜在供应商作出相关提醒：供应商存在中标后无故放弃、不按合同履行等违约行为的，采购人有权按预算金额30%的赔偿金额向成交供应商追偿其所造成的损失。</w:t>
            </w:r>
          </w:p>
        </w:tc>
      </w:tr>
    </w:tbl>
    <w:p w14:paraId="79D5F257">
      <w:pPr>
        <w:pStyle w:val="31"/>
        <w:spacing w:line="360" w:lineRule="auto"/>
        <w:jc w:val="center"/>
        <w:rPr>
          <w:rFonts w:hint="eastAsia"/>
          <w:color w:val="000000"/>
          <w:highlight w:val="none"/>
        </w:rPr>
        <w:sectPr>
          <w:footerReference r:id="rId5" w:type="first"/>
          <w:footerReference r:id="rId4" w:type="default"/>
          <w:pgSz w:w="11906" w:h="16838"/>
          <w:pgMar w:top="1418" w:right="1555" w:bottom="1418" w:left="1531" w:header="851" w:footer="992" w:gutter="0"/>
          <w:pgNumType w:fmt="decimal"/>
          <w:cols w:space="720" w:num="1"/>
          <w:titlePg/>
          <w:docGrid w:type="lines" w:linePitch="312" w:charSpace="0"/>
        </w:sectPr>
      </w:pPr>
    </w:p>
    <w:tbl>
      <w:tblPr>
        <w:tblStyle w:val="25"/>
        <w:tblW w:w="854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727"/>
        <w:gridCol w:w="6200"/>
      </w:tblGrid>
      <w:tr w14:paraId="469D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424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D65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家具品名</w:t>
            </w:r>
          </w:p>
        </w:tc>
        <w:tc>
          <w:tcPr>
            <w:tcW w:w="6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386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图片参考</w:t>
            </w:r>
          </w:p>
        </w:tc>
      </w:tr>
      <w:tr w14:paraId="5E31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76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1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1.2米移动柜</w:t>
            </w: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D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38100</wp:posOffset>
                  </wp:positionV>
                  <wp:extent cx="1570355" cy="1309370"/>
                  <wp:effectExtent l="0" t="0" r="4445" b="11430"/>
                  <wp:wrapNone/>
                  <wp:docPr id="7" name="图片_15"/>
                  <wp:cNvGraphicFramePr/>
                  <a:graphic xmlns:a="http://schemas.openxmlformats.org/drawingml/2006/main">
                    <a:graphicData uri="http://schemas.openxmlformats.org/drawingml/2006/picture">
                      <pic:pic xmlns:pic="http://schemas.openxmlformats.org/drawingml/2006/picture">
                        <pic:nvPicPr>
                          <pic:cNvPr id="7" name="图片_15"/>
                          <pic:cNvPicPr/>
                        </pic:nvPicPr>
                        <pic:blipFill>
                          <a:blip r:embed="rId7"/>
                          <a:stretch>
                            <a:fillRect/>
                          </a:stretch>
                        </pic:blipFill>
                        <pic:spPr>
                          <a:xfrm>
                            <a:off x="0" y="0"/>
                            <a:ext cx="1570355" cy="1309370"/>
                          </a:xfrm>
                          <a:prstGeom prst="rect">
                            <a:avLst/>
                          </a:prstGeom>
                          <a:noFill/>
                          <a:ln>
                            <a:noFill/>
                          </a:ln>
                        </pic:spPr>
                      </pic:pic>
                    </a:graphicData>
                  </a:graphic>
                </wp:anchor>
              </w:drawing>
            </w:r>
          </w:p>
        </w:tc>
      </w:tr>
      <w:tr w14:paraId="0463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7C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4F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1.5米移动柜</w:t>
            </w: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AE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467995</wp:posOffset>
                  </wp:positionH>
                  <wp:positionV relativeFrom="paragraph">
                    <wp:posOffset>-193040</wp:posOffset>
                  </wp:positionV>
                  <wp:extent cx="1323975" cy="1769745"/>
                  <wp:effectExtent l="0" t="0" r="9525" b="8255"/>
                  <wp:wrapNone/>
                  <wp:docPr id="8" name="图片_12"/>
                  <wp:cNvGraphicFramePr/>
                  <a:graphic xmlns:a="http://schemas.openxmlformats.org/drawingml/2006/main">
                    <a:graphicData uri="http://schemas.openxmlformats.org/drawingml/2006/picture">
                      <pic:pic xmlns:pic="http://schemas.openxmlformats.org/drawingml/2006/picture">
                        <pic:nvPicPr>
                          <pic:cNvPr id="8" name="图片_12"/>
                          <pic:cNvPicPr/>
                        </pic:nvPicPr>
                        <pic:blipFill>
                          <a:blip r:embed="rId8"/>
                          <a:stretch>
                            <a:fillRect/>
                          </a:stretch>
                        </pic:blipFill>
                        <pic:spPr>
                          <a:xfrm>
                            <a:off x="0" y="0"/>
                            <a:ext cx="1323975" cy="1769745"/>
                          </a:xfrm>
                          <a:prstGeom prst="rect">
                            <a:avLst/>
                          </a:prstGeom>
                          <a:noFill/>
                          <a:ln>
                            <a:noFill/>
                          </a:ln>
                        </pic:spPr>
                      </pic:pic>
                    </a:graphicData>
                  </a:graphic>
                </wp:anchor>
              </w:drawing>
            </w:r>
          </w:p>
        </w:tc>
      </w:tr>
      <w:tr w14:paraId="0320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16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3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1.8米移动柜</w:t>
            </w: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86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695960</wp:posOffset>
                  </wp:positionH>
                  <wp:positionV relativeFrom="paragraph">
                    <wp:posOffset>135890</wp:posOffset>
                  </wp:positionV>
                  <wp:extent cx="1263015" cy="1663065"/>
                  <wp:effectExtent l="0" t="0" r="6985" b="63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9"/>
                          <a:stretch>
                            <a:fillRect/>
                          </a:stretch>
                        </pic:blipFill>
                        <pic:spPr>
                          <a:xfrm>
                            <a:off x="0" y="0"/>
                            <a:ext cx="1263015" cy="1663065"/>
                          </a:xfrm>
                          <a:prstGeom prst="rect">
                            <a:avLst/>
                          </a:prstGeom>
                          <a:noFill/>
                          <a:ln>
                            <a:noFill/>
                          </a:ln>
                        </pic:spPr>
                      </pic:pic>
                    </a:graphicData>
                  </a:graphic>
                </wp:anchor>
              </w:drawing>
            </w:r>
          </w:p>
        </w:tc>
      </w:tr>
      <w:tr w14:paraId="164A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37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2米移动柜</w:t>
            </w:r>
          </w:p>
          <w:p w14:paraId="12224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（五层）</w:t>
            </w: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AD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534670</wp:posOffset>
                  </wp:positionH>
                  <wp:positionV relativeFrom="paragraph">
                    <wp:posOffset>187960</wp:posOffset>
                  </wp:positionV>
                  <wp:extent cx="1871345" cy="1418590"/>
                  <wp:effectExtent l="0" t="0" r="8255" b="381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10"/>
                          <a:stretch>
                            <a:fillRect/>
                          </a:stretch>
                        </pic:blipFill>
                        <pic:spPr>
                          <a:xfrm>
                            <a:off x="0" y="0"/>
                            <a:ext cx="1871345" cy="1418590"/>
                          </a:xfrm>
                          <a:prstGeom prst="rect">
                            <a:avLst/>
                          </a:prstGeom>
                          <a:noFill/>
                          <a:ln>
                            <a:noFill/>
                          </a:ln>
                        </pic:spPr>
                      </pic:pic>
                    </a:graphicData>
                  </a:graphic>
                </wp:anchor>
              </w:drawing>
            </w:r>
          </w:p>
        </w:tc>
      </w:tr>
      <w:tr w14:paraId="4CDD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48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D2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2米移动柜</w:t>
            </w:r>
          </w:p>
          <w:p w14:paraId="5D6315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w:t>
            </w:r>
            <w:r>
              <w:rPr>
                <w:rFonts w:hint="eastAsia" w:ascii="宋体" w:hAnsi="宋体" w:eastAsia="宋体" w:cs="宋体"/>
                <w:i w:val="0"/>
                <w:iCs w:val="0"/>
                <w:color w:val="000000"/>
                <w:sz w:val="22"/>
                <w:szCs w:val="22"/>
                <w:highlight w:val="none"/>
                <w:u w:val="none"/>
                <w:lang w:val="en-US" w:eastAsia="zh-CN"/>
              </w:rPr>
              <w:t>四</w:t>
            </w:r>
            <w:r>
              <w:rPr>
                <w:rFonts w:hint="eastAsia" w:ascii="宋体" w:hAnsi="宋体" w:eastAsia="宋体" w:cs="宋体"/>
                <w:i w:val="0"/>
                <w:iCs w:val="0"/>
                <w:color w:val="000000"/>
                <w:sz w:val="22"/>
                <w:szCs w:val="22"/>
                <w:highlight w:val="none"/>
                <w:u w:val="none"/>
              </w:rPr>
              <w:t>层）</w:t>
            </w: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B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979805</wp:posOffset>
                  </wp:positionH>
                  <wp:positionV relativeFrom="paragraph">
                    <wp:posOffset>425450</wp:posOffset>
                  </wp:positionV>
                  <wp:extent cx="1118870" cy="1688465"/>
                  <wp:effectExtent l="0" t="0" r="11430" b="635"/>
                  <wp:wrapNone/>
                  <wp:docPr id="9" name="图片_4"/>
                  <wp:cNvGraphicFramePr/>
                  <a:graphic xmlns:a="http://schemas.openxmlformats.org/drawingml/2006/main">
                    <a:graphicData uri="http://schemas.openxmlformats.org/drawingml/2006/picture">
                      <pic:pic xmlns:pic="http://schemas.openxmlformats.org/drawingml/2006/picture">
                        <pic:nvPicPr>
                          <pic:cNvPr id="9" name="图片_4"/>
                          <pic:cNvPicPr/>
                        </pic:nvPicPr>
                        <pic:blipFill>
                          <a:blip r:embed="rId11"/>
                          <a:stretch>
                            <a:fillRect/>
                          </a:stretch>
                        </pic:blipFill>
                        <pic:spPr>
                          <a:xfrm>
                            <a:off x="0" y="0"/>
                            <a:ext cx="1118870" cy="1688465"/>
                          </a:xfrm>
                          <a:prstGeom prst="rect">
                            <a:avLst/>
                          </a:prstGeom>
                          <a:noFill/>
                          <a:ln>
                            <a:noFill/>
                          </a:ln>
                        </pic:spPr>
                      </pic:pic>
                    </a:graphicData>
                  </a:graphic>
                </wp:anchor>
              </w:drawing>
            </w:r>
          </w:p>
        </w:tc>
      </w:tr>
      <w:tr w14:paraId="5CAF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9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25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钢制货架</w:t>
            </w:r>
          </w:p>
        </w:tc>
        <w:tc>
          <w:tcPr>
            <w:tcW w:w="6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B0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965835</wp:posOffset>
                  </wp:positionH>
                  <wp:positionV relativeFrom="paragraph">
                    <wp:posOffset>71120</wp:posOffset>
                  </wp:positionV>
                  <wp:extent cx="1042670" cy="1943100"/>
                  <wp:effectExtent l="0" t="0" r="11430" b="0"/>
                  <wp:wrapNone/>
                  <wp:docPr id="10" name="图片_17"/>
                  <wp:cNvGraphicFramePr/>
                  <a:graphic xmlns:a="http://schemas.openxmlformats.org/drawingml/2006/main">
                    <a:graphicData uri="http://schemas.openxmlformats.org/drawingml/2006/picture">
                      <pic:pic xmlns:pic="http://schemas.openxmlformats.org/drawingml/2006/picture">
                        <pic:nvPicPr>
                          <pic:cNvPr id="10" name="图片_17"/>
                          <pic:cNvPicPr/>
                        </pic:nvPicPr>
                        <pic:blipFill>
                          <a:blip r:embed="rId12"/>
                          <a:stretch>
                            <a:fillRect/>
                          </a:stretch>
                        </pic:blipFill>
                        <pic:spPr>
                          <a:xfrm>
                            <a:off x="0" y="0"/>
                            <a:ext cx="1042670" cy="1943100"/>
                          </a:xfrm>
                          <a:prstGeom prst="rect">
                            <a:avLst/>
                          </a:prstGeom>
                          <a:noFill/>
                          <a:ln>
                            <a:noFill/>
                          </a:ln>
                        </pic:spPr>
                      </pic:pic>
                    </a:graphicData>
                  </a:graphic>
                </wp:anchor>
              </w:drawing>
            </w:r>
          </w:p>
        </w:tc>
      </w:tr>
    </w:tbl>
    <w:p w14:paraId="6B96019F">
      <w:pPr>
        <w:pStyle w:val="31"/>
        <w:spacing w:line="360" w:lineRule="auto"/>
        <w:jc w:val="center"/>
        <w:rPr>
          <w:rFonts w:hint="eastAsia"/>
          <w:color w:val="000000"/>
          <w:highlight w:val="none"/>
        </w:rPr>
        <w:sectPr>
          <w:pgSz w:w="11906" w:h="16838"/>
          <w:pgMar w:top="1418" w:right="1555" w:bottom="1418" w:left="1531" w:header="851" w:footer="992" w:gutter="0"/>
          <w:pgNumType w:fmt="decimal"/>
          <w:cols w:space="720" w:num="1"/>
          <w:titlePg/>
          <w:docGrid w:type="lines" w:linePitch="312" w:charSpace="0"/>
        </w:sectPr>
      </w:pPr>
    </w:p>
    <w:p w14:paraId="4A08B953">
      <w:pPr>
        <w:pStyle w:val="3"/>
        <w:shd w:val="clear" w:color="auto" w:fill="auto"/>
        <w:jc w:val="center"/>
        <w:rPr>
          <w:b w:val="0"/>
          <w:color w:val="000000"/>
          <w:highlight w:val="none"/>
        </w:rPr>
      </w:pPr>
      <w:bookmarkStart w:id="35" w:name="_Toc21028"/>
      <w:r>
        <w:rPr>
          <w:rFonts w:hint="eastAsia"/>
          <w:color w:val="000000"/>
          <w:highlight w:val="none"/>
        </w:rPr>
        <w:t>第</w:t>
      </w:r>
      <w:r>
        <w:rPr>
          <w:rFonts w:hint="eastAsia"/>
          <w:color w:val="000000"/>
          <w:highlight w:val="none"/>
          <w:lang w:eastAsia="zh-CN"/>
        </w:rPr>
        <w:t>三</w:t>
      </w:r>
      <w:r>
        <w:rPr>
          <w:rFonts w:hint="eastAsia"/>
          <w:color w:val="000000"/>
          <w:highlight w:val="none"/>
        </w:rPr>
        <w:t>章 评审标准</w:t>
      </w:r>
      <w:bookmarkEnd w:id="35"/>
    </w:p>
    <w:p w14:paraId="4A8D6AF0">
      <w:pPr>
        <w:shd w:val="clear" w:color="auto" w:fill="auto"/>
        <w:spacing w:line="360" w:lineRule="auto"/>
        <w:ind w:firstLine="643" w:firstLineChars="200"/>
        <w:jc w:val="center"/>
        <w:rPr>
          <w:rFonts w:hint="default" w:ascii="黑体" w:hAnsi="黑体" w:eastAsia="黑体" w:cs="宋体"/>
          <w:b/>
          <w:bCs/>
          <w:color w:val="000000"/>
          <w:sz w:val="32"/>
          <w:szCs w:val="32"/>
          <w:highlight w:val="none"/>
          <w:lang w:val="en-US" w:eastAsia="zh-CN"/>
        </w:rPr>
      </w:pPr>
      <w:r>
        <w:rPr>
          <w:rFonts w:hint="eastAsia" w:ascii="黑体" w:hAnsi="黑体" w:eastAsia="黑体" w:cs="宋体"/>
          <w:b/>
          <w:bCs/>
          <w:color w:val="000000"/>
          <w:sz w:val="32"/>
          <w:szCs w:val="32"/>
          <w:highlight w:val="none"/>
          <w:lang w:val="en-US" w:eastAsia="zh-CN"/>
        </w:rPr>
        <w:t>工程项目（最低评标价法）本项目不适用</w:t>
      </w:r>
    </w:p>
    <w:p w14:paraId="14D4F111">
      <w:pPr>
        <w:spacing w:before="120" w:line="320" w:lineRule="atLeast"/>
        <w:ind w:firstLine="413" w:firstLineChars="196"/>
        <w:outlineLvl w:val="9"/>
        <w:rPr>
          <w:b/>
          <w:bCs/>
          <w:kern w:val="0"/>
          <w:szCs w:val="21"/>
          <w:highlight w:val="none"/>
        </w:rPr>
      </w:pPr>
      <w:r>
        <w:rPr>
          <w:b/>
          <w:bCs/>
          <w:kern w:val="0"/>
          <w:szCs w:val="21"/>
          <w:highlight w:val="none"/>
        </w:rPr>
        <w:t>一、评审总则</w:t>
      </w:r>
    </w:p>
    <w:p w14:paraId="74DC52C4">
      <w:pPr>
        <w:suppressAutoHyphens/>
        <w:spacing w:before="120" w:line="320" w:lineRule="atLeast"/>
        <w:ind w:firstLine="420" w:firstLineChars="200"/>
        <w:rPr>
          <w:bCs/>
          <w:kern w:val="1"/>
          <w:szCs w:val="21"/>
          <w:highlight w:val="none"/>
        </w:rPr>
      </w:pPr>
      <w:r>
        <w:rPr>
          <w:rFonts w:hint="eastAsia"/>
          <w:kern w:val="1"/>
          <w:szCs w:val="21"/>
          <w:highlight w:val="none"/>
        </w:rPr>
        <w:t>1、</w:t>
      </w:r>
      <w:r>
        <w:rPr>
          <w:bCs/>
          <w:kern w:val="1"/>
          <w:szCs w:val="21"/>
          <w:highlight w:val="none"/>
        </w:rPr>
        <w:t>评审方法</w:t>
      </w:r>
    </w:p>
    <w:p w14:paraId="1AA04526">
      <w:pPr>
        <w:suppressAutoHyphens/>
        <w:spacing w:before="120" w:line="320" w:lineRule="atLeast"/>
        <w:ind w:firstLine="420" w:firstLineChars="200"/>
        <w:rPr>
          <w:kern w:val="1"/>
          <w:szCs w:val="21"/>
          <w:highlight w:val="none"/>
        </w:rPr>
      </w:pPr>
      <w:r>
        <w:rPr>
          <w:szCs w:val="21"/>
          <w:highlight w:val="none"/>
        </w:rPr>
        <w:t>采用</w:t>
      </w:r>
      <w:r>
        <w:rPr>
          <w:bCs/>
          <w:color w:val="auto"/>
          <w:kern w:val="1"/>
          <w:szCs w:val="21"/>
          <w:highlight w:val="none"/>
        </w:rPr>
        <w:t>最低评标价法</w:t>
      </w:r>
      <w:r>
        <w:rPr>
          <w:color w:val="auto"/>
          <w:szCs w:val="21"/>
          <w:highlight w:val="none"/>
        </w:rPr>
        <w:t>进</w:t>
      </w:r>
      <w:r>
        <w:rPr>
          <w:szCs w:val="21"/>
          <w:highlight w:val="none"/>
        </w:rPr>
        <w:t>行评审。</w:t>
      </w:r>
      <w:r>
        <w:rPr>
          <w:bCs/>
          <w:kern w:val="1"/>
          <w:szCs w:val="21"/>
          <w:highlight w:val="none"/>
        </w:rPr>
        <w:t>最低评标价法</w:t>
      </w:r>
      <w:r>
        <w:rPr>
          <w:szCs w:val="21"/>
          <w:highlight w:val="none"/>
        </w:rPr>
        <w:t>，是指以价格为主要因素确定成交供应商的评审方法，即在全部满足询价通知书实质性要求前提下，依据统一的价格要素评定最低报价，以提出最低报价的供应商作为成交候选供应商或者成交供应商的评审方法。</w:t>
      </w:r>
    </w:p>
    <w:p w14:paraId="3AA2143C">
      <w:pPr>
        <w:suppressAutoHyphens/>
        <w:spacing w:before="120" w:line="320" w:lineRule="atLeast"/>
        <w:ind w:firstLine="420" w:firstLineChars="200"/>
        <w:rPr>
          <w:bCs/>
          <w:kern w:val="1"/>
          <w:szCs w:val="21"/>
          <w:highlight w:val="none"/>
          <w:lang w:eastAsia="ar-SA"/>
        </w:rPr>
      </w:pPr>
      <w:r>
        <w:rPr>
          <w:kern w:val="1"/>
          <w:szCs w:val="21"/>
          <w:highlight w:val="none"/>
        </w:rPr>
        <w:t>2．</w:t>
      </w:r>
      <w:r>
        <w:rPr>
          <w:bCs/>
          <w:kern w:val="1"/>
          <w:szCs w:val="21"/>
          <w:highlight w:val="none"/>
        </w:rPr>
        <w:t>评审</w:t>
      </w:r>
      <w:r>
        <w:rPr>
          <w:bCs/>
          <w:kern w:val="1"/>
          <w:szCs w:val="21"/>
          <w:highlight w:val="none"/>
          <w:lang w:eastAsia="ar-SA"/>
        </w:rPr>
        <w:t>依据</w:t>
      </w:r>
      <w:bookmarkStart w:id="36" w:name="_Hlk19051732"/>
    </w:p>
    <w:p w14:paraId="48751004">
      <w:pPr>
        <w:suppressAutoHyphens/>
        <w:spacing w:before="120" w:line="320" w:lineRule="atLeast"/>
        <w:ind w:firstLine="420" w:firstLineChars="200"/>
        <w:rPr>
          <w:kern w:val="1"/>
          <w:szCs w:val="21"/>
          <w:highlight w:val="none"/>
        </w:rPr>
      </w:pPr>
      <w:r>
        <w:rPr>
          <w:rFonts w:hint="eastAsia"/>
          <w:bCs/>
          <w:kern w:val="1"/>
          <w:szCs w:val="21"/>
          <w:highlight w:val="none"/>
          <w:lang w:eastAsia="zh-CN"/>
        </w:rPr>
        <w:t>评审小组</w:t>
      </w:r>
      <w:r>
        <w:rPr>
          <w:bCs/>
          <w:kern w:val="1"/>
          <w:szCs w:val="21"/>
          <w:highlight w:val="none"/>
          <w:lang w:eastAsia="ar-SA"/>
        </w:rPr>
        <w:t>以</w:t>
      </w:r>
      <w:r>
        <w:rPr>
          <w:rFonts w:hint="eastAsia"/>
          <w:bCs/>
          <w:kern w:val="1"/>
          <w:szCs w:val="21"/>
          <w:highlight w:val="none"/>
          <w:lang w:eastAsia="zh-CN"/>
        </w:rPr>
        <w:t>询比文件</w:t>
      </w:r>
      <w:r>
        <w:rPr>
          <w:kern w:val="1"/>
          <w:szCs w:val="21"/>
          <w:highlight w:val="none"/>
        </w:rPr>
        <w:t>、补充文件、响应文件、澄清及答复</w:t>
      </w:r>
      <w:r>
        <w:rPr>
          <w:bCs/>
          <w:kern w:val="1"/>
          <w:szCs w:val="21"/>
          <w:highlight w:val="none"/>
          <w:lang w:eastAsia="ar-SA"/>
        </w:rPr>
        <w:t>为评</w:t>
      </w:r>
      <w:r>
        <w:rPr>
          <w:bCs/>
          <w:kern w:val="1"/>
          <w:szCs w:val="21"/>
          <w:highlight w:val="none"/>
        </w:rPr>
        <w:t>审</w:t>
      </w:r>
      <w:r>
        <w:rPr>
          <w:bCs/>
          <w:kern w:val="1"/>
          <w:szCs w:val="21"/>
          <w:highlight w:val="none"/>
          <w:lang w:eastAsia="ar-SA"/>
        </w:rPr>
        <w:t>依据。</w:t>
      </w:r>
      <w:bookmarkEnd w:id="36"/>
    </w:p>
    <w:p w14:paraId="3BCAE53E">
      <w:pPr>
        <w:suppressAutoHyphens/>
        <w:spacing w:before="120" w:line="320" w:lineRule="atLeast"/>
        <w:ind w:firstLine="420" w:firstLineChars="200"/>
        <w:rPr>
          <w:kern w:val="1"/>
          <w:szCs w:val="21"/>
          <w:highlight w:val="none"/>
        </w:rPr>
      </w:pPr>
      <w:r>
        <w:rPr>
          <w:kern w:val="1"/>
          <w:szCs w:val="21"/>
          <w:highlight w:val="none"/>
        </w:rPr>
        <w:t>3</w:t>
      </w:r>
      <w:r>
        <w:rPr>
          <w:rFonts w:hint="eastAsia"/>
          <w:kern w:val="1"/>
          <w:szCs w:val="21"/>
          <w:highlight w:val="none"/>
        </w:rPr>
        <w:t>、</w:t>
      </w:r>
      <w:r>
        <w:rPr>
          <w:rFonts w:hint="eastAsia"/>
          <w:kern w:val="1"/>
          <w:szCs w:val="21"/>
          <w:highlight w:val="none"/>
          <w:lang w:eastAsia="zh-CN"/>
        </w:rPr>
        <w:t>评审</w:t>
      </w:r>
      <w:r>
        <w:rPr>
          <w:rFonts w:hint="eastAsia"/>
          <w:kern w:val="1"/>
          <w:szCs w:val="21"/>
          <w:highlight w:val="none"/>
        </w:rPr>
        <w:t>小组</w:t>
      </w:r>
    </w:p>
    <w:p w14:paraId="3D52AE12">
      <w:pPr>
        <w:suppressAutoHyphens/>
        <w:spacing w:before="120" w:line="320" w:lineRule="atLeast"/>
        <w:ind w:firstLine="420" w:firstLineChars="200"/>
        <w:rPr>
          <w:highlight w:val="none"/>
        </w:rPr>
      </w:pPr>
      <w:r>
        <w:rPr>
          <w:bCs/>
          <w:kern w:val="1"/>
          <w:szCs w:val="21"/>
          <w:highlight w:val="none"/>
          <w:lang w:eastAsia="ar-SA"/>
        </w:rPr>
        <w:t>本采购项目</w:t>
      </w:r>
      <w:r>
        <w:rPr>
          <w:rFonts w:hint="eastAsia"/>
          <w:bCs/>
          <w:kern w:val="1"/>
          <w:szCs w:val="21"/>
          <w:highlight w:val="none"/>
          <w:lang w:eastAsia="ar-SA"/>
        </w:rPr>
        <w:t>根据医院相关规定选取评审</w:t>
      </w:r>
      <w:r>
        <w:rPr>
          <w:rFonts w:hint="eastAsia"/>
          <w:bCs/>
          <w:kern w:val="1"/>
          <w:szCs w:val="21"/>
          <w:highlight w:val="none"/>
          <w:lang w:eastAsia="zh-CN"/>
        </w:rPr>
        <w:t>小组</w:t>
      </w:r>
      <w:r>
        <w:rPr>
          <w:rFonts w:hint="eastAsia"/>
          <w:bCs/>
          <w:kern w:val="1"/>
          <w:szCs w:val="21"/>
          <w:highlight w:val="none"/>
          <w:lang w:eastAsia="ar-SA"/>
        </w:rPr>
        <w:t>，开展评标工作。</w:t>
      </w:r>
      <w:r>
        <w:rPr>
          <w:highlight w:val="none"/>
        </w:rPr>
        <w:t>小组成员应当按照客观、公正、审慎的原则，根据采购文件规定的评审程序、评审方法和评审标准进行独立评审。小组在</w:t>
      </w:r>
      <w:r>
        <w:rPr>
          <w:rFonts w:hint="eastAsia"/>
          <w:highlight w:val="none"/>
          <w:lang w:eastAsia="zh-CN"/>
        </w:rPr>
        <w:t>评审</w:t>
      </w:r>
      <w:r>
        <w:rPr>
          <w:highlight w:val="none"/>
        </w:rPr>
        <w:t>过程中，不得改变</w:t>
      </w:r>
      <w:r>
        <w:rPr>
          <w:rFonts w:hint="eastAsia"/>
          <w:highlight w:val="none"/>
          <w:lang w:eastAsia="zh-CN"/>
        </w:rPr>
        <w:t>项目需求</w:t>
      </w:r>
      <w:r>
        <w:rPr>
          <w:highlight w:val="none"/>
        </w:rPr>
        <w:t>所确定的技术和服务等要求、评审程序、评定成交的标准和合同文本等事项。</w:t>
      </w:r>
    </w:p>
    <w:p w14:paraId="45BFDE2F">
      <w:pPr>
        <w:suppressAutoHyphens/>
        <w:spacing w:before="120" w:line="320" w:lineRule="atLeast"/>
        <w:ind w:firstLine="422" w:firstLineChars="200"/>
        <w:rPr>
          <w:b/>
          <w:kern w:val="1"/>
          <w:szCs w:val="21"/>
          <w:highlight w:val="none"/>
        </w:rPr>
      </w:pPr>
      <w:r>
        <w:rPr>
          <w:rFonts w:hint="eastAsia"/>
          <w:b/>
          <w:kern w:val="1"/>
          <w:szCs w:val="21"/>
          <w:highlight w:val="none"/>
        </w:rPr>
        <w:t>二、</w:t>
      </w:r>
      <w:r>
        <w:rPr>
          <w:b/>
          <w:kern w:val="1"/>
          <w:szCs w:val="21"/>
          <w:highlight w:val="none"/>
        </w:rPr>
        <w:t>评审程序</w:t>
      </w:r>
    </w:p>
    <w:p w14:paraId="7A891F2D">
      <w:pPr>
        <w:suppressAutoHyphens/>
        <w:spacing w:before="120" w:line="320" w:lineRule="atLeast"/>
        <w:ind w:firstLine="420" w:firstLineChars="200"/>
        <w:rPr>
          <w:bCs/>
          <w:kern w:val="1"/>
          <w:szCs w:val="21"/>
          <w:highlight w:val="none"/>
        </w:rPr>
      </w:pPr>
      <w:r>
        <w:rPr>
          <w:rFonts w:hint="eastAsia"/>
          <w:bCs/>
          <w:kern w:val="1"/>
          <w:szCs w:val="21"/>
          <w:highlight w:val="none"/>
        </w:rPr>
        <w:t>1、</w:t>
      </w:r>
      <w:r>
        <w:rPr>
          <w:bCs/>
          <w:kern w:val="1"/>
          <w:szCs w:val="21"/>
          <w:highlight w:val="none"/>
        </w:rPr>
        <w:t>初步评审。</w:t>
      </w:r>
    </w:p>
    <w:p w14:paraId="705088F4">
      <w:pPr>
        <w:suppressAutoHyphens/>
        <w:spacing w:before="120" w:line="320" w:lineRule="atLeast"/>
        <w:ind w:firstLine="420" w:firstLineChars="200"/>
        <w:rPr>
          <w:bCs/>
          <w:kern w:val="1"/>
          <w:szCs w:val="21"/>
          <w:highlight w:val="none"/>
        </w:rPr>
      </w:pPr>
      <w:r>
        <w:rPr>
          <w:rFonts w:hint="eastAsia"/>
          <w:bCs/>
          <w:kern w:val="1"/>
          <w:szCs w:val="21"/>
          <w:highlight w:val="none"/>
        </w:rPr>
        <w:t>2、</w:t>
      </w:r>
      <w:r>
        <w:rPr>
          <w:bCs/>
          <w:kern w:val="1"/>
          <w:szCs w:val="21"/>
          <w:highlight w:val="none"/>
        </w:rPr>
        <w:t>详细评审。</w:t>
      </w:r>
    </w:p>
    <w:p w14:paraId="2265B772">
      <w:pPr>
        <w:suppressAutoHyphens/>
        <w:spacing w:before="120" w:line="320" w:lineRule="atLeast"/>
        <w:ind w:firstLine="420" w:firstLineChars="200"/>
        <w:rPr>
          <w:bCs/>
          <w:kern w:val="1"/>
          <w:szCs w:val="21"/>
          <w:highlight w:val="none"/>
        </w:rPr>
      </w:pPr>
      <w:r>
        <w:rPr>
          <w:rFonts w:hint="eastAsia"/>
          <w:bCs/>
          <w:kern w:val="1"/>
          <w:szCs w:val="21"/>
          <w:highlight w:val="none"/>
        </w:rPr>
        <w:t>3、</w:t>
      </w:r>
      <w:r>
        <w:rPr>
          <w:bCs/>
          <w:kern w:val="1"/>
          <w:szCs w:val="21"/>
          <w:highlight w:val="none"/>
        </w:rPr>
        <w:t>推荐成交候选供应商名单。</w:t>
      </w:r>
    </w:p>
    <w:p w14:paraId="2846AFD7">
      <w:pPr>
        <w:suppressAutoHyphens/>
        <w:spacing w:before="120" w:line="320" w:lineRule="atLeast"/>
        <w:ind w:left="2" w:leftChars="1" w:firstLine="422" w:firstLineChars="200"/>
        <w:outlineLvl w:val="9"/>
        <w:rPr>
          <w:b/>
          <w:kern w:val="1"/>
          <w:szCs w:val="21"/>
          <w:highlight w:val="none"/>
        </w:rPr>
      </w:pPr>
      <w:r>
        <w:rPr>
          <w:rFonts w:hint="eastAsia"/>
          <w:b/>
          <w:bCs/>
          <w:kern w:val="0"/>
          <w:szCs w:val="21"/>
          <w:highlight w:val="none"/>
        </w:rPr>
        <w:t>三</w:t>
      </w:r>
      <w:r>
        <w:rPr>
          <w:b/>
          <w:bCs/>
          <w:kern w:val="0"/>
          <w:szCs w:val="21"/>
          <w:highlight w:val="none"/>
          <w:lang w:eastAsia="ar-SA"/>
        </w:rPr>
        <w:t>、评</w:t>
      </w:r>
      <w:r>
        <w:rPr>
          <w:b/>
          <w:bCs/>
          <w:kern w:val="0"/>
          <w:szCs w:val="21"/>
          <w:highlight w:val="none"/>
        </w:rPr>
        <w:t>审</w:t>
      </w:r>
      <w:r>
        <w:rPr>
          <w:rFonts w:hint="eastAsia"/>
          <w:b/>
          <w:bCs/>
          <w:kern w:val="0"/>
          <w:szCs w:val="21"/>
          <w:highlight w:val="none"/>
        </w:rPr>
        <w:t>内容</w:t>
      </w:r>
    </w:p>
    <w:p w14:paraId="4F7D75EE">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1</w:t>
      </w:r>
      <w:r>
        <w:rPr>
          <w:b/>
          <w:bCs/>
          <w:kern w:val="0"/>
          <w:szCs w:val="21"/>
          <w:highlight w:val="none"/>
        </w:rPr>
        <w:t>、符合性检查</w:t>
      </w:r>
    </w:p>
    <w:p w14:paraId="4A590004">
      <w:pPr>
        <w:spacing w:before="120" w:line="320" w:lineRule="atLeast"/>
        <w:ind w:firstLine="420" w:firstLineChars="200"/>
        <w:rPr>
          <w:szCs w:val="21"/>
          <w:highlight w:val="none"/>
        </w:rPr>
      </w:pPr>
      <w:r>
        <w:rPr>
          <w:rFonts w:hint="eastAsia"/>
          <w:bCs/>
          <w:kern w:val="1"/>
          <w:szCs w:val="21"/>
          <w:highlight w:val="none"/>
          <w:lang w:eastAsia="zh-CN"/>
        </w:rPr>
        <w:t>评审小组</w:t>
      </w:r>
      <w:r>
        <w:rPr>
          <w:bCs/>
          <w:kern w:val="1"/>
          <w:szCs w:val="21"/>
          <w:highlight w:val="none"/>
        </w:rPr>
        <w:t>对</w:t>
      </w:r>
      <w:r>
        <w:rPr>
          <w:highlight w:val="none"/>
        </w:rPr>
        <w:t>供应商的</w:t>
      </w:r>
      <w:r>
        <w:rPr>
          <w:rFonts w:hint="eastAsia"/>
          <w:highlight w:val="none"/>
        </w:rPr>
        <w:t>响应</w:t>
      </w:r>
      <w:r>
        <w:rPr>
          <w:highlight w:val="none"/>
        </w:rPr>
        <w:t>文件进行符合性审查，以确定其是否满足</w:t>
      </w:r>
      <w:r>
        <w:rPr>
          <w:rFonts w:hint="eastAsia"/>
          <w:highlight w:val="none"/>
          <w:lang w:eastAsia="zh-CN"/>
        </w:rPr>
        <w:t>项目需求</w:t>
      </w:r>
      <w:r>
        <w:rPr>
          <w:highlight w:val="none"/>
        </w:rPr>
        <w:t>的实质性要求。</w:t>
      </w:r>
      <w:r>
        <w:rPr>
          <w:szCs w:val="21"/>
          <w:highlight w:val="none"/>
        </w:rPr>
        <w:t>符合性检查表如下，缺少任何一项或有任何一项不合格者，其符合性检查视为不合格。</w:t>
      </w:r>
    </w:p>
    <w:tbl>
      <w:tblPr>
        <w:tblStyle w:val="25"/>
        <w:tblpPr w:leftFromText="180" w:rightFromText="180" w:vertAnchor="text" w:horzAnchor="page" w:tblpX="1644" w:tblpY="337"/>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0"/>
        <w:gridCol w:w="4162"/>
      </w:tblGrid>
      <w:tr w14:paraId="7E1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31F134A">
            <w:pPr>
              <w:spacing w:line="240" w:lineRule="exact"/>
              <w:jc w:val="center"/>
              <w:rPr>
                <w:b/>
                <w:kern w:val="0"/>
                <w:szCs w:val="21"/>
                <w:highlight w:val="none"/>
              </w:rPr>
            </w:pPr>
            <w:r>
              <w:rPr>
                <w:b/>
                <w:kern w:val="0"/>
                <w:szCs w:val="21"/>
                <w:highlight w:val="none"/>
              </w:rPr>
              <w:t>序号</w:t>
            </w:r>
          </w:p>
        </w:tc>
        <w:tc>
          <w:tcPr>
            <w:tcW w:w="8412" w:type="dxa"/>
            <w:gridSpan w:val="2"/>
            <w:vAlign w:val="center"/>
          </w:tcPr>
          <w:p w14:paraId="2C4AB00E">
            <w:pPr>
              <w:spacing w:line="240" w:lineRule="exact"/>
              <w:jc w:val="center"/>
              <w:rPr>
                <w:b/>
                <w:kern w:val="0"/>
                <w:szCs w:val="21"/>
                <w:highlight w:val="none"/>
              </w:rPr>
            </w:pPr>
            <w:r>
              <w:rPr>
                <w:b/>
                <w:kern w:val="0"/>
                <w:szCs w:val="21"/>
                <w:highlight w:val="none"/>
              </w:rPr>
              <w:t>评审标准</w:t>
            </w:r>
          </w:p>
        </w:tc>
      </w:tr>
      <w:tr w14:paraId="4061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51E0CF11">
            <w:pPr>
              <w:spacing w:line="240" w:lineRule="exact"/>
              <w:jc w:val="center"/>
              <w:rPr>
                <w:rFonts w:hint="eastAsia" w:eastAsia="宋体"/>
                <w:szCs w:val="21"/>
                <w:highlight w:val="none"/>
                <w:lang w:val="en-US" w:eastAsia="zh-CN"/>
              </w:rPr>
            </w:pPr>
            <w:r>
              <w:rPr>
                <w:rFonts w:hint="eastAsia"/>
                <w:szCs w:val="21"/>
                <w:highlight w:val="none"/>
                <w:lang w:val="en-US" w:eastAsia="zh-CN"/>
              </w:rPr>
              <w:t>1</w:t>
            </w:r>
          </w:p>
        </w:tc>
        <w:tc>
          <w:tcPr>
            <w:tcW w:w="4250" w:type="dxa"/>
            <w:vAlign w:val="center"/>
          </w:tcPr>
          <w:p w14:paraId="08B60E31">
            <w:pPr>
              <w:spacing w:line="240" w:lineRule="exact"/>
              <w:rPr>
                <w:rFonts w:hint="eastAsia"/>
                <w:kern w:val="0"/>
                <w:szCs w:val="21"/>
                <w:highlight w:val="none"/>
              </w:rPr>
            </w:pPr>
            <w:r>
              <w:rPr>
                <w:rFonts w:hint="eastAsia"/>
                <w:kern w:val="0"/>
                <w:szCs w:val="21"/>
                <w:highlight w:val="none"/>
              </w:rPr>
              <w:t>营业执照复印件；（格式自拟）</w:t>
            </w:r>
          </w:p>
        </w:tc>
        <w:tc>
          <w:tcPr>
            <w:tcW w:w="4162" w:type="dxa"/>
            <w:vAlign w:val="center"/>
          </w:tcPr>
          <w:p w14:paraId="44F29A2B">
            <w:pPr>
              <w:spacing w:line="240" w:lineRule="exact"/>
              <w:rPr>
                <w:rFonts w:hint="eastAsia" w:eastAsia="宋体"/>
                <w:szCs w:val="21"/>
                <w:highlight w:val="none"/>
                <w:lang w:eastAsia="zh-CN"/>
              </w:rPr>
            </w:pPr>
            <w:r>
              <w:rPr>
                <w:rFonts w:hint="eastAsia"/>
                <w:szCs w:val="21"/>
                <w:highlight w:val="none"/>
                <w:lang w:eastAsia="zh-CN"/>
              </w:rPr>
              <w:t>提供营业执照复印件</w:t>
            </w:r>
          </w:p>
        </w:tc>
      </w:tr>
      <w:tr w14:paraId="7620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28D4EA2A">
            <w:pPr>
              <w:spacing w:line="240" w:lineRule="exact"/>
              <w:jc w:val="center"/>
              <w:rPr>
                <w:rFonts w:hint="eastAsia" w:eastAsia="宋体"/>
                <w:szCs w:val="21"/>
                <w:highlight w:val="none"/>
                <w:lang w:val="en-US" w:eastAsia="zh-CN"/>
              </w:rPr>
            </w:pPr>
            <w:r>
              <w:rPr>
                <w:rFonts w:hint="eastAsia"/>
                <w:szCs w:val="21"/>
                <w:highlight w:val="none"/>
                <w:lang w:val="en-US" w:eastAsia="zh-CN"/>
              </w:rPr>
              <w:t>2</w:t>
            </w:r>
          </w:p>
        </w:tc>
        <w:tc>
          <w:tcPr>
            <w:tcW w:w="4250" w:type="dxa"/>
            <w:vAlign w:val="center"/>
          </w:tcPr>
          <w:p w14:paraId="435721A0">
            <w:pPr>
              <w:spacing w:line="240" w:lineRule="exact"/>
              <w:rPr>
                <w:rFonts w:hint="eastAsia"/>
                <w:kern w:val="0"/>
                <w:szCs w:val="21"/>
                <w:highlight w:val="none"/>
              </w:rPr>
            </w:pPr>
          </w:p>
          <w:p w14:paraId="572D5211">
            <w:pPr>
              <w:spacing w:line="240" w:lineRule="exact"/>
              <w:rPr>
                <w:rFonts w:hint="eastAsia" w:eastAsia="宋体"/>
                <w:kern w:val="0"/>
                <w:szCs w:val="21"/>
                <w:highlight w:val="none"/>
                <w:lang w:eastAsia="zh-CN"/>
              </w:rPr>
            </w:pPr>
            <w:r>
              <w:rPr>
                <w:rFonts w:hint="eastAsia"/>
                <w:kern w:val="0"/>
                <w:szCs w:val="21"/>
                <w:highlight w:val="none"/>
                <w:lang w:eastAsia="zh-CN"/>
              </w:rPr>
              <w:t>专业</w:t>
            </w:r>
            <w:r>
              <w:rPr>
                <w:rFonts w:hint="eastAsia"/>
                <w:kern w:val="0"/>
                <w:szCs w:val="21"/>
                <w:highlight w:val="none"/>
              </w:rPr>
              <w:t>资质</w:t>
            </w:r>
            <w:r>
              <w:rPr>
                <w:rFonts w:hint="eastAsia"/>
                <w:kern w:val="0"/>
                <w:szCs w:val="21"/>
                <w:highlight w:val="none"/>
                <w:lang w:eastAsia="zh-CN"/>
              </w:rPr>
              <w:t>要求</w:t>
            </w:r>
            <w:r>
              <w:rPr>
                <w:rFonts w:hint="eastAsia"/>
                <w:kern w:val="0"/>
                <w:szCs w:val="21"/>
                <w:highlight w:val="none"/>
              </w:rPr>
              <w:t>，具备有效的安全生产许可证</w:t>
            </w:r>
            <w:r>
              <w:rPr>
                <w:rFonts w:hint="eastAsia"/>
                <w:kern w:val="0"/>
                <w:szCs w:val="21"/>
                <w:highlight w:val="none"/>
                <w:lang w:eastAsia="zh-CN"/>
              </w:rPr>
              <w:t>，</w:t>
            </w:r>
            <w:r>
              <w:rPr>
                <w:rFonts w:hint="eastAsia"/>
                <w:kern w:val="0"/>
                <w:szCs w:val="21"/>
                <w:highlight w:val="none"/>
              </w:rPr>
              <w:t>（格式自拟）</w:t>
            </w:r>
            <w:r>
              <w:rPr>
                <w:rFonts w:hint="eastAsia"/>
                <w:kern w:val="0"/>
                <w:szCs w:val="21"/>
                <w:highlight w:val="none"/>
                <w:lang w:eastAsia="zh-CN"/>
              </w:rPr>
              <w:t>，详见公告页</w:t>
            </w:r>
          </w:p>
        </w:tc>
        <w:tc>
          <w:tcPr>
            <w:tcW w:w="4162" w:type="dxa"/>
            <w:vAlign w:val="center"/>
          </w:tcPr>
          <w:p w14:paraId="065BEA45">
            <w:pPr>
              <w:spacing w:line="240" w:lineRule="exact"/>
              <w:rPr>
                <w:rFonts w:hint="eastAsia"/>
                <w:szCs w:val="21"/>
                <w:highlight w:val="none"/>
              </w:rPr>
            </w:pPr>
            <w:r>
              <w:rPr>
                <w:rFonts w:hint="eastAsia"/>
                <w:szCs w:val="21"/>
                <w:highlight w:val="none"/>
                <w:lang w:eastAsia="zh-CN"/>
              </w:rPr>
              <w:t>提供对应</w:t>
            </w:r>
            <w:r>
              <w:rPr>
                <w:rFonts w:hint="eastAsia"/>
                <w:kern w:val="0"/>
                <w:szCs w:val="21"/>
                <w:highlight w:val="none"/>
              </w:rPr>
              <w:t>资质，</w:t>
            </w:r>
            <w:r>
              <w:rPr>
                <w:rFonts w:hint="eastAsia"/>
                <w:kern w:val="0"/>
                <w:szCs w:val="21"/>
                <w:highlight w:val="none"/>
                <w:lang w:eastAsia="zh-CN"/>
              </w:rPr>
              <w:t>提供</w:t>
            </w:r>
            <w:r>
              <w:rPr>
                <w:rFonts w:hint="eastAsia"/>
                <w:kern w:val="0"/>
                <w:szCs w:val="21"/>
                <w:highlight w:val="none"/>
              </w:rPr>
              <w:t>有效的安全生产许可证；</w:t>
            </w:r>
          </w:p>
        </w:tc>
      </w:tr>
      <w:tr w14:paraId="393E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43F17CD">
            <w:pPr>
              <w:spacing w:line="240" w:lineRule="exact"/>
              <w:jc w:val="center"/>
              <w:rPr>
                <w:rFonts w:hint="eastAsia" w:eastAsia="宋体"/>
                <w:szCs w:val="21"/>
                <w:highlight w:val="none"/>
                <w:lang w:val="en-US" w:eastAsia="zh-CN"/>
              </w:rPr>
            </w:pPr>
            <w:r>
              <w:rPr>
                <w:rFonts w:hint="eastAsia"/>
                <w:szCs w:val="21"/>
                <w:highlight w:val="none"/>
                <w:lang w:val="en-US" w:eastAsia="zh-CN"/>
              </w:rPr>
              <w:t>3</w:t>
            </w:r>
          </w:p>
        </w:tc>
        <w:tc>
          <w:tcPr>
            <w:tcW w:w="4250" w:type="dxa"/>
            <w:vAlign w:val="center"/>
          </w:tcPr>
          <w:p w14:paraId="5C7A6981">
            <w:pPr>
              <w:spacing w:line="240" w:lineRule="exact"/>
              <w:rPr>
                <w:rFonts w:hint="eastAsia"/>
                <w:kern w:val="0"/>
                <w:szCs w:val="21"/>
                <w:highlight w:val="none"/>
              </w:rPr>
            </w:pPr>
            <w:r>
              <w:rPr>
                <w:rFonts w:hint="eastAsia"/>
                <w:kern w:val="0"/>
                <w:szCs w:val="21"/>
                <w:highlight w:val="none"/>
              </w:rPr>
              <w:t>法定代表人身份证明或法人授权委托书及被授权人身份证明和联系方式；（格式自拟）</w:t>
            </w:r>
          </w:p>
        </w:tc>
        <w:tc>
          <w:tcPr>
            <w:tcW w:w="4162" w:type="dxa"/>
            <w:vAlign w:val="center"/>
          </w:tcPr>
          <w:p w14:paraId="0E74984A">
            <w:pPr>
              <w:spacing w:line="240" w:lineRule="exact"/>
              <w:rPr>
                <w:rFonts w:hint="eastAsia"/>
                <w:szCs w:val="21"/>
                <w:highlight w:val="none"/>
              </w:rPr>
            </w:pPr>
            <w:r>
              <w:rPr>
                <w:szCs w:val="21"/>
                <w:highlight w:val="none"/>
              </w:rPr>
              <w:t>法定代表人或其授权代表人已按要求签字盖章。</w:t>
            </w:r>
          </w:p>
        </w:tc>
      </w:tr>
      <w:tr w14:paraId="1C97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90F695F">
            <w:pPr>
              <w:spacing w:line="240" w:lineRule="exact"/>
              <w:jc w:val="center"/>
              <w:rPr>
                <w:rFonts w:hint="default"/>
                <w:szCs w:val="21"/>
                <w:highlight w:val="none"/>
                <w:lang w:val="en-US" w:eastAsia="zh-CN"/>
              </w:rPr>
            </w:pPr>
            <w:r>
              <w:rPr>
                <w:rFonts w:hint="eastAsia"/>
                <w:szCs w:val="21"/>
                <w:highlight w:val="none"/>
                <w:lang w:val="en-US" w:eastAsia="zh-CN"/>
              </w:rPr>
              <w:t>4</w:t>
            </w:r>
          </w:p>
        </w:tc>
        <w:tc>
          <w:tcPr>
            <w:tcW w:w="4250" w:type="dxa"/>
            <w:vAlign w:val="center"/>
          </w:tcPr>
          <w:p w14:paraId="44EFCDEF">
            <w:pPr>
              <w:spacing w:line="240" w:lineRule="exact"/>
              <w:rPr>
                <w:rFonts w:hint="eastAsia"/>
                <w:kern w:val="0"/>
                <w:szCs w:val="21"/>
                <w:highlight w:val="none"/>
              </w:rPr>
            </w:pPr>
            <w:r>
              <w:rPr>
                <w:rFonts w:hint="eastAsia"/>
                <w:kern w:val="0"/>
                <w:szCs w:val="21"/>
                <w:highlight w:val="none"/>
              </w:rPr>
              <w:t>报价表【报价不得高于控制价，仅一次报价】；（格式详见附件2：工程量清单）</w:t>
            </w:r>
          </w:p>
        </w:tc>
        <w:tc>
          <w:tcPr>
            <w:tcW w:w="4162" w:type="dxa"/>
            <w:vAlign w:val="center"/>
          </w:tcPr>
          <w:p w14:paraId="49ECBB91">
            <w:pPr>
              <w:spacing w:line="240" w:lineRule="exact"/>
              <w:rPr>
                <w:szCs w:val="21"/>
                <w:highlight w:val="none"/>
              </w:rPr>
            </w:pPr>
            <w:r>
              <w:rPr>
                <w:szCs w:val="21"/>
                <w:highlight w:val="none"/>
              </w:rPr>
              <w:t>报价超出</w:t>
            </w:r>
            <w:r>
              <w:rPr>
                <w:rFonts w:hint="eastAsia"/>
                <w:szCs w:val="21"/>
                <w:highlight w:val="none"/>
                <w:lang w:eastAsia="zh-CN"/>
              </w:rPr>
              <w:t>控制价</w:t>
            </w:r>
            <w:r>
              <w:rPr>
                <w:szCs w:val="21"/>
                <w:highlight w:val="none"/>
              </w:rPr>
              <w:t>金额的，否决其响应</w:t>
            </w:r>
            <w:r>
              <w:rPr>
                <w:highlight w:val="none"/>
              </w:rPr>
              <w:t>。</w:t>
            </w:r>
            <w:r>
              <w:rPr>
                <w:szCs w:val="21"/>
                <w:highlight w:val="none"/>
              </w:rPr>
              <w:t>提交选择性报价的，否决其响应。</w:t>
            </w:r>
          </w:p>
        </w:tc>
      </w:tr>
      <w:tr w14:paraId="19D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1BE7F14">
            <w:pPr>
              <w:spacing w:line="240" w:lineRule="exact"/>
              <w:jc w:val="center"/>
              <w:rPr>
                <w:rFonts w:hint="default"/>
                <w:szCs w:val="21"/>
                <w:highlight w:val="none"/>
                <w:lang w:val="en-US" w:eastAsia="zh-CN"/>
              </w:rPr>
            </w:pPr>
            <w:r>
              <w:rPr>
                <w:rFonts w:hint="eastAsia"/>
                <w:szCs w:val="21"/>
                <w:highlight w:val="none"/>
                <w:lang w:val="en-US" w:eastAsia="zh-CN"/>
              </w:rPr>
              <w:t>5</w:t>
            </w:r>
          </w:p>
        </w:tc>
        <w:tc>
          <w:tcPr>
            <w:tcW w:w="4250" w:type="dxa"/>
            <w:vAlign w:val="center"/>
          </w:tcPr>
          <w:p w14:paraId="56FAABED">
            <w:pPr>
              <w:spacing w:line="240" w:lineRule="exact"/>
              <w:rPr>
                <w:rFonts w:hint="eastAsia"/>
                <w:kern w:val="0"/>
                <w:szCs w:val="21"/>
                <w:highlight w:val="none"/>
              </w:rPr>
            </w:pPr>
            <w:r>
              <w:rPr>
                <w:rFonts w:hint="eastAsia"/>
                <w:kern w:val="0"/>
                <w:szCs w:val="21"/>
                <w:highlight w:val="none"/>
              </w:rPr>
              <w:t>声明函、公司直接控股股东信息表、公司直接管理关系信息表（固定格式）</w:t>
            </w:r>
          </w:p>
        </w:tc>
        <w:tc>
          <w:tcPr>
            <w:tcW w:w="4162" w:type="dxa"/>
            <w:vAlign w:val="center"/>
          </w:tcPr>
          <w:p w14:paraId="7CE2A389">
            <w:pPr>
              <w:spacing w:line="240" w:lineRule="exact"/>
              <w:rPr>
                <w:rFonts w:hint="eastAsia" w:eastAsia="宋体"/>
                <w:szCs w:val="21"/>
                <w:highlight w:val="none"/>
                <w:lang w:eastAsia="zh-CN"/>
              </w:rPr>
            </w:pPr>
            <w:r>
              <w:rPr>
                <w:rFonts w:hint="eastAsia"/>
                <w:szCs w:val="21"/>
                <w:highlight w:val="none"/>
                <w:lang w:eastAsia="zh-CN"/>
              </w:rPr>
              <w:t>提供声明函、公司直接控股股东信息表、公司直接管理关系信息表。</w:t>
            </w:r>
          </w:p>
        </w:tc>
      </w:tr>
    </w:tbl>
    <w:p w14:paraId="5E801A40">
      <w:pPr>
        <w:spacing w:before="120" w:line="320" w:lineRule="atLeast"/>
        <w:ind w:firstLine="413" w:firstLineChars="196"/>
        <w:outlineLvl w:val="9"/>
        <w:rPr>
          <w:rFonts w:hint="eastAsia" w:eastAsia="宋体" w:cs="Times New Roman"/>
          <w:b/>
          <w:bCs/>
          <w:kern w:val="0"/>
          <w:szCs w:val="21"/>
          <w:highlight w:val="none"/>
          <w:lang w:val="en-US" w:eastAsia="zh-CN"/>
        </w:rPr>
      </w:pPr>
      <w:r>
        <w:rPr>
          <w:rFonts w:hint="eastAsia" w:eastAsia="宋体" w:cs="Times New Roman"/>
          <w:b/>
          <w:bCs/>
          <w:kern w:val="0"/>
          <w:szCs w:val="21"/>
          <w:highlight w:val="none"/>
          <w:lang w:val="en-US" w:eastAsia="zh-CN"/>
        </w:rPr>
        <w:t>2、异常低价审查程序。</w:t>
      </w:r>
    </w:p>
    <w:p w14:paraId="5490CF3D">
      <w:pPr>
        <w:numPr>
          <w:ilvl w:val="0"/>
          <w:numId w:val="0"/>
        </w:numPr>
        <w:shd w:val="clear" w:color="auto" w:fill="auto"/>
        <w:spacing w:line="360" w:lineRule="auto"/>
        <w:ind w:leftChars="0"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依据规定《财政部关于推动解决政府采购异常低价问题的通知》（财库〔2026〕2号）规定，</w:t>
      </w:r>
    </w:p>
    <w:p w14:paraId="2DBD2434">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评审小组在评审过程中，出现下列情形之一的，评审小组应当启动异常低价投标（响应）审查程序： </w:t>
      </w:r>
    </w:p>
    <w:p w14:paraId="47DAAC39">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（1）投标（响应）报价低于全部通过符合性审查供应商投标（响应）报价平均值50%的，即投标（响应）报价&lt;全部通过符合性审查供应商投标（响应）报价平均值×50%； </w:t>
      </w:r>
    </w:p>
    <w:p w14:paraId="4C08EC3B">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（2）投标（响应）报价低于通过符合性审查的次低报价供应商投标（响应）报价50%的，即投标（响应）报价&lt;通过符合性审查的次低报价供应商投标（响应）报价×50%； </w:t>
      </w:r>
    </w:p>
    <w:p w14:paraId="6EACBDEB">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（3）投标（响应）报价低于采购项目最高限价45%的，即投标（响应）报价&lt;采购项目最高限价×45%； </w:t>
      </w:r>
    </w:p>
    <w:p w14:paraId="0D5724E8">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（4）评审委员会基于专业判断，认为供应商报价过低，有可能影响产品质量或者不能诚信履约的其他情形。 </w:t>
      </w:r>
    </w:p>
    <w:p w14:paraId="36AAA5DA">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触发审查的供应商应在评审小组规定的时间内（原则上不超过1小时，竞标供应商应提前做好充分准备）提交书面说明，并提供必要的证明材料，包括但不限于：</w:t>
      </w:r>
    </w:p>
    <w:p w14:paraId="41EAE9E8">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（1）详细的成本构成分析：包括人工、材料、机械、管理费、利润、税金等分项报价明细；</w:t>
      </w:r>
    </w:p>
    <w:p w14:paraId="4053616E">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（2）拟采用的主要材料品牌、型号、产地及供应商报价单；</w:t>
      </w:r>
    </w:p>
    <w:p w14:paraId="7D6C110D">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（3）拟投入本项目的关键人员、设备清单及来源说明；</w:t>
      </w:r>
    </w:p>
    <w:p w14:paraId="274B7CA3">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（4）能够证明其报价合理性的其他材料（如类似项目合同、采购凭证等）。</w:t>
      </w:r>
    </w:p>
    <w:p w14:paraId="54D372E2">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评审小组结合项目具体特点、市场行情、供应商的说明及证明材料，对其报价是否低于成本、是否影响工程质量和合同履约进行集体评议。</w:t>
      </w:r>
    </w:p>
    <w:p w14:paraId="2332FDDD">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若供应商未能按时提交说明和证明材料，或提交的材料不足以合理证明其报价能够保证工程质量并诚信履约，经评审小组过半数成员认定，其响应文件将按无效响应处理。</w:t>
      </w:r>
    </w:p>
    <w:p w14:paraId="656A2ECA">
      <w:pPr>
        <w:spacing w:before="120" w:line="320" w:lineRule="atLeast"/>
        <w:ind w:firstLine="411" w:firstLineChars="196"/>
        <w:outlineLvl w:val="9"/>
        <w:rPr>
          <w:rFonts w:hint="default"/>
          <w:b/>
          <w:bCs/>
          <w:kern w:val="0"/>
          <w:szCs w:val="21"/>
          <w:highlight w:val="none"/>
          <w:lang w:val="en-US" w:eastAsia="zh-CN"/>
        </w:rPr>
      </w:pPr>
      <w:r>
        <w:rPr>
          <w:rFonts w:hint="eastAsia" w:ascii="宋体" w:hAnsi="宋体" w:cs="宋体"/>
          <w:bCs/>
          <w:color w:val="000000"/>
          <w:szCs w:val="21"/>
          <w:highlight w:val="none"/>
          <w:lang w:val="en-US" w:eastAsia="zh-CN"/>
        </w:rPr>
        <w:t>若供应商的说明和证明材料经评审小组评议认为合理、可信，其报价继续参与后续评审。</w:t>
      </w:r>
    </w:p>
    <w:p w14:paraId="30051A6D">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3</w:t>
      </w:r>
      <w:r>
        <w:rPr>
          <w:b/>
          <w:bCs/>
          <w:kern w:val="0"/>
          <w:szCs w:val="21"/>
          <w:highlight w:val="none"/>
        </w:rPr>
        <w:t>、串通投标的认定</w:t>
      </w:r>
    </w:p>
    <w:p w14:paraId="384621FF">
      <w:pPr>
        <w:spacing w:before="120" w:line="320" w:lineRule="atLeast"/>
        <w:ind w:firstLine="420" w:firstLineChars="200"/>
        <w:rPr>
          <w:highlight w:val="none"/>
        </w:rPr>
      </w:pPr>
      <w:r>
        <w:rPr>
          <w:rFonts w:hint="eastAsia"/>
          <w:highlight w:val="none"/>
          <w:lang w:eastAsia="zh-CN"/>
        </w:rPr>
        <w:t>评审小组</w:t>
      </w:r>
      <w:r>
        <w:rPr>
          <w:highlight w:val="none"/>
        </w:rPr>
        <w:t>须根据</w:t>
      </w:r>
      <w:r>
        <w:rPr>
          <w:rFonts w:hint="eastAsia"/>
          <w:highlight w:val="none"/>
        </w:rPr>
        <w:t>以下</w:t>
      </w:r>
      <w:r>
        <w:rPr>
          <w:highlight w:val="none"/>
        </w:rPr>
        <w:t>规定评审</w:t>
      </w:r>
      <w:r>
        <w:rPr>
          <w:bCs/>
          <w:kern w:val="0"/>
          <w:szCs w:val="21"/>
          <w:highlight w:val="none"/>
        </w:rPr>
        <w:t>供应商是否有串通投标的行为，并按规定判定响应是否有效</w:t>
      </w:r>
      <w:r>
        <w:rPr>
          <w:highlight w:val="none"/>
        </w:rPr>
        <w:t>。</w:t>
      </w:r>
    </w:p>
    <w:p w14:paraId="565F2C9F">
      <w:pPr>
        <w:spacing w:before="120" w:line="320" w:lineRule="atLeast"/>
        <w:ind w:firstLine="420" w:firstLineChars="200"/>
        <w:rPr>
          <w:szCs w:val="21"/>
          <w:highlight w:val="none"/>
        </w:rPr>
      </w:pPr>
      <w:r>
        <w:rPr>
          <w:rFonts w:hint="eastAsia"/>
          <w:szCs w:val="21"/>
          <w:highlight w:val="none"/>
        </w:rPr>
        <w:t>（1）</w:t>
      </w:r>
      <w:r>
        <w:rPr>
          <w:szCs w:val="21"/>
          <w:highlight w:val="none"/>
        </w:rPr>
        <w:t>有下列情形之一的视为投标人（供应商）相互串通投标，投标（响应）文件将被视为无效。</w:t>
      </w:r>
      <w:r>
        <w:rPr>
          <w:kern w:val="1"/>
          <w:szCs w:val="21"/>
          <w:highlight w:val="none"/>
        </w:rPr>
        <w:t>（本款所述投标等同于询价或响应，投标人等同于供应商）。</w:t>
      </w:r>
    </w:p>
    <w:p w14:paraId="43B69A84">
      <w:pPr>
        <w:spacing w:before="120" w:line="320" w:lineRule="atLeast"/>
        <w:ind w:firstLine="420" w:firstLineChars="200"/>
        <w:rPr>
          <w:szCs w:val="21"/>
          <w:highlight w:val="none"/>
        </w:rPr>
      </w:pPr>
      <w:r>
        <w:rPr>
          <w:rFonts w:hint="eastAsia" w:ascii="宋体" w:hAnsi="宋体" w:cs="宋体"/>
          <w:szCs w:val="21"/>
          <w:highlight w:val="none"/>
        </w:rPr>
        <w:t>①</w:t>
      </w:r>
      <w:r>
        <w:rPr>
          <w:szCs w:val="21"/>
          <w:highlight w:val="none"/>
        </w:rPr>
        <w:t>不同供应商的投标文件由同一单位或者个人编制；或不同供应商报名的IP地址一致的；</w:t>
      </w:r>
    </w:p>
    <w:p w14:paraId="0C437AA8">
      <w:pPr>
        <w:spacing w:before="120" w:line="320" w:lineRule="atLeast"/>
        <w:ind w:firstLine="420" w:firstLineChars="200"/>
        <w:rPr>
          <w:szCs w:val="21"/>
          <w:highlight w:val="none"/>
        </w:rPr>
      </w:pPr>
      <w:r>
        <w:rPr>
          <w:rFonts w:hint="eastAsia"/>
          <w:szCs w:val="21"/>
          <w:highlight w:val="none"/>
        </w:rPr>
        <w:t>②</w:t>
      </w:r>
      <w:r>
        <w:rPr>
          <w:szCs w:val="21"/>
          <w:highlight w:val="none"/>
        </w:rPr>
        <w:t>不同供应商委托同一单位或者个人办理投标事宜；</w:t>
      </w:r>
    </w:p>
    <w:p w14:paraId="3458A0A8">
      <w:pPr>
        <w:spacing w:before="120" w:line="320" w:lineRule="atLeast"/>
        <w:ind w:firstLine="420" w:firstLineChars="200"/>
        <w:rPr>
          <w:szCs w:val="21"/>
          <w:highlight w:val="none"/>
        </w:rPr>
      </w:pPr>
      <w:r>
        <w:rPr>
          <w:rFonts w:hint="eastAsia"/>
          <w:szCs w:val="21"/>
          <w:highlight w:val="none"/>
        </w:rPr>
        <w:t>③</w:t>
      </w:r>
      <w:r>
        <w:rPr>
          <w:szCs w:val="21"/>
          <w:highlight w:val="none"/>
        </w:rPr>
        <w:t>不同的供应商的投标文件载明的项目管理员为同一个人；</w:t>
      </w:r>
    </w:p>
    <w:p w14:paraId="397AD41A">
      <w:pPr>
        <w:spacing w:before="120" w:line="320" w:lineRule="atLeast"/>
        <w:ind w:firstLine="420" w:firstLineChars="200"/>
        <w:rPr>
          <w:szCs w:val="21"/>
          <w:highlight w:val="none"/>
        </w:rPr>
      </w:pPr>
      <w:r>
        <w:rPr>
          <w:rFonts w:hint="eastAsia"/>
          <w:szCs w:val="21"/>
          <w:highlight w:val="none"/>
        </w:rPr>
        <w:t>④</w:t>
      </w:r>
      <w:r>
        <w:rPr>
          <w:szCs w:val="21"/>
          <w:highlight w:val="none"/>
        </w:rPr>
        <w:t>不同供应商的投标文件异常一致或投标报价呈规律性差异；</w:t>
      </w:r>
    </w:p>
    <w:p w14:paraId="69423285">
      <w:pPr>
        <w:spacing w:before="120" w:line="320" w:lineRule="atLeast"/>
        <w:ind w:firstLine="420" w:firstLineChars="200"/>
        <w:rPr>
          <w:szCs w:val="21"/>
          <w:highlight w:val="none"/>
        </w:rPr>
      </w:pPr>
      <w:r>
        <w:rPr>
          <w:rFonts w:hint="eastAsia"/>
          <w:szCs w:val="21"/>
          <w:highlight w:val="none"/>
        </w:rPr>
        <w:t>⑤</w:t>
      </w:r>
      <w:r>
        <w:rPr>
          <w:szCs w:val="21"/>
          <w:highlight w:val="none"/>
        </w:rPr>
        <w:t>不同供应商的投标文件相互混装；</w:t>
      </w:r>
    </w:p>
    <w:p w14:paraId="3C452B7B">
      <w:pPr>
        <w:spacing w:before="120" w:line="320" w:lineRule="atLeast"/>
        <w:ind w:firstLine="420" w:firstLineChars="200"/>
        <w:rPr>
          <w:szCs w:val="21"/>
          <w:highlight w:val="none"/>
        </w:rPr>
      </w:pPr>
      <w:r>
        <w:rPr>
          <w:rFonts w:hint="eastAsia"/>
          <w:szCs w:val="21"/>
          <w:highlight w:val="none"/>
        </w:rPr>
        <w:t>⑥</w:t>
      </w:r>
      <w:r>
        <w:rPr>
          <w:szCs w:val="21"/>
          <w:highlight w:val="none"/>
        </w:rPr>
        <w:t>不同供应商的保证金从同一单位或者个人账户转出。</w:t>
      </w:r>
    </w:p>
    <w:p w14:paraId="69CA47AD">
      <w:pPr>
        <w:spacing w:before="120" w:line="320" w:lineRule="atLeast"/>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w:t>
      </w:r>
      <w:r>
        <w:rPr>
          <w:szCs w:val="21"/>
          <w:highlight w:val="none"/>
        </w:rPr>
        <w:t>投标人有下列情形之一的，属于恶意串通行为，投标（响应）文件将被视为无效。（本款所述投标等同于询价或响应，中标人等同于成交供应商）</w:t>
      </w:r>
    </w:p>
    <w:p w14:paraId="7F51D336">
      <w:pPr>
        <w:spacing w:before="120" w:line="320" w:lineRule="atLeast"/>
        <w:ind w:firstLine="420" w:firstLineChars="200"/>
        <w:rPr>
          <w:szCs w:val="21"/>
          <w:highlight w:val="none"/>
        </w:rPr>
      </w:pPr>
      <w:r>
        <w:rPr>
          <w:rFonts w:hint="eastAsia"/>
          <w:szCs w:val="21"/>
          <w:highlight w:val="none"/>
        </w:rPr>
        <w:t>①</w:t>
      </w:r>
      <w:r>
        <w:rPr>
          <w:szCs w:val="21"/>
          <w:highlight w:val="none"/>
        </w:rPr>
        <w:t>供应商直接或者间接从采购人或者采购代理机构处获得其他供应商的相关信息并修改其投标文件或者响应文件；</w:t>
      </w:r>
    </w:p>
    <w:p w14:paraId="4464EC7D">
      <w:pPr>
        <w:spacing w:before="120" w:line="320" w:lineRule="atLeast"/>
        <w:ind w:firstLine="420" w:firstLineChars="200"/>
        <w:rPr>
          <w:szCs w:val="21"/>
          <w:highlight w:val="none"/>
        </w:rPr>
      </w:pPr>
      <w:r>
        <w:rPr>
          <w:rFonts w:hint="eastAsia"/>
          <w:szCs w:val="21"/>
          <w:highlight w:val="none"/>
        </w:rPr>
        <w:t>②</w:t>
      </w:r>
      <w:r>
        <w:rPr>
          <w:szCs w:val="21"/>
          <w:highlight w:val="none"/>
        </w:rPr>
        <w:t>供应商按照采购人或者采购代理机构的授意撤换、修改投标文件或者响应文件；</w:t>
      </w:r>
    </w:p>
    <w:p w14:paraId="6146F48B">
      <w:pPr>
        <w:spacing w:before="120" w:line="320" w:lineRule="atLeast"/>
        <w:ind w:firstLine="420" w:firstLineChars="200"/>
        <w:rPr>
          <w:szCs w:val="21"/>
          <w:highlight w:val="none"/>
        </w:rPr>
      </w:pPr>
      <w:r>
        <w:rPr>
          <w:rFonts w:hint="eastAsia"/>
          <w:szCs w:val="21"/>
          <w:highlight w:val="none"/>
        </w:rPr>
        <w:t>③</w:t>
      </w:r>
      <w:r>
        <w:rPr>
          <w:szCs w:val="21"/>
          <w:highlight w:val="none"/>
        </w:rPr>
        <w:t>供应商之间协商报价、技术方案等投标文件或者响应文件的实质性内容；</w:t>
      </w:r>
    </w:p>
    <w:p w14:paraId="7666B200">
      <w:pPr>
        <w:spacing w:before="120" w:line="320" w:lineRule="atLeast"/>
        <w:ind w:firstLine="420" w:firstLineChars="200"/>
        <w:rPr>
          <w:szCs w:val="21"/>
          <w:highlight w:val="none"/>
        </w:rPr>
      </w:pPr>
      <w:r>
        <w:rPr>
          <w:rFonts w:hint="eastAsia"/>
          <w:szCs w:val="21"/>
          <w:highlight w:val="none"/>
        </w:rPr>
        <w:t>④</w:t>
      </w:r>
      <w:r>
        <w:rPr>
          <w:szCs w:val="21"/>
          <w:highlight w:val="none"/>
        </w:rPr>
        <w:t>属于同一集团、协会、商会等组织成员的供应商按照该组织要求协同参加采购活动；</w:t>
      </w:r>
    </w:p>
    <w:p w14:paraId="6C465549">
      <w:pPr>
        <w:spacing w:before="120" w:line="320" w:lineRule="atLeast"/>
        <w:ind w:firstLine="420" w:firstLineChars="200"/>
        <w:rPr>
          <w:szCs w:val="21"/>
          <w:highlight w:val="none"/>
        </w:rPr>
      </w:pPr>
      <w:r>
        <w:rPr>
          <w:rFonts w:hint="eastAsia"/>
          <w:szCs w:val="21"/>
          <w:highlight w:val="none"/>
        </w:rPr>
        <w:t>⑤</w:t>
      </w:r>
      <w:r>
        <w:rPr>
          <w:szCs w:val="21"/>
          <w:highlight w:val="none"/>
        </w:rPr>
        <w:t>供应商之间事先约定一致抬高或者压低投标报价，或者在招标项目中事先约定轮流以高价位或者低价位中标，或者事先约定由某一特定供应商中标，然后再参加投标；</w:t>
      </w:r>
    </w:p>
    <w:p w14:paraId="70BEEE6E">
      <w:pPr>
        <w:spacing w:before="120" w:line="320" w:lineRule="atLeast"/>
        <w:ind w:firstLine="420" w:firstLineChars="200"/>
        <w:rPr>
          <w:szCs w:val="21"/>
          <w:highlight w:val="none"/>
        </w:rPr>
      </w:pPr>
      <w:r>
        <w:rPr>
          <w:rFonts w:hint="eastAsia"/>
          <w:szCs w:val="21"/>
          <w:highlight w:val="none"/>
        </w:rPr>
        <w:t>⑥</w:t>
      </w:r>
      <w:r>
        <w:rPr>
          <w:szCs w:val="21"/>
          <w:highlight w:val="none"/>
        </w:rPr>
        <w:t>供应商之间商定部分供应商放弃参加采购活动或者放弃中标；</w:t>
      </w:r>
    </w:p>
    <w:p w14:paraId="6C4E1311">
      <w:pPr>
        <w:spacing w:before="120" w:line="320" w:lineRule="atLeast"/>
        <w:ind w:firstLine="420" w:firstLineChars="200"/>
        <w:rPr>
          <w:szCs w:val="21"/>
          <w:highlight w:val="none"/>
        </w:rPr>
      </w:pPr>
      <w:r>
        <w:rPr>
          <w:rFonts w:hint="eastAsia"/>
          <w:szCs w:val="21"/>
          <w:highlight w:val="none"/>
        </w:rPr>
        <w:t>⑦</w:t>
      </w:r>
      <w:r>
        <w:rPr>
          <w:szCs w:val="21"/>
          <w:highlight w:val="none"/>
        </w:rPr>
        <w:t>供应商与采购人或者采购代理机构之间、供应商相互之间，为谋求特定供应商中标或者排斥其他供应商的其他串通行为。</w:t>
      </w:r>
    </w:p>
    <w:p w14:paraId="3CB5DE34">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4</w:t>
      </w:r>
      <w:r>
        <w:rPr>
          <w:b/>
          <w:bCs/>
          <w:kern w:val="0"/>
          <w:szCs w:val="21"/>
          <w:highlight w:val="none"/>
        </w:rPr>
        <w:t>、</w:t>
      </w:r>
      <w:r>
        <w:rPr>
          <w:rFonts w:hint="eastAsia"/>
          <w:b/>
          <w:bCs/>
          <w:kern w:val="0"/>
          <w:szCs w:val="21"/>
          <w:highlight w:val="none"/>
        </w:rPr>
        <w:t>响应</w:t>
      </w:r>
      <w:r>
        <w:rPr>
          <w:b/>
          <w:bCs/>
          <w:kern w:val="0"/>
          <w:szCs w:val="21"/>
          <w:highlight w:val="none"/>
        </w:rPr>
        <w:t>有效性的认定</w:t>
      </w:r>
    </w:p>
    <w:p w14:paraId="15453090">
      <w:pPr>
        <w:spacing w:before="120" w:line="320" w:lineRule="atLeast"/>
        <w:ind w:firstLine="420" w:firstLineChars="200"/>
        <w:rPr>
          <w:szCs w:val="21"/>
          <w:highlight w:val="none"/>
        </w:rPr>
      </w:pPr>
      <w:bookmarkStart w:id="37" w:name="_Hlk19113301"/>
      <w:r>
        <w:rPr>
          <w:szCs w:val="21"/>
          <w:highlight w:val="none"/>
        </w:rPr>
        <w:t>在符合性审查、商务和技术评估时，如发现下列情形之一的，响应文件将被视为无效：</w:t>
      </w:r>
    </w:p>
    <w:p w14:paraId="0E0B1945">
      <w:pPr>
        <w:spacing w:before="120" w:line="320" w:lineRule="atLeast"/>
        <w:ind w:firstLine="420" w:firstLineChars="200"/>
        <w:rPr>
          <w:color w:val="000000"/>
          <w:highlight w:val="none"/>
        </w:rPr>
      </w:pPr>
      <w:r>
        <w:rPr>
          <w:rFonts w:hint="eastAsia"/>
          <w:szCs w:val="21"/>
          <w:highlight w:val="none"/>
        </w:rPr>
        <w:t>①</w:t>
      </w:r>
      <w:r>
        <w:rPr>
          <w:color w:val="000000"/>
          <w:highlight w:val="none"/>
        </w:rPr>
        <w:t>响应文件未要求签署、盖章的；</w:t>
      </w:r>
    </w:p>
    <w:p w14:paraId="5325D64A">
      <w:pPr>
        <w:spacing w:before="120" w:line="320" w:lineRule="atLeast"/>
        <w:ind w:firstLine="420" w:firstLineChars="200"/>
        <w:rPr>
          <w:rStyle w:val="48"/>
          <w:color w:val="000000"/>
          <w:highlight w:val="none"/>
        </w:rPr>
      </w:pPr>
      <w:r>
        <w:rPr>
          <w:rFonts w:hint="eastAsia"/>
          <w:szCs w:val="21"/>
          <w:highlight w:val="none"/>
        </w:rPr>
        <w:t>②</w:t>
      </w:r>
      <w:r>
        <w:rPr>
          <w:color w:val="000000"/>
          <w:highlight w:val="none"/>
        </w:rPr>
        <w:t>报价超过</w:t>
      </w:r>
      <w:r>
        <w:rPr>
          <w:rFonts w:hint="eastAsia"/>
          <w:color w:val="000000"/>
          <w:highlight w:val="none"/>
          <w:lang w:eastAsia="zh-CN"/>
        </w:rPr>
        <w:t>项目需求</w:t>
      </w:r>
      <w:r>
        <w:rPr>
          <w:color w:val="000000"/>
          <w:highlight w:val="none"/>
        </w:rPr>
        <w:t>中规定的</w:t>
      </w:r>
      <w:r>
        <w:rPr>
          <w:rFonts w:hint="eastAsia"/>
          <w:color w:val="000000"/>
          <w:highlight w:val="none"/>
          <w:lang w:eastAsia="zh-CN"/>
        </w:rPr>
        <w:t>控制价</w:t>
      </w:r>
      <w:r>
        <w:rPr>
          <w:color w:val="000000"/>
          <w:highlight w:val="none"/>
        </w:rPr>
        <w:t>金额的；</w:t>
      </w:r>
    </w:p>
    <w:p w14:paraId="224B6026">
      <w:pPr>
        <w:spacing w:before="120" w:line="320" w:lineRule="atLeast"/>
        <w:ind w:firstLine="420" w:firstLineChars="200"/>
        <w:rPr>
          <w:szCs w:val="21"/>
          <w:highlight w:val="none"/>
        </w:rPr>
      </w:pPr>
      <w:r>
        <w:rPr>
          <w:rFonts w:hint="eastAsia"/>
          <w:szCs w:val="21"/>
          <w:highlight w:val="none"/>
        </w:rPr>
        <w:t>③评审过程中发现响应文件中提供虚假材料的；</w:t>
      </w:r>
    </w:p>
    <w:p w14:paraId="381A3291">
      <w:pPr>
        <w:spacing w:before="120" w:line="320" w:lineRule="atLeast"/>
        <w:ind w:firstLine="420" w:firstLineChars="200"/>
        <w:rPr>
          <w:szCs w:val="21"/>
          <w:highlight w:val="none"/>
        </w:rPr>
      </w:pPr>
      <w:r>
        <w:rPr>
          <w:rFonts w:hint="eastAsia" w:ascii="宋体" w:hAnsi="宋体"/>
          <w:szCs w:val="21"/>
          <w:highlight w:val="none"/>
        </w:rPr>
        <w:t>④</w:t>
      </w:r>
      <w:r>
        <w:rPr>
          <w:szCs w:val="21"/>
          <w:highlight w:val="none"/>
        </w:rPr>
        <w:t>法律、法规和询价通知书规定的其他无效情形。</w:t>
      </w:r>
    </w:p>
    <w:bookmarkEnd w:id="37"/>
    <w:p w14:paraId="2D8ACECB">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5</w:t>
      </w:r>
      <w:r>
        <w:rPr>
          <w:b/>
          <w:bCs/>
          <w:kern w:val="0"/>
          <w:szCs w:val="21"/>
          <w:highlight w:val="none"/>
        </w:rPr>
        <w:t>、成交候选供应商确定原则</w:t>
      </w:r>
    </w:p>
    <w:p w14:paraId="241ACD82">
      <w:pPr>
        <w:spacing w:before="120" w:line="320" w:lineRule="atLeast"/>
        <w:ind w:firstLine="420" w:firstLineChars="200"/>
        <w:rPr>
          <w:szCs w:val="21"/>
          <w:highlight w:val="none"/>
        </w:rPr>
      </w:pPr>
      <w:r>
        <w:rPr>
          <w:rFonts w:hint="eastAsia"/>
          <w:szCs w:val="21"/>
          <w:highlight w:val="none"/>
          <w:lang w:eastAsia="zh-CN"/>
        </w:rPr>
        <w:t>评审小组</w:t>
      </w:r>
      <w:r>
        <w:rPr>
          <w:szCs w:val="21"/>
          <w:highlight w:val="none"/>
        </w:rPr>
        <w:t>按价格由低到高的顺序排列推荐3名以上供应商为本项目（或分标）的成交候选</w:t>
      </w:r>
      <w:r>
        <w:rPr>
          <w:rFonts w:hint="eastAsia"/>
          <w:szCs w:val="21"/>
          <w:highlight w:val="none"/>
        </w:rPr>
        <w:t>供应商</w:t>
      </w:r>
      <w:r>
        <w:rPr>
          <w:szCs w:val="21"/>
          <w:highlight w:val="none"/>
        </w:rPr>
        <w:t>，排名第一的为第一成交候选</w:t>
      </w:r>
      <w:r>
        <w:rPr>
          <w:rFonts w:hint="eastAsia"/>
          <w:szCs w:val="21"/>
          <w:highlight w:val="none"/>
        </w:rPr>
        <w:t>供应商</w:t>
      </w:r>
      <w:r>
        <w:rPr>
          <w:szCs w:val="21"/>
          <w:highlight w:val="none"/>
        </w:rPr>
        <w:t>。若供应商的响应报价价格相同，则按服务条款的优劣顺序排列。若仍相同的，由</w:t>
      </w:r>
      <w:r>
        <w:rPr>
          <w:rFonts w:hint="eastAsia"/>
          <w:szCs w:val="21"/>
          <w:highlight w:val="none"/>
          <w:lang w:eastAsia="zh-CN"/>
        </w:rPr>
        <w:t>评审小组</w:t>
      </w:r>
      <w:r>
        <w:rPr>
          <w:szCs w:val="21"/>
          <w:highlight w:val="none"/>
        </w:rPr>
        <w:t>采用记名投票方式确定。</w:t>
      </w:r>
    </w:p>
    <w:p w14:paraId="5207DB04">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6</w:t>
      </w:r>
      <w:r>
        <w:rPr>
          <w:b/>
          <w:bCs/>
          <w:kern w:val="0"/>
          <w:szCs w:val="21"/>
          <w:highlight w:val="none"/>
        </w:rPr>
        <w:t>、评</w:t>
      </w:r>
      <w:r>
        <w:rPr>
          <w:rFonts w:hint="eastAsia"/>
          <w:b/>
          <w:bCs/>
          <w:kern w:val="0"/>
          <w:szCs w:val="21"/>
          <w:highlight w:val="none"/>
        </w:rPr>
        <w:t>审</w:t>
      </w:r>
      <w:r>
        <w:rPr>
          <w:b/>
          <w:bCs/>
          <w:kern w:val="0"/>
          <w:szCs w:val="21"/>
          <w:highlight w:val="none"/>
        </w:rPr>
        <w:t>争议处理</w:t>
      </w:r>
    </w:p>
    <w:p w14:paraId="51FE9574">
      <w:pPr>
        <w:spacing w:before="120" w:line="320" w:lineRule="atLeast"/>
        <w:ind w:firstLine="420" w:firstLineChars="200"/>
        <w:rPr>
          <w:rFonts w:hint="eastAsia" w:ascii="Times New Roman" w:hAnsi="Times New Roman"/>
          <w:b/>
          <w:color w:val="auto"/>
          <w:sz w:val="36"/>
          <w:highlight w:val="none"/>
        </w:rPr>
      </w:pPr>
      <w:r>
        <w:rPr>
          <w:rFonts w:hint="eastAsia"/>
          <w:highlight w:val="none"/>
          <w:lang w:eastAsia="zh-CN"/>
        </w:rPr>
        <w:t>评审小组</w:t>
      </w:r>
      <w:r>
        <w:rPr>
          <w:highlight w:val="none"/>
        </w:rPr>
        <w:t>成员对需要共同认定的事项存在争议的，应当按照少数服从多数的原则作出结论。持不同意见的</w:t>
      </w:r>
      <w:r>
        <w:rPr>
          <w:rFonts w:hint="eastAsia"/>
          <w:highlight w:val="none"/>
          <w:lang w:eastAsia="zh-CN"/>
        </w:rPr>
        <w:t>评审小组</w:t>
      </w:r>
      <w:r>
        <w:rPr>
          <w:highlight w:val="none"/>
        </w:rPr>
        <w:t>成员应当在评</w:t>
      </w:r>
      <w:r>
        <w:rPr>
          <w:rFonts w:hint="eastAsia"/>
          <w:highlight w:val="none"/>
        </w:rPr>
        <w:t>审</w:t>
      </w:r>
      <w:r>
        <w:rPr>
          <w:highlight w:val="none"/>
        </w:rPr>
        <w:t>报告上签署不同意见及理由，否则视为同意评</w:t>
      </w:r>
      <w:r>
        <w:rPr>
          <w:rFonts w:hint="eastAsia"/>
          <w:highlight w:val="none"/>
        </w:rPr>
        <w:t>审</w:t>
      </w:r>
      <w:r>
        <w:rPr>
          <w:highlight w:val="none"/>
        </w:rPr>
        <w:t>报告。</w:t>
      </w:r>
    </w:p>
    <w:p w14:paraId="3EACDC18">
      <w:pPr>
        <w:rPr>
          <w:rFonts w:ascii="仿宋" w:hAnsi="仿宋" w:eastAsia="仿宋" w:cs="仿宋"/>
          <w:bCs/>
          <w:sz w:val="28"/>
          <w:szCs w:val="28"/>
          <w:highlight w:val="none"/>
        </w:rPr>
      </w:pPr>
      <w:r>
        <w:rPr>
          <w:rFonts w:ascii="仿宋" w:hAnsi="仿宋" w:eastAsia="仿宋" w:cs="仿宋"/>
          <w:bCs/>
          <w:sz w:val="28"/>
          <w:szCs w:val="28"/>
          <w:highlight w:val="none"/>
        </w:rPr>
        <w:br w:type="page"/>
      </w:r>
    </w:p>
    <w:p w14:paraId="3397B6C0">
      <w:pPr>
        <w:shd w:val="clear" w:color="auto" w:fill="auto"/>
        <w:spacing w:line="360" w:lineRule="auto"/>
        <w:ind w:firstLine="643" w:firstLineChars="200"/>
        <w:jc w:val="center"/>
        <w:rPr>
          <w:rFonts w:hint="eastAsia" w:ascii="黑体" w:hAnsi="黑体" w:eastAsia="黑体" w:cs="宋体"/>
          <w:b/>
          <w:bCs/>
          <w:color w:val="000000"/>
          <w:sz w:val="32"/>
          <w:szCs w:val="32"/>
          <w:highlight w:val="none"/>
          <w:lang w:val="en-US" w:eastAsia="zh-CN"/>
        </w:rPr>
      </w:pPr>
      <w:r>
        <w:rPr>
          <w:rFonts w:hint="eastAsia" w:ascii="黑体" w:hAnsi="黑体" w:eastAsia="黑体" w:cs="宋体"/>
          <w:b/>
          <w:bCs/>
          <w:color w:val="000000"/>
          <w:sz w:val="32"/>
          <w:szCs w:val="32"/>
          <w:highlight w:val="none"/>
          <w:lang w:val="en-US" w:eastAsia="zh-CN"/>
        </w:rPr>
        <w:t>货物项目（综合评分法）</w:t>
      </w:r>
    </w:p>
    <w:p w14:paraId="0337BE7F">
      <w:pPr>
        <w:spacing w:before="120" w:line="320" w:lineRule="atLeast"/>
        <w:ind w:firstLine="413" w:firstLineChars="196"/>
        <w:outlineLvl w:val="9"/>
        <w:rPr>
          <w:b/>
          <w:bCs/>
          <w:kern w:val="0"/>
          <w:szCs w:val="21"/>
          <w:highlight w:val="none"/>
        </w:rPr>
      </w:pPr>
      <w:r>
        <w:rPr>
          <w:b/>
          <w:bCs/>
          <w:kern w:val="0"/>
          <w:szCs w:val="21"/>
          <w:highlight w:val="none"/>
        </w:rPr>
        <w:t>一、评审总则</w:t>
      </w:r>
    </w:p>
    <w:p w14:paraId="63DF0732">
      <w:pPr>
        <w:suppressAutoHyphens/>
        <w:spacing w:before="120" w:line="320" w:lineRule="atLeast"/>
        <w:ind w:firstLine="420" w:firstLineChars="200"/>
        <w:rPr>
          <w:bCs/>
          <w:kern w:val="1"/>
          <w:szCs w:val="21"/>
          <w:highlight w:val="none"/>
        </w:rPr>
      </w:pPr>
      <w:r>
        <w:rPr>
          <w:rFonts w:hint="eastAsia"/>
          <w:kern w:val="1"/>
          <w:szCs w:val="21"/>
          <w:highlight w:val="none"/>
        </w:rPr>
        <w:t>1、</w:t>
      </w:r>
      <w:r>
        <w:rPr>
          <w:bCs/>
          <w:kern w:val="1"/>
          <w:szCs w:val="21"/>
          <w:highlight w:val="none"/>
        </w:rPr>
        <w:t>评审方法</w:t>
      </w:r>
    </w:p>
    <w:p w14:paraId="691F508A">
      <w:pPr>
        <w:spacing w:line="360" w:lineRule="auto"/>
        <w:ind w:firstLine="420" w:firstLineChars="200"/>
        <w:rPr>
          <w:kern w:val="1"/>
          <w:szCs w:val="21"/>
          <w:highlight w:val="none"/>
        </w:rPr>
      </w:pPr>
      <w:r>
        <w:rPr>
          <w:szCs w:val="21"/>
          <w:highlight w:val="none"/>
        </w:rPr>
        <w:t>采用</w:t>
      </w:r>
      <w:r>
        <w:rPr>
          <w:rFonts w:hint="eastAsia"/>
          <w:szCs w:val="21"/>
          <w:highlight w:val="none"/>
        </w:rPr>
        <w:t>综合评分法</w:t>
      </w:r>
      <w:r>
        <w:rPr>
          <w:color w:val="auto"/>
          <w:szCs w:val="21"/>
          <w:highlight w:val="none"/>
        </w:rPr>
        <w:t>进</w:t>
      </w:r>
      <w:r>
        <w:rPr>
          <w:szCs w:val="21"/>
          <w:highlight w:val="none"/>
        </w:rPr>
        <w:t>行评</w:t>
      </w:r>
      <w:r>
        <w:rPr>
          <w:rFonts w:hint="eastAsia" w:eastAsia="宋体" w:cs="Times New Roman"/>
          <w:szCs w:val="21"/>
          <w:highlight w:val="none"/>
        </w:rPr>
        <w:t>审。综合评分法，是指以响应文件为评审依据，对供应商的报价、技术方案、售后服务方案、商务及业绩方面内容</w:t>
      </w:r>
      <w:r>
        <w:rPr>
          <w:rFonts w:hint="eastAsia" w:eastAsia="宋体" w:cs="Times New Roman"/>
          <w:szCs w:val="21"/>
          <w:highlight w:val="none"/>
          <w:lang w:eastAsia="zh-CN"/>
        </w:rPr>
        <w:t>进行评审打分，</w:t>
      </w:r>
      <w:r>
        <w:rPr>
          <w:rFonts w:hint="eastAsia" w:eastAsia="宋体" w:cs="Times New Roman"/>
          <w:highlight w:val="none"/>
          <w:lang w:val="en-US" w:eastAsia="zh-CN"/>
        </w:rPr>
        <w:t>采购小组将根据总得分由高到低排列次序并推荐成交候选人的评审方法</w:t>
      </w:r>
      <w:r>
        <w:rPr>
          <w:rFonts w:hint="eastAsia" w:eastAsia="宋体" w:cs="Times New Roman"/>
          <w:szCs w:val="21"/>
          <w:highlight w:val="none"/>
        </w:rPr>
        <w:t>。</w:t>
      </w:r>
    </w:p>
    <w:p w14:paraId="1D0636F6">
      <w:pPr>
        <w:suppressAutoHyphens/>
        <w:spacing w:before="120" w:line="320" w:lineRule="atLeast"/>
        <w:ind w:firstLine="420" w:firstLineChars="200"/>
        <w:rPr>
          <w:bCs/>
          <w:kern w:val="1"/>
          <w:szCs w:val="21"/>
          <w:highlight w:val="none"/>
          <w:lang w:eastAsia="ar-SA"/>
        </w:rPr>
      </w:pPr>
      <w:r>
        <w:rPr>
          <w:kern w:val="1"/>
          <w:szCs w:val="21"/>
          <w:highlight w:val="none"/>
        </w:rPr>
        <w:t>2．</w:t>
      </w:r>
      <w:r>
        <w:rPr>
          <w:bCs/>
          <w:kern w:val="1"/>
          <w:szCs w:val="21"/>
          <w:highlight w:val="none"/>
        </w:rPr>
        <w:t>评审</w:t>
      </w:r>
      <w:r>
        <w:rPr>
          <w:bCs/>
          <w:kern w:val="1"/>
          <w:szCs w:val="21"/>
          <w:highlight w:val="none"/>
          <w:lang w:eastAsia="ar-SA"/>
        </w:rPr>
        <w:t>依据</w:t>
      </w:r>
    </w:p>
    <w:p w14:paraId="1EB04064">
      <w:pPr>
        <w:suppressAutoHyphens/>
        <w:spacing w:before="120" w:line="320" w:lineRule="atLeast"/>
        <w:ind w:firstLine="420" w:firstLineChars="200"/>
        <w:rPr>
          <w:kern w:val="1"/>
          <w:szCs w:val="21"/>
          <w:highlight w:val="none"/>
        </w:rPr>
      </w:pPr>
      <w:r>
        <w:rPr>
          <w:rFonts w:hint="eastAsia"/>
          <w:bCs/>
          <w:kern w:val="1"/>
          <w:szCs w:val="21"/>
          <w:highlight w:val="none"/>
          <w:lang w:eastAsia="zh-CN"/>
        </w:rPr>
        <w:t>评审小组</w:t>
      </w:r>
      <w:r>
        <w:rPr>
          <w:bCs/>
          <w:kern w:val="1"/>
          <w:szCs w:val="21"/>
          <w:highlight w:val="none"/>
          <w:lang w:eastAsia="ar-SA"/>
        </w:rPr>
        <w:t>以</w:t>
      </w:r>
      <w:r>
        <w:rPr>
          <w:rFonts w:hint="eastAsia"/>
          <w:bCs/>
          <w:kern w:val="1"/>
          <w:szCs w:val="21"/>
          <w:highlight w:val="none"/>
          <w:lang w:eastAsia="zh-CN"/>
        </w:rPr>
        <w:t>询比文件</w:t>
      </w:r>
      <w:r>
        <w:rPr>
          <w:kern w:val="1"/>
          <w:szCs w:val="21"/>
          <w:highlight w:val="none"/>
        </w:rPr>
        <w:t>、补充文件、响应文件、澄清及答复</w:t>
      </w:r>
      <w:r>
        <w:rPr>
          <w:bCs/>
          <w:kern w:val="1"/>
          <w:szCs w:val="21"/>
          <w:highlight w:val="none"/>
          <w:lang w:eastAsia="ar-SA"/>
        </w:rPr>
        <w:t>为评</w:t>
      </w:r>
      <w:r>
        <w:rPr>
          <w:bCs/>
          <w:kern w:val="1"/>
          <w:szCs w:val="21"/>
          <w:highlight w:val="none"/>
        </w:rPr>
        <w:t>审</w:t>
      </w:r>
      <w:r>
        <w:rPr>
          <w:bCs/>
          <w:kern w:val="1"/>
          <w:szCs w:val="21"/>
          <w:highlight w:val="none"/>
          <w:lang w:eastAsia="ar-SA"/>
        </w:rPr>
        <w:t>依据。</w:t>
      </w:r>
    </w:p>
    <w:p w14:paraId="59FEFD65">
      <w:pPr>
        <w:suppressAutoHyphens/>
        <w:spacing w:before="120" w:line="320" w:lineRule="atLeast"/>
        <w:ind w:firstLine="420" w:firstLineChars="200"/>
        <w:rPr>
          <w:kern w:val="1"/>
          <w:szCs w:val="21"/>
          <w:highlight w:val="none"/>
        </w:rPr>
      </w:pPr>
      <w:r>
        <w:rPr>
          <w:kern w:val="1"/>
          <w:szCs w:val="21"/>
          <w:highlight w:val="none"/>
        </w:rPr>
        <w:t>3</w:t>
      </w:r>
      <w:r>
        <w:rPr>
          <w:rFonts w:hint="eastAsia"/>
          <w:kern w:val="1"/>
          <w:szCs w:val="21"/>
          <w:highlight w:val="none"/>
        </w:rPr>
        <w:t>、</w:t>
      </w:r>
      <w:r>
        <w:rPr>
          <w:rFonts w:hint="eastAsia"/>
          <w:kern w:val="1"/>
          <w:szCs w:val="21"/>
          <w:highlight w:val="none"/>
          <w:lang w:eastAsia="zh-CN"/>
        </w:rPr>
        <w:t>评审</w:t>
      </w:r>
      <w:r>
        <w:rPr>
          <w:rFonts w:hint="eastAsia"/>
          <w:kern w:val="1"/>
          <w:szCs w:val="21"/>
          <w:highlight w:val="none"/>
        </w:rPr>
        <w:t>小组</w:t>
      </w:r>
    </w:p>
    <w:p w14:paraId="0C93FD4F">
      <w:pPr>
        <w:suppressAutoHyphens/>
        <w:spacing w:before="120" w:line="320" w:lineRule="atLeast"/>
        <w:ind w:firstLine="420" w:firstLineChars="200"/>
        <w:rPr>
          <w:highlight w:val="none"/>
        </w:rPr>
      </w:pPr>
      <w:r>
        <w:rPr>
          <w:bCs/>
          <w:kern w:val="1"/>
          <w:szCs w:val="21"/>
          <w:highlight w:val="none"/>
          <w:lang w:eastAsia="ar-SA"/>
        </w:rPr>
        <w:t>本采购项目</w:t>
      </w:r>
      <w:r>
        <w:rPr>
          <w:rFonts w:hint="eastAsia"/>
          <w:bCs/>
          <w:kern w:val="1"/>
          <w:szCs w:val="21"/>
          <w:highlight w:val="none"/>
          <w:lang w:eastAsia="ar-SA"/>
        </w:rPr>
        <w:t>根据医院相关规定选取评审</w:t>
      </w:r>
      <w:r>
        <w:rPr>
          <w:rFonts w:hint="eastAsia"/>
          <w:bCs/>
          <w:kern w:val="1"/>
          <w:szCs w:val="21"/>
          <w:highlight w:val="none"/>
          <w:lang w:eastAsia="zh-CN"/>
        </w:rPr>
        <w:t>小组</w:t>
      </w:r>
      <w:r>
        <w:rPr>
          <w:rFonts w:hint="eastAsia"/>
          <w:bCs/>
          <w:kern w:val="1"/>
          <w:szCs w:val="21"/>
          <w:highlight w:val="none"/>
          <w:lang w:eastAsia="ar-SA"/>
        </w:rPr>
        <w:t>，开展评标工作。</w:t>
      </w:r>
      <w:r>
        <w:rPr>
          <w:highlight w:val="none"/>
        </w:rPr>
        <w:t>小组成员应当按照客观、公正、审慎的原则，根据采购文件规定的评审程序、评审方法和评审标准进行独立评审。小组在</w:t>
      </w:r>
      <w:r>
        <w:rPr>
          <w:rFonts w:hint="eastAsia"/>
          <w:highlight w:val="none"/>
          <w:lang w:eastAsia="zh-CN"/>
        </w:rPr>
        <w:t>评审</w:t>
      </w:r>
      <w:r>
        <w:rPr>
          <w:highlight w:val="none"/>
        </w:rPr>
        <w:t>过程中，不得改变</w:t>
      </w:r>
      <w:r>
        <w:rPr>
          <w:rFonts w:hint="eastAsia"/>
          <w:highlight w:val="none"/>
          <w:lang w:eastAsia="zh-CN"/>
        </w:rPr>
        <w:t>项目需求</w:t>
      </w:r>
      <w:r>
        <w:rPr>
          <w:highlight w:val="none"/>
        </w:rPr>
        <w:t>所确定的技术和服务等要求、评审程序、评定成交的标准和合同文本等事项。</w:t>
      </w:r>
    </w:p>
    <w:p w14:paraId="608EC37B">
      <w:pPr>
        <w:suppressAutoHyphens/>
        <w:spacing w:before="120" w:line="320" w:lineRule="atLeast"/>
        <w:ind w:firstLine="422" w:firstLineChars="200"/>
        <w:rPr>
          <w:b/>
          <w:kern w:val="1"/>
          <w:szCs w:val="21"/>
          <w:highlight w:val="none"/>
        </w:rPr>
      </w:pPr>
      <w:r>
        <w:rPr>
          <w:rFonts w:hint="eastAsia"/>
          <w:b/>
          <w:kern w:val="1"/>
          <w:szCs w:val="21"/>
          <w:highlight w:val="none"/>
        </w:rPr>
        <w:t>二、</w:t>
      </w:r>
      <w:r>
        <w:rPr>
          <w:b/>
          <w:kern w:val="1"/>
          <w:szCs w:val="21"/>
          <w:highlight w:val="none"/>
        </w:rPr>
        <w:t>评审程序</w:t>
      </w:r>
    </w:p>
    <w:p w14:paraId="01656B92">
      <w:pPr>
        <w:suppressAutoHyphens/>
        <w:spacing w:before="120" w:line="320" w:lineRule="atLeast"/>
        <w:ind w:firstLine="420" w:firstLineChars="200"/>
        <w:rPr>
          <w:bCs/>
          <w:kern w:val="1"/>
          <w:szCs w:val="21"/>
          <w:highlight w:val="none"/>
        </w:rPr>
      </w:pPr>
      <w:r>
        <w:rPr>
          <w:rFonts w:hint="eastAsia"/>
          <w:bCs/>
          <w:kern w:val="1"/>
          <w:szCs w:val="21"/>
          <w:highlight w:val="none"/>
        </w:rPr>
        <w:t>1、</w:t>
      </w:r>
      <w:r>
        <w:rPr>
          <w:bCs/>
          <w:kern w:val="1"/>
          <w:szCs w:val="21"/>
          <w:highlight w:val="none"/>
        </w:rPr>
        <w:t>初步评审。</w:t>
      </w:r>
    </w:p>
    <w:p w14:paraId="422E5369">
      <w:pPr>
        <w:suppressAutoHyphens/>
        <w:spacing w:before="120" w:line="320" w:lineRule="atLeast"/>
        <w:ind w:firstLine="420" w:firstLineChars="200"/>
        <w:rPr>
          <w:bCs/>
          <w:kern w:val="1"/>
          <w:szCs w:val="21"/>
          <w:highlight w:val="none"/>
        </w:rPr>
      </w:pPr>
      <w:r>
        <w:rPr>
          <w:rFonts w:hint="eastAsia"/>
          <w:bCs/>
          <w:kern w:val="1"/>
          <w:szCs w:val="21"/>
          <w:highlight w:val="none"/>
        </w:rPr>
        <w:t>2、</w:t>
      </w:r>
      <w:r>
        <w:rPr>
          <w:bCs/>
          <w:kern w:val="1"/>
          <w:szCs w:val="21"/>
          <w:highlight w:val="none"/>
        </w:rPr>
        <w:t>详细评审。</w:t>
      </w:r>
    </w:p>
    <w:p w14:paraId="1B78B7D8">
      <w:pPr>
        <w:suppressAutoHyphens/>
        <w:spacing w:before="120" w:line="320" w:lineRule="atLeast"/>
        <w:ind w:firstLine="420" w:firstLineChars="200"/>
        <w:rPr>
          <w:bCs/>
          <w:kern w:val="1"/>
          <w:szCs w:val="21"/>
          <w:highlight w:val="none"/>
        </w:rPr>
      </w:pPr>
      <w:r>
        <w:rPr>
          <w:rFonts w:hint="eastAsia"/>
          <w:bCs/>
          <w:kern w:val="1"/>
          <w:szCs w:val="21"/>
          <w:highlight w:val="none"/>
        </w:rPr>
        <w:t>3、</w:t>
      </w:r>
      <w:r>
        <w:rPr>
          <w:bCs/>
          <w:kern w:val="1"/>
          <w:szCs w:val="21"/>
          <w:highlight w:val="none"/>
        </w:rPr>
        <w:t>推荐成交候选供应商名单。</w:t>
      </w:r>
    </w:p>
    <w:p w14:paraId="4639036B">
      <w:pPr>
        <w:suppressAutoHyphens/>
        <w:spacing w:before="120" w:line="320" w:lineRule="atLeast"/>
        <w:ind w:left="2" w:leftChars="1" w:firstLine="422" w:firstLineChars="200"/>
        <w:outlineLvl w:val="9"/>
        <w:rPr>
          <w:b/>
          <w:kern w:val="1"/>
          <w:szCs w:val="21"/>
          <w:highlight w:val="none"/>
        </w:rPr>
      </w:pPr>
      <w:r>
        <w:rPr>
          <w:rFonts w:hint="eastAsia"/>
          <w:b/>
          <w:bCs/>
          <w:kern w:val="0"/>
          <w:szCs w:val="21"/>
          <w:highlight w:val="none"/>
        </w:rPr>
        <w:t>三</w:t>
      </w:r>
      <w:r>
        <w:rPr>
          <w:b/>
          <w:bCs/>
          <w:kern w:val="0"/>
          <w:szCs w:val="21"/>
          <w:highlight w:val="none"/>
          <w:lang w:eastAsia="ar-SA"/>
        </w:rPr>
        <w:t>、评</w:t>
      </w:r>
      <w:r>
        <w:rPr>
          <w:b/>
          <w:bCs/>
          <w:kern w:val="0"/>
          <w:szCs w:val="21"/>
          <w:highlight w:val="none"/>
        </w:rPr>
        <w:t>审</w:t>
      </w:r>
      <w:r>
        <w:rPr>
          <w:rFonts w:hint="eastAsia"/>
          <w:b/>
          <w:bCs/>
          <w:kern w:val="0"/>
          <w:szCs w:val="21"/>
          <w:highlight w:val="none"/>
        </w:rPr>
        <w:t>内容</w:t>
      </w:r>
    </w:p>
    <w:p w14:paraId="78F28F26">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1</w:t>
      </w:r>
      <w:r>
        <w:rPr>
          <w:b/>
          <w:bCs/>
          <w:kern w:val="0"/>
          <w:szCs w:val="21"/>
          <w:highlight w:val="none"/>
        </w:rPr>
        <w:t>、符合性检查</w:t>
      </w:r>
    </w:p>
    <w:p w14:paraId="5AE5C7B9">
      <w:pPr>
        <w:spacing w:before="120" w:line="320" w:lineRule="atLeast"/>
        <w:ind w:firstLine="420" w:firstLineChars="200"/>
        <w:rPr>
          <w:szCs w:val="21"/>
          <w:highlight w:val="none"/>
        </w:rPr>
      </w:pPr>
      <w:r>
        <w:rPr>
          <w:rFonts w:hint="eastAsia"/>
          <w:bCs/>
          <w:kern w:val="1"/>
          <w:szCs w:val="21"/>
          <w:highlight w:val="none"/>
          <w:lang w:eastAsia="zh-CN"/>
        </w:rPr>
        <w:t>评审小组</w:t>
      </w:r>
      <w:r>
        <w:rPr>
          <w:bCs/>
          <w:kern w:val="1"/>
          <w:szCs w:val="21"/>
          <w:highlight w:val="none"/>
        </w:rPr>
        <w:t>对</w:t>
      </w:r>
      <w:r>
        <w:rPr>
          <w:highlight w:val="none"/>
        </w:rPr>
        <w:t>供应商的</w:t>
      </w:r>
      <w:r>
        <w:rPr>
          <w:rFonts w:hint="eastAsia"/>
          <w:highlight w:val="none"/>
        </w:rPr>
        <w:t>响应</w:t>
      </w:r>
      <w:r>
        <w:rPr>
          <w:highlight w:val="none"/>
        </w:rPr>
        <w:t>文件进行符合性审查，以确定其是否满足</w:t>
      </w:r>
      <w:r>
        <w:rPr>
          <w:rFonts w:hint="eastAsia"/>
          <w:highlight w:val="none"/>
          <w:lang w:eastAsia="zh-CN"/>
        </w:rPr>
        <w:t>项目需求</w:t>
      </w:r>
      <w:r>
        <w:rPr>
          <w:highlight w:val="none"/>
        </w:rPr>
        <w:t>的实质性要求。</w:t>
      </w:r>
      <w:r>
        <w:rPr>
          <w:szCs w:val="21"/>
          <w:highlight w:val="none"/>
        </w:rPr>
        <w:t>符合性检查表如下，缺少任何一项或有任何一项不合格者，其符合性检查视为不合格。</w:t>
      </w:r>
    </w:p>
    <w:tbl>
      <w:tblPr>
        <w:tblStyle w:val="25"/>
        <w:tblpPr w:leftFromText="180" w:rightFromText="180" w:vertAnchor="text" w:horzAnchor="page" w:tblpX="1644" w:tblpY="337"/>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0"/>
        <w:gridCol w:w="4162"/>
      </w:tblGrid>
      <w:tr w14:paraId="4364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F50197A">
            <w:pPr>
              <w:spacing w:line="240" w:lineRule="exact"/>
              <w:jc w:val="center"/>
              <w:rPr>
                <w:b/>
                <w:kern w:val="0"/>
                <w:szCs w:val="21"/>
                <w:highlight w:val="none"/>
              </w:rPr>
            </w:pPr>
            <w:r>
              <w:rPr>
                <w:b/>
                <w:kern w:val="0"/>
                <w:szCs w:val="21"/>
                <w:highlight w:val="none"/>
              </w:rPr>
              <w:t>序号</w:t>
            </w:r>
          </w:p>
        </w:tc>
        <w:tc>
          <w:tcPr>
            <w:tcW w:w="8412" w:type="dxa"/>
            <w:gridSpan w:val="2"/>
            <w:vAlign w:val="center"/>
          </w:tcPr>
          <w:p w14:paraId="21C1E9CD">
            <w:pPr>
              <w:spacing w:line="240" w:lineRule="exact"/>
              <w:jc w:val="center"/>
              <w:rPr>
                <w:b/>
                <w:kern w:val="0"/>
                <w:szCs w:val="21"/>
                <w:highlight w:val="none"/>
              </w:rPr>
            </w:pPr>
            <w:r>
              <w:rPr>
                <w:b/>
                <w:kern w:val="0"/>
                <w:szCs w:val="21"/>
                <w:highlight w:val="none"/>
              </w:rPr>
              <w:t>评审标准</w:t>
            </w:r>
          </w:p>
        </w:tc>
      </w:tr>
      <w:tr w14:paraId="3143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251FBF23">
            <w:pPr>
              <w:spacing w:line="240" w:lineRule="exact"/>
              <w:jc w:val="center"/>
              <w:rPr>
                <w:rFonts w:hint="eastAsia" w:eastAsia="宋体"/>
                <w:szCs w:val="21"/>
                <w:highlight w:val="none"/>
                <w:lang w:val="en-US" w:eastAsia="zh-CN"/>
              </w:rPr>
            </w:pPr>
            <w:r>
              <w:rPr>
                <w:rFonts w:hint="eastAsia"/>
                <w:szCs w:val="21"/>
                <w:highlight w:val="none"/>
                <w:lang w:val="en-US" w:eastAsia="zh-CN"/>
              </w:rPr>
              <w:t>1</w:t>
            </w:r>
          </w:p>
        </w:tc>
        <w:tc>
          <w:tcPr>
            <w:tcW w:w="4250" w:type="dxa"/>
            <w:vAlign w:val="center"/>
          </w:tcPr>
          <w:p w14:paraId="49DAE79E">
            <w:pPr>
              <w:spacing w:line="240" w:lineRule="exact"/>
              <w:rPr>
                <w:rFonts w:hint="eastAsia"/>
                <w:kern w:val="0"/>
                <w:szCs w:val="21"/>
                <w:highlight w:val="none"/>
              </w:rPr>
            </w:pPr>
            <w:r>
              <w:rPr>
                <w:rFonts w:hint="eastAsia"/>
                <w:kern w:val="0"/>
                <w:szCs w:val="21"/>
                <w:highlight w:val="none"/>
              </w:rPr>
              <w:t>营业执照复印件；（格式自拟）</w:t>
            </w:r>
          </w:p>
        </w:tc>
        <w:tc>
          <w:tcPr>
            <w:tcW w:w="4162" w:type="dxa"/>
            <w:vAlign w:val="center"/>
          </w:tcPr>
          <w:p w14:paraId="185E2306">
            <w:pPr>
              <w:spacing w:line="240" w:lineRule="exact"/>
              <w:rPr>
                <w:rFonts w:hint="eastAsia" w:eastAsia="宋体"/>
                <w:szCs w:val="21"/>
                <w:highlight w:val="none"/>
                <w:lang w:eastAsia="zh-CN"/>
              </w:rPr>
            </w:pPr>
            <w:r>
              <w:rPr>
                <w:rFonts w:hint="eastAsia"/>
                <w:szCs w:val="21"/>
                <w:highlight w:val="none"/>
                <w:lang w:eastAsia="zh-CN"/>
              </w:rPr>
              <w:t>提供营业执照复印件</w:t>
            </w:r>
          </w:p>
        </w:tc>
      </w:tr>
      <w:tr w14:paraId="2C01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5B8F67E4">
            <w:pPr>
              <w:spacing w:line="240" w:lineRule="exact"/>
              <w:jc w:val="center"/>
              <w:rPr>
                <w:rFonts w:hint="eastAsia" w:eastAsia="宋体"/>
                <w:szCs w:val="21"/>
                <w:highlight w:val="none"/>
                <w:lang w:val="en-US" w:eastAsia="zh-CN"/>
              </w:rPr>
            </w:pPr>
            <w:r>
              <w:rPr>
                <w:rFonts w:hint="eastAsia"/>
                <w:szCs w:val="21"/>
                <w:highlight w:val="none"/>
                <w:lang w:val="en-US" w:eastAsia="zh-CN"/>
              </w:rPr>
              <w:t>2</w:t>
            </w:r>
          </w:p>
        </w:tc>
        <w:tc>
          <w:tcPr>
            <w:tcW w:w="4250" w:type="dxa"/>
            <w:vAlign w:val="center"/>
          </w:tcPr>
          <w:p w14:paraId="73EB0A42">
            <w:pPr>
              <w:spacing w:line="240" w:lineRule="exact"/>
              <w:rPr>
                <w:rFonts w:hint="eastAsia" w:eastAsia="宋体"/>
                <w:kern w:val="0"/>
                <w:szCs w:val="21"/>
                <w:highlight w:val="none"/>
                <w:lang w:eastAsia="zh-CN"/>
              </w:rPr>
            </w:pPr>
            <w:r>
              <w:rPr>
                <w:rFonts w:hint="eastAsia"/>
                <w:kern w:val="0"/>
                <w:szCs w:val="21"/>
                <w:highlight w:val="none"/>
              </w:rPr>
              <w:t>法定代表人身份证明或法人授权委托书及被授权人身份证明和联系方式；（格式自拟）</w:t>
            </w:r>
          </w:p>
        </w:tc>
        <w:tc>
          <w:tcPr>
            <w:tcW w:w="4162" w:type="dxa"/>
            <w:vAlign w:val="center"/>
          </w:tcPr>
          <w:p w14:paraId="2B99C286">
            <w:pPr>
              <w:spacing w:line="240" w:lineRule="exact"/>
              <w:rPr>
                <w:rFonts w:hint="eastAsia"/>
                <w:szCs w:val="21"/>
                <w:highlight w:val="none"/>
              </w:rPr>
            </w:pPr>
            <w:r>
              <w:rPr>
                <w:szCs w:val="21"/>
                <w:highlight w:val="none"/>
              </w:rPr>
              <w:t>法定代表人或其授权代表人已按要求签字盖章。</w:t>
            </w:r>
          </w:p>
        </w:tc>
      </w:tr>
      <w:tr w14:paraId="43B6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A188909">
            <w:pPr>
              <w:spacing w:line="240" w:lineRule="exact"/>
              <w:jc w:val="center"/>
              <w:rPr>
                <w:rFonts w:hint="eastAsia" w:eastAsia="宋体"/>
                <w:szCs w:val="21"/>
                <w:highlight w:val="none"/>
                <w:lang w:val="en-US" w:eastAsia="zh-CN"/>
              </w:rPr>
            </w:pPr>
            <w:r>
              <w:rPr>
                <w:rFonts w:hint="eastAsia"/>
                <w:szCs w:val="21"/>
                <w:highlight w:val="none"/>
                <w:lang w:val="en-US" w:eastAsia="zh-CN"/>
              </w:rPr>
              <w:t>3</w:t>
            </w:r>
          </w:p>
        </w:tc>
        <w:tc>
          <w:tcPr>
            <w:tcW w:w="4250" w:type="dxa"/>
            <w:vAlign w:val="center"/>
          </w:tcPr>
          <w:p w14:paraId="23CC06A1">
            <w:pPr>
              <w:spacing w:line="240" w:lineRule="exact"/>
              <w:rPr>
                <w:rFonts w:hint="eastAsia"/>
                <w:kern w:val="0"/>
                <w:szCs w:val="21"/>
                <w:highlight w:val="none"/>
              </w:rPr>
            </w:pPr>
            <w:r>
              <w:rPr>
                <w:rFonts w:hint="eastAsia"/>
                <w:kern w:val="0"/>
                <w:szCs w:val="21"/>
                <w:highlight w:val="none"/>
              </w:rPr>
              <w:t>报价表【报价不得高于控制价，仅一次报价】；</w:t>
            </w:r>
          </w:p>
        </w:tc>
        <w:tc>
          <w:tcPr>
            <w:tcW w:w="4162" w:type="dxa"/>
            <w:vAlign w:val="center"/>
          </w:tcPr>
          <w:p w14:paraId="52F85367">
            <w:pPr>
              <w:spacing w:line="240" w:lineRule="exact"/>
              <w:rPr>
                <w:rFonts w:hint="eastAsia"/>
                <w:szCs w:val="21"/>
                <w:highlight w:val="none"/>
              </w:rPr>
            </w:pPr>
            <w:r>
              <w:rPr>
                <w:szCs w:val="21"/>
                <w:highlight w:val="none"/>
              </w:rPr>
              <w:t>报价超出</w:t>
            </w:r>
            <w:r>
              <w:rPr>
                <w:rFonts w:hint="eastAsia"/>
                <w:szCs w:val="21"/>
                <w:highlight w:val="none"/>
                <w:lang w:eastAsia="zh-CN"/>
              </w:rPr>
              <w:t>控制价</w:t>
            </w:r>
            <w:r>
              <w:rPr>
                <w:szCs w:val="21"/>
                <w:highlight w:val="none"/>
              </w:rPr>
              <w:t>金额的，否决其响应</w:t>
            </w:r>
            <w:r>
              <w:rPr>
                <w:highlight w:val="none"/>
              </w:rPr>
              <w:t>。</w:t>
            </w:r>
            <w:r>
              <w:rPr>
                <w:szCs w:val="21"/>
                <w:highlight w:val="none"/>
              </w:rPr>
              <w:t>提交选择性报价的，否决其响应。</w:t>
            </w:r>
          </w:p>
        </w:tc>
      </w:tr>
      <w:tr w14:paraId="01F1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5DBFF479">
            <w:pPr>
              <w:spacing w:line="240" w:lineRule="exact"/>
              <w:jc w:val="center"/>
              <w:rPr>
                <w:rFonts w:hint="default"/>
                <w:szCs w:val="21"/>
                <w:highlight w:val="none"/>
                <w:lang w:val="en-US" w:eastAsia="zh-CN"/>
              </w:rPr>
            </w:pPr>
            <w:r>
              <w:rPr>
                <w:rFonts w:hint="eastAsia"/>
                <w:szCs w:val="21"/>
                <w:highlight w:val="none"/>
                <w:lang w:val="en-US" w:eastAsia="zh-CN"/>
              </w:rPr>
              <w:t>4</w:t>
            </w:r>
          </w:p>
        </w:tc>
        <w:tc>
          <w:tcPr>
            <w:tcW w:w="4250" w:type="dxa"/>
            <w:vAlign w:val="center"/>
          </w:tcPr>
          <w:p w14:paraId="27C0824D">
            <w:pPr>
              <w:spacing w:line="240" w:lineRule="exact"/>
              <w:rPr>
                <w:rFonts w:hint="eastAsia"/>
                <w:kern w:val="0"/>
                <w:szCs w:val="21"/>
                <w:highlight w:val="none"/>
              </w:rPr>
            </w:pPr>
            <w:r>
              <w:rPr>
                <w:rFonts w:hint="eastAsia"/>
                <w:kern w:val="0"/>
                <w:szCs w:val="21"/>
                <w:highlight w:val="none"/>
              </w:rPr>
              <w:t>声明函、公司直接控股股东信息表、公司直接管理关系信息表（固定格式）</w:t>
            </w:r>
          </w:p>
        </w:tc>
        <w:tc>
          <w:tcPr>
            <w:tcW w:w="4162" w:type="dxa"/>
            <w:vAlign w:val="center"/>
          </w:tcPr>
          <w:p w14:paraId="1ED0AB6C">
            <w:pPr>
              <w:spacing w:line="240" w:lineRule="exact"/>
              <w:rPr>
                <w:szCs w:val="21"/>
                <w:highlight w:val="none"/>
              </w:rPr>
            </w:pPr>
            <w:r>
              <w:rPr>
                <w:rFonts w:hint="eastAsia"/>
                <w:szCs w:val="21"/>
                <w:highlight w:val="none"/>
                <w:lang w:eastAsia="zh-CN"/>
              </w:rPr>
              <w:t>提供声明函、公司直接控股股东信息表、公司直接管理关系信息表。</w:t>
            </w:r>
          </w:p>
        </w:tc>
      </w:tr>
      <w:tr w14:paraId="75FC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268D158B">
            <w:pPr>
              <w:spacing w:line="240" w:lineRule="exact"/>
              <w:jc w:val="center"/>
              <w:rPr>
                <w:rFonts w:hint="default"/>
                <w:szCs w:val="21"/>
                <w:highlight w:val="none"/>
                <w:lang w:val="en-US" w:eastAsia="zh-CN"/>
              </w:rPr>
            </w:pPr>
            <w:r>
              <w:rPr>
                <w:rFonts w:hint="eastAsia"/>
                <w:szCs w:val="21"/>
                <w:highlight w:val="none"/>
                <w:lang w:val="en-US" w:eastAsia="zh-CN"/>
              </w:rPr>
              <w:t>5</w:t>
            </w:r>
          </w:p>
        </w:tc>
        <w:tc>
          <w:tcPr>
            <w:tcW w:w="4250" w:type="dxa"/>
            <w:vAlign w:val="center"/>
          </w:tcPr>
          <w:p w14:paraId="2B64CD78">
            <w:pPr>
              <w:spacing w:line="240" w:lineRule="exact"/>
              <w:rPr>
                <w:rFonts w:hint="eastAsia" w:eastAsia="宋体"/>
                <w:kern w:val="0"/>
                <w:szCs w:val="21"/>
                <w:highlight w:val="none"/>
              </w:rPr>
            </w:pPr>
            <w:r>
              <w:rPr>
                <w:rFonts w:hint="eastAsia" w:eastAsia="宋体"/>
                <w:kern w:val="0"/>
                <w:szCs w:val="21"/>
                <w:highlight w:val="none"/>
                <w:lang w:val="en-US" w:eastAsia="zh-CN"/>
              </w:rPr>
              <w:t>参数响应表</w:t>
            </w:r>
          </w:p>
        </w:tc>
        <w:tc>
          <w:tcPr>
            <w:tcW w:w="4162" w:type="dxa"/>
            <w:vAlign w:val="center"/>
          </w:tcPr>
          <w:p w14:paraId="7232C952">
            <w:pPr>
              <w:spacing w:line="240" w:lineRule="exact"/>
              <w:rPr>
                <w:rFonts w:hint="eastAsia" w:eastAsia="宋体"/>
                <w:kern w:val="0"/>
                <w:szCs w:val="21"/>
                <w:highlight w:val="none"/>
                <w:lang w:eastAsia="zh-CN"/>
              </w:rPr>
            </w:pPr>
            <w:r>
              <w:rPr>
                <w:rFonts w:hint="eastAsia" w:eastAsia="宋体"/>
                <w:kern w:val="0"/>
                <w:szCs w:val="21"/>
                <w:highlight w:val="none"/>
                <w:lang w:val="en-US" w:eastAsia="zh-CN"/>
              </w:rPr>
              <w:t>提供参数响应表</w:t>
            </w:r>
          </w:p>
        </w:tc>
      </w:tr>
    </w:tbl>
    <w:p w14:paraId="2735D504">
      <w:pPr>
        <w:pStyle w:val="23"/>
        <w:rPr>
          <w:highlight w:val="none"/>
        </w:rPr>
      </w:pPr>
    </w:p>
    <w:p w14:paraId="67DDFAB0">
      <w:pPr>
        <w:pStyle w:val="9"/>
        <w:numPr>
          <w:ilvl w:val="0"/>
          <w:numId w:val="0"/>
        </w:numPr>
        <w:rPr>
          <w:rFonts w:hint="eastAsia" w:ascii="宋体" w:hAnsi="宋体" w:cs="宋体"/>
          <w:bCs/>
          <w:color w:val="000000"/>
          <w:szCs w:val="21"/>
          <w:highlight w:val="none"/>
          <w:lang w:val="en-US" w:eastAsia="zh-CN"/>
        </w:rPr>
      </w:pPr>
      <w:r>
        <w:rPr>
          <w:rFonts w:hint="eastAsia" w:eastAsia="宋体" w:cs="Times New Roman"/>
          <w:b/>
          <w:bCs/>
          <w:kern w:val="0"/>
          <w:szCs w:val="21"/>
          <w:highlight w:val="none"/>
          <w:lang w:val="en-US" w:eastAsia="zh-CN"/>
        </w:rPr>
        <w:t>2、异常低价审查程序。</w:t>
      </w:r>
    </w:p>
    <w:p w14:paraId="6FB4A1CC">
      <w:pPr>
        <w:pStyle w:val="9"/>
        <w:numPr>
          <w:ilvl w:val="0"/>
          <w:numId w:val="0"/>
        </w:numPr>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评审小组在评审过程中，出现下列情形之一的，评审小组应当启动异常低价投标（响应）审查程序： </w:t>
      </w:r>
    </w:p>
    <w:p w14:paraId="69843ACC">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（1）投标（响应）报价低于全部通过符合性审查供应商投标（响应）报价平均值50%的，即投标（响应）报价&lt;全部通过符合性审查供应商投标（响应）报价平均值×50%； </w:t>
      </w:r>
    </w:p>
    <w:p w14:paraId="421DF663">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（2）投标（响应）报价低于通过符合性审查的次低报价供应商投标（响应）报价50%的，即投标（响应）报价&lt;通过符合性审查的次低报价供应商投标（响应）报价×50%； </w:t>
      </w:r>
    </w:p>
    <w:p w14:paraId="6006FE9B">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（3）投标（响应）报价低于采购项目最高限价45%的，即投标（响应）报价&lt;采购项目最高限价×45%； </w:t>
      </w:r>
    </w:p>
    <w:p w14:paraId="02D9A1D3">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（4）评审委员会基于专业判断，认为供应商报价过低，有可能影响产品质量或者不能诚信履约的其他情形。 </w:t>
      </w:r>
    </w:p>
    <w:p w14:paraId="4888D913">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    触发审查的供应商应在评审小组规定的时间内（原则上不超过1小时，竞标供应商应提前做好充分准备）提交书面说明，并提供必要的证明材料，包括但不限于：</w:t>
      </w:r>
    </w:p>
    <w:p w14:paraId="646BEDBC">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（1）详细的成本构成分析：包括人工、材料、管理费、利润、税金等分项报价明细；</w:t>
      </w:r>
    </w:p>
    <w:p w14:paraId="4D7A6988">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（2）拟采用的主要品牌、型号、产地及供应商报价单；</w:t>
      </w:r>
    </w:p>
    <w:p w14:paraId="6892779F">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（3）拟投入本项目的关键人员、设备清单及来源说明；</w:t>
      </w:r>
    </w:p>
    <w:p w14:paraId="275F4FA2">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（4）能够证明其报价合理性的其他材料（如类似项目合同、采购凭证等）。</w:t>
      </w:r>
    </w:p>
    <w:p w14:paraId="355E8040">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    评审小组结合项目具体特点、市场行情、供应商的说明及证明材料，对其报价是否低于成本、是否影响工程质量和合同履约进行集体评议。</w:t>
      </w:r>
    </w:p>
    <w:p w14:paraId="0E33AA9B">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若供应商未能按时提交说明和证明材料，或提交的材料不足以合理证明其报价能够保证工程质量并诚信履约，经评审小组过半数成员认定，其响应文件将按无效响应处理。</w:t>
      </w:r>
    </w:p>
    <w:p w14:paraId="1ABDAD40">
      <w:pPr>
        <w:spacing w:before="120" w:line="320" w:lineRule="atLeast"/>
        <w:ind w:firstLine="411" w:firstLineChars="196"/>
        <w:outlineLvl w:val="9"/>
        <w:rPr>
          <w:rFonts w:hint="eastAsia"/>
          <w:b/>
          <w:bCs/>
          <w:kern w:val="0"/>
          <w:szCs w:val="21"/>
          <w:highlight w:val="none"/>
          <w:lang w:val="en-US" w:eastAsia="zh-CN"/>
        </w:rPr>
      </w:pPr>
      <w:r>
        <w:rPr>
          <w:rFonts w:hint="eastAsia" w:ascii="宋体" w:hAnsi="宋体" w:cs="宋体"/>
          <w:bCs/>
          <w:color w:val="000000"/>
          <w:szCs w:val="21"/>
          <w:highlight w:val="none"/>
          <w:lang w:val="en-US" w:eastAsia="zh-CN"/>
        </w:rPr>
        <w:t>若供应商的说明和证明材料经评审小组评议认为合理、可信，其报价继续参与后续评审。</w:t>
      </w:r>
    </w:p>
    <w:p w14:paraId="74CC2EA9">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3</w:t>
      </w:r>
      <w:r>
        <w:rPr>
          <w:b/>
          <w:bCs/>
          <w:kern w:val="0"/>
          <w:szCs w:val="21"/>
          <w:highlight w:val="none"/>
        </w:rPr>
        <w:t>、串通投标的认定</w:t>
      </w:r>
    </w:p>
    <w:p w14:paraId="57E54636">
      <w:pPr>
        <w:spacing w:before="120" w:line="320" w:lineRule="atLeast"/>
        <w:ind w:firstLine="420" w:firstLineChars="200"/>
        <w:rPr>
          <w:highlight w:val="none"/>
        </w:rPr>
      </w:pPr>
      <w:r>
        <w:rPr>
          <w:rFonts w:hint="eastAsia"/>
          <w:highlight w:val="none"/>
          <w:lang w:eastAsia="zh-CN"/>
        </w:rPr>
        <w:t>评审小组</w:t>
      </w:r>
      <w:r>
        <w:rPr>
          <w:highlight w:val="none"/>
        </w:rPr>
        <w:t>须根据</w:t>
      </w:r>
      <w:r>
        <w:rPr>
          <w:rFonts w:hint="eastAsia"/>
          <w:highlight w:val="none"/>
        </w:rPr>
        <w:t>以下</w:t>
      </w:r>
      <w:r>
        <w:rPr>
          <w:highlight w:val="none"/>
        </w:rPr>
        <w:t>规定评审</w:t>
      </w:r>
      <w:r>
        <w:rPr>
          <w:bCs/>
          <w:kern w:val="0"/>
          <w:szCs w:val="21"/>
          <w:highlight w:val="none"/>
        </w:rPr>
        <w:t>供应商是否有串通投标的行为，并按规定判定响应是否有效</w:t>
      </w:r>
      <w:r>
        <w:rPr>
          <w:highlight w:val="none"/>
        </w:rPr>
        <w:t>。</w:t>
      </w:r>
    </w:p>
    <w:p w14:paraId="5381F0A5">
      <w:pPr>
        <w:spacing w:before="120" w:line="320" w:lineRule="atLeast"/>
        <w:ind w:firstLine="420" w:firstLineChars="200"/>
        <w:rPr>
          <w:szCs w:val="21"/>
          <w:highlight w:val="none"/>
        </w:rPr>
      </w:pPr>
      <w:r>
        <w:rPr>
          <w:rFonts w:hint="eastAsia"/>
          <w:szCs w:val="21"/>
          <w:highlight w:val="none"/>
        </w:rPr>
        <w:t>（1）</w:t>
      </w:r>
      <w:r>
        <w:rPr>
          <w:szCs w:val="21"/>
          <w:highlight w:val="none"/>
        </w:rPr>
        <w:t>有下列情形之一的视为投标人（供应商）相互串通投标，投标（响应）文件将被视为无效。</w:t>
      </w:r>
      <w:r>
        <w:rPr>
          <w:kern w:val="1"/>
          <w:szCs w:val="21"/>
          <w:highlight w:val="none"/>
        </w:rPr>
        <w:t>（本款所述投标等同于询价或响应，投标人等同于供应商）。</w:t>
      </w:r>
    </w:p>
    <w:p w14:paraId="797C6CA6">
      <w:pPr>
        <w:spacing w:before="120" w:line="320" w:lineRule="atLeast"/>
        <w:ind w:firstLine="420" w:firstLineChars="200"/>
        <w:rPr>
          <w:szCs w:val="21"/>
          <w:highlight w:val="none"/>
        </w:rPr>
      </w:pPr>
      <w:r>
        <w:rPr>
          <w:rFonts w:hint="eastAsia" w:ascii="宋体" w:hAnsi="宋体" w:cs="宋体"/>
          <w:szCs w:val="21"/>
          <w:highlight w:val="none"/>
        </w:rPr>
        <w:t>①</w:t>
      </w:r>
      <w:r>
        <w:rPr>
          <w:szCs w:val="21"/>
          <w:highlight w:val="none"/>
        </w:rPr>
        <w:t>不同供应商的投标文件由同一单位或者个人编制；或不同供应商报名的IP地址一致的；</w:t>
      </w:r>
    </w:p>
    <w:p w14:paraId="2F2B101F">
      <w:pPr>
        <w:spacing w:before="120" w:line="320" w:lineRule="atLeast"/>
        <w:ind w:firstLine="420" w:firstLineChars="200"/>
        <w:rPr>
          <w:szCs w:val="21"/>
          <w:highlight w:val="none"/>
        </w:rPr>
      </w:pPr>
      <w:r>
        <w:rPr>
          <w:rFonts w:hint="eastAsia"/>
          <w:szCs w:val="21"/>
          <w:highlight w:val="none"/>
        </w:rPr>
        <w:t>②</w:t>
      </w:r>
      <w:r>
        <w:rPr>
          <w:szCs w:val="21"/>
          <w:highlight w:val="none"/>
        </w:rPr>
        <w:t>不同供应商委托同一单位或者个人办理投标事宜；</w:t>
      </w:r>
    </w:p>
    <w:p w14:paraId="7B4E562E">
      <w:pPr>
        <w:spacing w:before="120" w:line="320" w:lineRule="atLeast"/>
        <w:ind w:firstLine="420" w:firstLineChars="200"/>
        <w:rPr>
          <w:szCs w:val="21"/>
          <w:highlight w:val="none"/>
        </w:rPr>
      </w:pPr>
      <w:r>
        <w:rPr>
          <w:rFonts w:hint="eastAsia"/>
          <w:szCs w:val="21"/>
          <w:highlight w:val="none"/>
        </w:rPr>
        <w:t>③</w:t>
      </w:r>
      <w:r>
        <w:rPr>
          <w:szCs w:val="21"/>
          <w:highlight w:val="none"/>
        </w:rPr>
        <w:t>不同的供应商的投标文件载明的项目管理员为同一个人；</w:t>
      </w:r>
    </w:p>
    <w:p w14:paraId="4A30DCB3">
      <w:pPr>
        <w:spacing w:before="120" w:line="320" w:lineRule="atLeast"/>
        <w:ind w:firstLine="420" w:firstLineChars="200"/>
        <w:rPr>
          <w:szCs w:val="21"/>
          <w:highlight w:val="none"/>
        </w:rPr>
      </w:pPr>
      <w:r>
        <w:rPr>
          <w:rFonts w:hint="eastAsia"/>
          <w:szCs w:val="21"/>
          <w:highlight w:val="none"/>
        </w:rPr>
        <w:t>④</w:t>
      </w:r>
      <w:r>
        <w:rPr>
          <w:szCs w:val="21"/>
          <w:highlight w:val="none"/>
        </w:rPr>
        <w:t>不同供应商的投标文件异常一致或投标报价呈规律性差异；</w:t>
      </w:r>
    </w:p>
    <w:p w14:paraId="6BC2A88D">
      <w:pPr>
        <w:spacing w:before="120" w:line="320" w:lineRule="atLeast"/>
        <w:ind w:firstLine="420" w:firstLineChars="200"/>
        <w:rPr>
          <w:szCs w:val="21"/>
          <w:highlight w:val="none"/>
        </w:rPr>
      </w:pPr>
      <w:r>
        <w:rPr>
          <w:rFonts w:hint="eastAsia"/>
          <w:szCs w:val="21"/>
          <w:highlight w:val="none"/>
        </w:rPr>
        <w:t>⑤</w:t>
      </w:r>
      <w:r>
        <w:rPr>
          <w:szCs w:val="21"/>
          <w:highlight w:val="none"/>
        </w:rPr>
        <w:t>不同供应商的投标文件相互混装；</w:t>
      </w:r>
    </w:p>
    <w:p w14:paraId="129450DA">
      <w:pPr>
        <w:spacing w:before="120" w:line="320" w:lineRule="atLeast"/>
        <w:ind w:firstLine="420" w:firstLineChars="200"/>
        <w:rPr>
          <w:szCs w:val="21"/>
          <w:highlight w:val="none"/>
        </w:rPr>
      </w:pPr>
      <w:r>
        <w:rPr>
          <w:rFonts w:hint="eastAsia"/>
          <w:szCs w:val="21"/>
          <w:highlight w:val="none"/>
        </w:rPr>
        <w:t>⑥</w:t>
      </w:r>
      <w:r>
        <w:rPr>
          <w:szCs w:val="21"/>
          <w:highlight w:val="none"/>
        </w:rPr>
        <w:t>不同供应商的保证金从同一单位或者个人账户转出。</w:t>
      </w:r>
    </w:p>
    <w:p w14:paraId="2C96A1E6">
      <w:pPr>
        <w:spacing w:before="120" w:line="320" w:lineRule="atLeast"/>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w:t>
      </w:r>
      <w:r>
        <w:rPr>
          <w:szCs w:val="21"/>
          <w:highlight w:val="none"/>
        </w:rPr>
        <w:t>投标人有下列情形之一的，属于恶意串通行为，投标（响应）文件将被视为无效。（本款所述投标等同于询价或响应，中标人等同于成交供应商）</w:t>
      </w:r>
    </w:p>
    <w:p w14:paraId="467C9844">
      <w:pPr>
        <w:spacing w:before="120" w:line="320" w:lineRule="atLeast"/>
        <w:ind w:firstLine="420" w:firstLineChars="200"/>
        <w:rPr>
          <w:szCs w:val="21"/>
          <w:highlight w:val="none"/>
        </w:rPr>
      </w:pPr>
      <w:r>
        <w:rPr>
          <w:rFonts w:hint="eastAsia"/>
          <w:szCs w:val="21"/>
          <w:highlight w:val="none"/>
        </w:rPr>
        <w:t>①</w:t>
      </w:r>
      <w:r>
        <w:rPr>
          <w:szCs w:val="21"/>
          <w:highlight w:val="none"/>
        </w:rPr>
        <w:t>供应商直接或者间接从采购人或者采购代理机构处获得其他供应商的相关信息并修改其投标文件或者响应文件；</w:t>
      </w:r>
    </w:p>
    <w:p w14:paraId="75E899DB">
      <w:pPr>
        <w:spacing w:before="120" w:line="320" w:lineRule="atLeast"/>
        <w:ind w:firstLine="420" w:firstLineChars="200"/>
        <w:rPr>
          <w:rFonts w:hint="eastAsia" w:eastAsia="宋体"/>
          <w:szCs w:val="21"/>
          <w:highlight w:val="none"/>
          <w:lang w:eastAsia="zh-CN"/>
        </w:rPr>
      </w:pPr>
      <w:r>
        <w:rPr>
          <w:rFonts w:hint="eastAsia"/>
          <w:szCs w:val="21"/>
          <w:highlight w:val="none"/>
        </w:rPr>
        <w:t>②</w:t>
      </w:r>
      <w:r>
        <w:rPr>
          <w:szCs w:val="21"/>
          <w:highlight w:val="none"/>
        </w:rPr>
        <w:t>供应商按照采购人或者采购代理机构的授意撤换、修改投标文件或者响应文件</w:t>
      </w:r>
      <w:r>
        <w:rPr>
          <w:rFonts w:hint="eastAsia"/>
          <w:szCs w:val="21"/>
          <w:highlight w:val="none"/>
          <w:lang w:eastAsia="zh-CN"/>
        </w:rPr>
        <w:t>；</w:t>
      </w:r>
    </w:p>
    <w:p w14:paraId="00BA8E69">
      <w:pPr>
        <w:spacing w:before="120" w:line="320" w:lineRule="atLeast"/>
        <w:ind w:firstLine="420" w:firstLineChars="200"/>
        <w:rPr>
          <w:szCs w:val="21"/>
          <w:highlight w:val="none"/>
        </w:rPr>
      </w:pPr>
      <w:r>
        <w:rPr>
          <w:rFonts w:hint="eastAsia"/>
          <w:szCs w:val="21"/>
          <w:highlight w:val="none"/>
        </w:rPr>
        <w:t>③</w:t>
      </w:r>
      <w:r>
        <w:rPr>
          <w:szCs w:val="21"/>
          <w:highlight w:val="none"/>
        </w:rPr>
        <w:t>供应商之间协商报价、技术方案等投标文件或者响应文件的实质性内容；</w:t>
      </w:r>
    </w:p>
    <w:p w14:paraId="78AF426D">
      <w:pPr>
        <w:spacing w:before="120" w:line="320" w:lineRule="atLeast"/>
        <w:ind w:firstLine="420" w:firstLineChars="200"/>
        <w:rPr>
          <w:szCs w:val="21"/>
          <w:highlight w:val="none"/>
        </w:rPr>
      </w:pPr>
      <w:r>
        <w:rPr>
          <w:rFonts w:hint="eastAsia"/>
          <w:szCs w:val="21"/>
          <w:highlight w:val="none"/>
        </w:rPr>
        <w:t>④</w:t>
      </w:r>
      <w:r>
        <w:rPr>
          <w:szCs w:val="21"/>
          <w:highlight w:val="none"/>
        </w:rPr>
        <w:t>属于同一集团、协会、商会等组织成员的供应商按照该组织要求协同参加采购活动；</w:t>
      </w:r>
    </w:p>
    <w:p w14:paraId="059F6ED0">
      <w:pPr>
        <w:spacing w:before="120" w:line="320" w:lineRule="atLeast"/>
        <w:ind w:firstLine="420" w:firstLineChars="200"/>
        <w:rPr>
          <w:szCs w:val="21"/>
          <w:highlight w:val="none"/>
        </w:rPr>
      </w:pPr>
      <w:r>
        <w:rPr>
          <w:rFonts w:hint="eastAsia"/>
          <w:szCs w:val="21"/>
          <w:highlight w:val="none"/>
        </w:rPr>
        <w:t>⑤</w:t>
      </w:r>
      <w:r>
        <w:rPr>
          <w:szCs w:val="21"/>
          <w:highlight w:val="none"/>
        </w:rPr>
        <w:t>供应商之间事先约定一致抬高或者压低投标报价，或者在招标项目中事先约定轮流以高价位或者低价位中标，或者事先约定由某一特定供应商中标，然后再参加投标；</w:t>
      </w:r>
    </w:p>
    <w:p w14:paraId="7DCC0433">
      <w:pPr>
        <w:spacing w:before="120" w:line="320" w:lineRule="atLeast"/>
        <w:ind w:firstLine="420" w:firstLineChars="200"/>
        <w:rPr>
          <w:szCs w:val="21"/>
          <w:highlight w:val="none"/>
        </w:rPr>
      </w:pPr>
      <w:r>
        <w:rPr>
          <w:rFonts w:hint="eastAsia"/>
          <w:szCs w:val="21"/>
          <w:highlight w:val="none"/>
        </w:rPr>
        <w:t>⑥</w:t>
      </w:r>
      <w:r>
        <w:rPr>
          <w:szCs w:val="21"/>
          <w:highlight w:val="none"/>
        </w:rPr>
        <w:t>供应商之间商定部分供应商放弃参加采购活动或者放弃中标；</w:t>
      </w:r>
    </w:p>
    <w:p w14:paraId="320B4F31">
      <w:pPr>
        <w:spacing w:before="120" w:line="320" w:lineRule="atLeast"/>
        <w:ind w:firstLine="420" w:firstLineChars="200"/>
        <w:rPr>
          <w:szCs w:val="21"/>
          <w:highlight w:val="none"/>
        </w:rPr>
      </w:pPr>
      <w:r>
        <w:rPr>
          <w:rFonts w:hint="eastAsia"/>
          <w:szCs w:val="21"/>
          <w:highlight w:val="none"/>
        </w:rPr>
        <w:t>⑦</w:t>
      </w:r>
      <w:r>
        <w:rPr>
          <w:szCs w:val="21"/>
          <w:highlight w:val="none"/>
        </w:rPr>
        <w:t>供应商与采购人或者采购代理机构之间、供应商相互之间，为谋求特定供应商中标或者排斥其他供应商的其他串通行为。</w:t>
      </w:r>
    </w:p>
    <w:p w14:paraId="456904FD">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4</w:t>
      </w:r>
      <w:r>
        <w:rPr>
          <w:b/>
          <w:bCs/>
          <w:kern w:val="0"/>
          <w:szCs w:val="21"/>
          <w:highlight w:val="none"/>
        </w:rPr>
        <w:t>、</w:t>
      </w:r>
      <w:r>
        <w:rPr>
          <w:rFonts w:hint="eastAsia"/>
          <w:b/>
          <w:bCs/>
          <w:kern w:val="0"/>
          <w:szCs w:val="21"/>
          <w:highlight w:val="none"/>
        </w:rPr>
        <w:t>响应</w:t>
      </w:r>
      <w:r>
        <w:rPr>
          <w:b/>
          <w:bCs/>
          <w:kern w:val="0"/>
          <w:szCs w:val="21"/>
          <w:highlight w:val="none"/>
        </w:rPr>
        <w:t>有效性的认定</w:t>
      </w:r>
    </w:p>
    <w:p w14:paraId="055024F1">
      <w:pPr>
        <w:spacing w:before="120" w:line="320" w:lineRule="atLeast"/>
        <w:ind w:firstLine="420" w:firstLineChars="200"/>
        <w:rPr>
          <w:szCs w:val="21"/>
          <w:highlight w:val="none"/>
        </w:rPr>
      </w:pPr>
      <w:r>
        <w:rPr>
          <w:szCs w:val="21"/>
          <w:highlight w:val="none"/>
        </w:rPr>
        <w:t>在符合性审查、商务和技术评估时，如发现下列情形之一的，响应文件将被视为无效：</w:t>
      </w:r>
    </w:p>
    <w:p w14:paraId="0E6E658E">
      <w:pPr>
        <w:spacing w:before="120" w:line="320" w:lineRule="atLeast"/>
        <w:ind w:firstLine="420" w:firstLineChars="200"/>
        <w:rPr>
          <w:color w:val="000000"/>
          <w:highlight w:val="none"/>
        </w:rPr>
      </w:pPr>
      <w:r>
        <w:rPr>
          <w:rFonts w:hint="eastAsia"/>
          <w:szCs w:val="21"/>
          <w:highlight w:val="none"/>
        </w:rPr>
        <w:t>①</w:t>
      </w:r>
      <w:r>
        <w:rPr>
          <w:color w:val="000000"/>
          <w:highlight w:val="none"/>
        </w:rPr>
        <w:t>响应文件未要求签署、盖章的；</w:t>
      </w:r>
    </w:p>
    <w:p w14:paraId="2FF1D454">
      <w:pPr>
        <w:spacing w:before="120" w:line="320" w:lineRule="atLeast"/>
        <w:ind w:firstLine="420" w:firstLineChars="200"/>
        <w:rPr>
          <w:rStyle w:val="48"/>
          <w:color w:val="000000"/>
          <w:highlight w:val="none"/>
        </w:rPr>
      </w:pPr>
      <w:r>
        <w:rPr>
          <w:rFonts w:hint="eastAsia"/>
          <w:szCs w:val="21"/>
          <w:highlight w:val="none"/>
        </w:rPr>
        <w:t>②</w:t>
      </w:r>
      <w:r>
        <w:rPr>
          <w:color w:val="000000"/>
          <w:highlight w:val="none"/>
        </w:rPr>
        <w:t>报价超过</w:t>
      </w:r>
      <w:r>
        <w:rPr>
          <w:rFonts w:hint="eastAsia"/>
          <w:color w:val="000000"/>
          <w:highlight w:val="none"/>
          <w:lang w:eastAsia="zh-CN"/>
        </w:rPr>
        <w:t>项目需求</w:t>
      </w:r>
      <w:r>
        <w:rPr>
          <w:color w:val="000000"/>
          <w:highlight w:val="none"/>
        </w:rPr>
        <w:t>中规定的</w:t>
      </w:r>
      <w:r>
        <w:rPr>
          <w:rFonts w:hint="eastAsia"/>
          <w:color w:val="000000"/>
          <w:highlight w:val="none"/>
          <w:lang w:eastAsia="zh-CN"/>
        </w:rPr>
        <w:t>控制价</w:t>
      </w:r>
      <w:r>
        <w:rPr>
          <w:color w:val="000000"/>
          <w:highlight w:val="none"/>
        </w:rPr>
        <w:t>金额的；</w:t>
      </w:r>
    </w:p>
    <w:p w14:paraId="533FD2A5">
      <w:pPr>
        <w:spacing w:before="120" w:line="320" w:lineRule="atLeast"/>
        <w:ind w:firstLine="420" w:firstLineChars="200"/>
        <w:rPr>
          <w:szCs w:val="21"/>
          <w:highlight w:val="none"/>
        </w:rPr>
      </w:pPr>
      <w:r>
        <w:rPr>
          <w:rFonts w:hint="eastAsia"/>
          <w:szCs w:val="21"/>
          <w:highlight w:val="none"/>
        </w:rPr>
        <w:t>③评审过程中发现响应文件中提供虚假材料的；</w:t>
      </w:r>
    </w:p>
    <w:p w14:paraId="057971E4">
      <w:pPr>
        <w:spacing w:before="120" w:line="320" w:lineRule="atLeast"/>
        <w:ind w:firstLine="420" w:firstLineChars="200"/>
        <w:rPr>
          <w:szCs w:val="21"/>
          <w:highlight w:val="none"/>
        </w:rPr>
      </w:pPr>
      <w:r>
        <w:rPr>
          <w:rFonts w:hint="eastAsia" w:ascii="宋体" w:hAnsi="宋体"/>
          <w:szCs w:val="21"/>
          <w:highlight w:val="none"/>
        </w:rPr>
        <w:t>④</w:t>
      </w:r>
      <w:r>
        <w:rPr>
          <w:szCs w:val="21"/>
          <w:highlight w:val="none"/>
        </w:rPr>
        <w:t>法律、法规和询价通知书规定的其他无效情形。</w:t>
      </w:r>
    </w:p>
    <w:p w14:paraId="3FE9A100">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5</w:t>
      </w:r>
      <w:r>
        <w:rPr>
          <w:b/>
          <w:bCs/>
          <w:kern w:val="0"/>
          <w:szCs w:val="21"/>
          <w:highlight w:val="none"/>
        </w:rPr>
        <w:t>、成交候选供应商确定原则</w:t>
      </w:r>
    </w:p>
    <w:p w14:paraId="41AE1AF6">
      <w:pPr>
        <w:spacing w:before="120" w:line="320" w:lineRule="atLeast"/>
        <w:ind w:firstLine="420" w:firstLineChars="200"/>
        <w:rPr>
          <w:rFonts w:eastAsia="宋体" w:cs="Times New Roman"/>
          <w:highlight w:val="none"/>
        </w:rPr>
      </w:pPr>
      <w:r>
        <w:rPr>
          <w:rFonts w:hint="eastAsia" w:eastAsia="宋体" w:cs="Times New Roman"/>
          <w:highlight w:val="none"/>
          <w:lang w:val="en-US" w:eastAsia="zh-CN"/>
        </w:rPr>
        <w:t>采购小组将根据总得分由高到低排列次序并推荐成交候选人。得分相同的，以</w:t>
      </w:r>
      <w:r>
        <w:rPr>
          <w:rFonts w:hint="eastAsia" w:cs="Times New Roman"/>
          <w:highlight w:val="none"/>
          <w:lang w:val="en-US" w:eastAsia="zh-CN"/>
        </w:rPr>
        <w:t>响应</w:t>
      </w:r>
      <w:r>
        <w:rPr>
          <w:rFonts w:hint="eastAsia" w:eastAsia="宋体" w:cs="Times New Roman"/>
          <w:highlight w:val="none"/>
          <w:lang w:val="en-US" w:eastAsia="zh-CN"/>
        </w:rPr>
        <w:t>报价由低到高顺序排列。得分且报价相同的并列。响应文件满足采购文件全部实质性要求，且按照评审因素的量化指标评审得分最高的投标人为排名第一的成交候选人。</w:t>
      </w:r>
    </w:p>
    <w:p w14:paraId="6B5FEE4E">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6</w:t>
      </w:r>
      <w:r>
        <w:rPr>
          <w:b/>
          <w:bCs/>
          <w:kern w:val="0"/>
          <w:szCs w:val="21"/>
          <w:highlight w:val="none"/>
        </w:rPr>
        <w:t>、评</w:t>
      </w:r>
      <w:r>
        <w:rPr>
          <w:rFonts w:hint="eastAsia"/>
          <w:b/>
          <w:bCs/>
          <w:kern w:val="0"/>
          <w:szCs w:val="21"/>
          <w:highlight w:val="none"/>
        </w:rPr>
        <w:t>审</w:t>
      </w:r>
      <w:r>
        <w:rPr>
          <w:b/>
          <w:bCs/>
          <w:kern w:val="0"/>
          <w:szCs w:val="21"/>
          <w:highlight w:val="none"/>
        </w:rPr>
        <w:t>争议处理</w:t>
      </w:r>
    </w:p>
    <w:p w14:paraId="53ED046A">
      <w:pPr>
        <w:spacing w:before="120" w:line="320" w:lineRule="atLeast"/>
        <w:ind w:firstLine="420" w:firstLineChars="200"/>
        <w:rPr>
          <w:rFonts w:hint="eastAsia" w:ascii="Times New Roman" w:hAnsi="Times New Roman"/>
          <w:b/>
          <w:color w:val="auto"/>
          <w:sz w:val="36"/>
          <w:highlight w:val="none"/>
        </w:rPr>
      </w:pPr>
      <w:r>
        <w:rPr>
          <w:rFonts w:hint="eastAsia"/>
          <w:highlight w:val="none"/>
          <w:lang w:eastAsia="zh-CN"/>
        </w:rPr>
        <w:t>评审小组</w:t>
      </w:r>
      <w:r>
        <w:rPr>
          <w:highlight w:val="none"/>
        </w:rPr>
        <w:t>成员对需要共同认定的事项存在争议的，应当按照少数服从多数的原则作出结论。持不同意见的</w:t>
      </w:r>
      <w:r>
        <w:rPr>
          <w:rFonts w:hint="eastAsia"/>
          <w:highlight w:val="none"/>
          <w:lang w:eastAsia="zh-CN"/>
        </w:rPr>
        <w:t>评审小组</w:t>
      </w:r>
      <w:r>
        <w:rPr>
          <w:highlight w:val="none"/>
        </w:rPr>
        <w:t>成员应当在评</w:t>
      </w:r>
      <w:r>
        <w:rPr>
          <w:rFonts w:hint="eastAsia"/>
          <w:highlight w:val="none"/>
        </w:rPr>
        <w:t>审</w:t>
      </w:r>
      <w:r>
        <w:rPr>
          <w:highlight w:val="none"/>
        </w:rPr>
        <w:t>报告上签署不同意见及理由，否则视为同意评</w:t>
      </w:r>
      <w:r>
        <w:rPr>
          <w:rFonts w:hint="eastAsia"/>
          <w:highlight w:val="none"/>
        </w:rPr>
        <w:t>审</w:t>
      </w:r>
      <w:r>
        <w:rPr>
          <w:highlight w:val="none"/>
        </w:rPr>
        <w:t>报告。</w:t>
      </w:r>
    </w:p>
    <w:p w14:paraId="0609FC0A">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0353D360">
      <w:pPr>
        <w:snapToGrid w:val="0"/>
        <w:spacing w:before="50" w:afterLines="50"/>
        <w:jc w:val="center"/>
        <w:rPr>
          <w:rFonts w:ascii="宋体" w:hAnsi="宋体" w:cs="宋体"/>
          <w:color w:val="000000"/>
          <w:szCs w:val="21"/>
          <w:highlight w:val="none"/>
        </w:rPr>
      </w:pPr>
      <w:r>
        <w:rPr>
          <w:rFonts w:hint="eastAsia" w:ascii="宋体" w:hAnsi="宋体" w:cs="宋体"/>
          <w:b/>
          <w:color w:val="000000"/>
          <w:sz w:val="36"/>
          <w:szCs w:val="36"/>
          <w:highlight w:val="none"/>
        </w:rPr>
        <w:t>评分标准</w:t>
      </w:r>
    </w:p>
    <w:tbl>
      <w:tblPr>
        <w:tblStyle w:val="25"/>
        <w:tblW w:w="10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122"/>
        <w:gridCol w:w="8723"/>
      </w:tblGrid>
      <w:tr w14:paraId="28BE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4" w:type="dxa"/>
            <w:tcBorders>
              <w:top w:val="single" w:color="auto" w:sz="4" w:space="0"/>
              <w:left w:val="single" w:color="auto" w:sz="4" w:space="0"/>
              <w:bottom w:val="single" w:color="auto" w:sz="4" w:space="0"/>
              <w:right w:val="single" w:color="auto" w:sz="4" w:space="0"/>
            </w:tcBorders>
            <w:vAlign w:val="center"/>
          </w:tcPr>
          <w:p w14:paraId="208989F0">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项目</w:t>
            </w:r>
          </w:p>
        </w:tc>
        <w:tc>
          <w:tcPr>
            <w:tcW w:w="1122" w:type="dxa"/>
            <w:tcBorders>
              <w:top w:val="single" w:color="auto" w:sz="4" w:space="0"/>
              <w:left w:val="single" w:color="auto" w:sz="4" w:space="0"/>
              <w:bottom w:val="single" w:color="auto" w:sz="4" w:space="0"/>
              <w:right w:val="single" w:color="auto" w:sz="4" w:space="0"/>
            </w:tcBorders>
            <w:vAlign w:val="center"/>
          </w:tcPr>
          <w:p w14:paraId="30AFAEA5">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评分因素</w:t>
            </w:r>
          </w:p>
        </w:tc>
        <w:tc>
          <w:tcPr>
            <w:tcW w:w="8723" w:type="dxa"/>
            <w:tcBorders>
              <w:top w:val="single" w:color="auto" w:sz="4" w:space="0"/>
              <w:left w:val="single" w:color="auto" w:sz="4" w:space="0"/>
              <w:bottom w:val="single" w:color="auto" w:sz="4" w:space="0"/>
              <w:right w:val="single" w:color="auto" w:sz="4" w:space="0"/>
            </w:tcBorders>
            <w:vAlign w:val="center"/>
          </w:tcPr>
          <w:p w14:paraId="4BAE8137">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评价内容及分项分值</w:t>
            </w:r>
          </w:p>
        </w:tc>
      </w:tr>
      <w:tr w14:paraId="3887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tcBorders>
              <w:top w:val="single" w:color="auto" w:sz="4" w:space="0"/>
              <w:left w:val="single" w:color="auto" w:sz="4" w:space="0"/>
              <w:bottom w:val="single" w:color="auto" w:sz="4" w:space="0"/>
              <w:right w:val="single" w:color="auto" w:sz="4" w:space="0"/>
            </w:tcBorders>
            <w:vAlign w:val="center"/>
          </w:tcPr>
          <w:p w14:paraId="031F008A">
            <w:pPr>
              <w:spacing w:line="360" w:lineRule="auto"/>
              <w:jc w:val="left"/>
              <w:rPr>
                <w:rFonts w:ascii="宋体" w:hAnsi="宋体" w:cs="宋体"/>
                <w:sz w:val="21"/>
                <w:szCs w:val="21"/>
                <w:highlight w:val="none"/>
              </w:rPr>
            </w:pPr>
            <w:r>
              <w:rPr>
                <w:rFonts w:hint="eastAsia" w:ascii="宋体" w:hAnsi="宋体" w:cs="宋体"/>
                <w:sz w:val="21"/>
                <w:szCs w:val="21"/>
                <w:highlight w:val="none"/>
              </w:rPr>
              <w:t>价格分</w:t>
            </w:r>
          </w:p>
          <w:p w14:paraId="5AF68BDE">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30</w:t>
            </w:r>
            <w:r>
              <w:rPr>
                <w:rFonts w:hint="eastAsia" w:ascii="宋体" w:hAnsi="宋体" w:cs="宋体"/>
                <w:sz w:val="21"/>
                <w:szCs w:val="21"/>
                <w:highlight w:val="none"/>
              </w:rPr>
              <w:t>分）</w:t>
            </w:r>
          </w:p>
        </w:tc>
        <w:tc>
          <w:tcPr>
            <w:tcW w:w="1122" w:type="dxa"/>
            <w:tcBorders>
              <w:top w:val="single" w:color="auto" w:sz="4" w:space="0"/>
              <w:left w:val="single" w:color="auto" w:sz="4" w:space="0"/>
              <w:bottom w:val="single" w:color="auto" w:sz="4" w:space="0"/>
              <w:right w:val="single" w:color="auto" w:sz="4" w:space="0"/>
            </w:tcBorders>
            <w:vAlign w:val="center"/>
          </w:tcPr>
          <w:p w14:paraId="1F621EFB">
            <w:pPr>
              <w:spacing w:line="360" w:lineRule="auto"/>
              <w:jc w:val="left"/>
              <w:rPr>
                <w:rFonts w:ascii="宋体" w:hAnsi="宋体" w:cs="宋体"/>
                <w:sz w:val="21"/>
                <w:szCs w:val="21"/>
                <w:highlight w:val="none"/>
              </w:rPr>
            </w:pPr>
            <w:r>
              <w:rPr>
                <w:rFonts w:hint="eastAsia" w:ascii="宋体" w:hAnsi="宋体" w:cs="宋体"/>
                <w:sz w:val="21"/>
                <w:szCs w:val="21"/>
                <w:highlight w:val="none"/>
              </w:rPr>
              <w:t>报价</w:t>
            </w:r>
          </w:p>
          <w:p w14:paraId="0B6405B4">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0分）</w:t>
            </w:r>
          </w:p>
        </w:tc>
        <w:tc>
          <w:tcPr>
            <w:tcW w:w="8723" w:type="dxa"/>
            <w:tcBorders>
              <w:top w:val="single" w:color="auto" w:sz="4" w:space="0"/>
              <w:left w:val="single" w:color="auto" w:sz="4" w:space="0"/>
              <w:bottom w:val="single" w:color="auto" w:sz="4" w:space="0"/>
              <w:right w:val="single" w:color="auto" w:sz="4" w:space="0"/>
            </w:tcBorders>
            <w:vAlign w:val="center"/>
          </w:tcPr>
          <w:p w14:paraId="00E1F638">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为响应关于推动解决政府采购异常低价问题的通知（财库〔2026〕2号）的要求，避免恶意竞争，</w:t>
            </w:r>
            <w:r>
              <w:rPr>
                <w:rFonts w:hint="eastAsia" w:ascii="宋体" w:hAnsi="宋体" w:cs="宋体"/>
                <w:sz w:val="21"/>
                <w:szCs w:val="21"/>
                <w:highlight w:val="none"/>
                <w:lang w:eastAsia="zh-CN"/>
              </w:rPr>
              <w:t>建议</w:t>
            </w:r>
            <w:r>
              <w:rPr>
                <w:rFonts w:hint="eastAsia" w:ascii="宋体" w:hAnsi="宋体" w:cs="宋体"/>
                <w:sz w:val="21"/>
                <w:szCs w:val="21"/>
                <w:highlight w:val="none"/>
              </w:rPr>
              <w:t>货物</w:t>
            </w:r>
            <w:r>
              <w:rPr>
                <w:rFonts w:hint="eastAsia" w:ascii="宋体" w:hAnsi="宋体" w:cs="宋体"/>
                <w:sz w:val="21"/>
                <w:szCs w:val="21"/>
                <w:highlight w:val="none"/>
                <w:lang w:eastAsia="zh-CN"/>
              </w:rPr>
              <w:t>类</w:t>
            </w:r>
            <w:r>
              <w:rPr>
                <w:rFonts w:hint="eastAsia" w:ascii="宋体" w:hAnsi="宋体" w:cs="宋体"/>
                <w:sz w:val="21"/>
                <w:szCs w:val="21"/>
                <w:highlight w:val="none"/>
              </w:rPr>
              <w:t>价格分30分。</w:t>
            </w:r>
          </w:p>
          <w:p w14:paraId="1A6B3340">
            <w:pPr>
              <w:spacing w:line="360" w:lineRule="auto"/>
              <w:jc w:val="left"/>
              <w:rPr>
                <w:rFonts w:ascii="宋体" w:hAnsi="宋体" w:cs="宋体"/>
                <w:sz w:val="21"/>
                <w:szCs w:val="21"/>
                <w:highlight w:val="none"/>
              </w:rPr>
            </w:pPr>
            <w:r>
              <w:rPr>
                <w:rFonts w:hint="eastAsia" w:ascii="宋体" w:hAnsi="宋体" w:cs="宋体"/>
                <w:sz w:val="21"/>
                <w:szCs w:val="21"/>
                <w:highlight w:val="none"/>
              </w:rPr>
              <w:t>价格评分的计算方法如下：</w:t>
            </w:r>
          </w:p>
          <w:p w14:paraId="4EA00849">
            <w:pPr>
              <w:spacing w:line="360" w:lineRule="auto"/>
              <w:jc w:val="left"/>
              <w:rPr>
                <w:rFonts w:ascii="宋体" w:hAnsi="宋体" w:cs="宋体"/>
                <w:sz w:val="21"/>
                <w:szCs w:val="21"/>
                <w:highlight w:val="none"/>
              </w:rPr>
            </w:pPr>
            <w:r>
              <w:rPr>
                <w:rFonts w:hint="eastAsia" w:ascii="宋体" w:hAnsi="宋体" w:cs="宋体"/>
                <w:sz w:val="21"/>
                <w:szCs w:val="21"/>
                <w:highlight w:val="none"/>
              </w:rPr>
              <w:t>1、满足需求要求且报价价格最低的报价为评标基准价，其价格分为满分(</w:t>
            </w:r>
            <w:r>
              <w:rPr>
                <w:rFonts w:hint="eastAsia" w:ascii="宋体" w:hAnsi="宋体" w:cs="宋体"/>
                <w:sz w:val="21"/>
                <w:szCs w:val="21"/>
                <w:highlight w:val="none"/>
                <w:lang w:val="en-US" w:eastAsia="zh-CN"/>
              </w:rPr>
              <w:t>3</w:t>
            </w:r>
            <w:r>
              <w:rPr>
                <w:rFonts w:hint="eastAsia" w:ascii="宋体" w:hAnsi="宋体" w:cs="宋体"/>
                <w:sz w:val="21"/>
                <w:szCs w:val="21"/>
                <w:highlight w:val="none"/>
              </w:rPr>
              <w:t>0分</w:t>
            </w:r>
            <w:r>
              <w:rPr>
                <w:rFonts w:hint="eastAsia" w:ascii="宋体" w:hAnsi="宋体" w:cs="宋体"/>
                <w:sz w:val="21"/>
                <w:szCs w:val="21"/>
                <w:highlight w:val="none"/>
                <w:lang w:eastAsia="zh-CN"/>
              </w:rPr>
              <w:t>）</w:t>
            </w:r>
            <w:r>
              <w:rPr>
                <w:rFonts w:hint="eastAsia" w:ascii="宋体" w:hAnsi="宋体" w:cs="宋体"/>
                <w:sz w:val="21"/>
                <w:szCs w:val="21"/>
                <w:highlight w:val="none"/>
              </w:rPr>
              <w:t>；</w:t>
            </w:r>
          </w:p>
          <w:p w14:paraId="0CDE0EE7">
            <w:pPr>
              <w:spacing w:line="360" w:lineRule="auto"/>
              <w:jc w:val="left"/>
              <w:rPr>
                <w:rFonts w:ascii="宋体" w:hAnsi="宋体" w:cs="宋体"/>
                <w:sz w:val="21"/>
                <w:szCs w:val="21"/>
                <w:highlight w:val="none"/>
              </w:rPr>
            </w:pPr>
            <w:r>
              <w:rPr>
                <w:rFonts w:hint="eastAsia" w:ascii="宋体" w:hAnsi="宋体" w:cs="宋体"/>
                <w:sz w:val="21"/>
                <w:szCs w:val="21"/>
                <w:highlight w:val="none"/>
              </w:rPr>
              <w:t>2、其他合格供应商的报价得分按如下公式计算：报价得分=（基准价/报价）×</w:t>
            </w:r>
            <w:r>
              <w:rPr>
                <w:rFonts w:hint="eastAsia" w:ascii="宋体" w:hAnsi="宋体" w:cs="宋体"/>
                <w:sz w:val="21"/>
                <w:szCs w:val="21"/>
                <w:highlight w:val="none"/>
                <w:lang w:val="en-US" w:eastAsia="zh-CN"/>
              </w:rPr>
              <w:t>3</w:t>
            </w:r>
            <w:r>
              <w:rPr>
                <w:rFonts w:hint="eastAsia" w:ascii="宋体" w:hAnsi="宋体" w:cs="宋体"/>
                <w:sz w:val="21"/>
                <w:szCs w:val="21"/>
                <w:highlight w:val="none"/>
              </w:rPr>
              <w:t>0</w:t>
            </w:r>
          </w:p>
        </w:tc>
      </w:tr>
      <w:tr w14:paraId="3768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4" w:type="dxa"/>
            <w:tcBorders>
              <w:top w:val="single" w:color="auto" w:sz="4" w:space="0"/>
              <w:left w:val="single" w:color="auto" w:sz="4" w:space="0"/>
              <w:bottom w:val="single" w:color="auto" w:sz="4" w:space="0"/>
              <w:right w:val="single" w:color="auto" w:sz="4" w:space="0"/>
            </w:tcBorders>
            <w:vAlign w:val="center"/>
          </w:tcPr>
          <w:p w14:paraId="147A9AB9">
            <w:pPr>
              <w:spacing w:line="360" w:lineRule="auto"/>
              <w:jc w:val="center"/>
              <w:rPr>
                <w:rFonts w:ascii="宋体" w:hAnsi="宋体" w:cs="宋体"/>
                <w:sz w:val="21"/>
                <w:szCs w:val="21"/>
                <w:highlight w:val="none"/>
              </w:rPr>
            </w:pPr>
            <w:r>
              <w:rPr>
                <w:rFonts w:hint="eastAsia" w:ascii="宋体" w:hAnsi="宋体" w:cs="宋体"/>
                <w:sz w:val="21"/>
                <w:szCs w:val="21"/>
                <w:highlight w:val="none"/>
              </w:rPr>
              <w:t>技术分</w:t>
            </w:r>
          </w:p>
          <w:p w14:paraId="60304CD6">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56</w:t>
            </w:r>
            <w:r>
              <w:rPr>
                <w:rFonts w:hint="eastAsia" w:ascii="宋体" w:hAnsi="宋体" w:cs="宋体"/>
                <w:sz w:val="21"/>
                <w:szCs w:val="21"/>
                <w:highlight w:val="none"/>
              </w:rPr>
              <w:t>分）</w:t>
            </w:r>
          </w:p>
        </w:tc>
        <w:tc>
          <w:tcPr>
            <w:tcW w:w="1122" w:type="dxa"/>
            <w:tcBorders>
              <w:top w:val="single" w:color="auto" w:sz="4" w:space="0"/>
              <w:left w:val="single" w:color="auto" w:sz="4" w:space="0"/>
              <w:right w:val="single" w:color="auto" w:sz="4" w:space="0"/>
            </w:tcBorders>
            <w:vAlign w:val="center"/>
          </w:tcPr>
          <w:p w14:paraId="67190BCB">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样品分</w:t>
            </w:r>
          </w:p>
          <w:p w14:paraId="0F0844DB">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（满分</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w:t>
            </w:r>
          </w:p>
          <w:p w14:paraId="6516590F">
            <w:pPr>
              <w:pStyle w:val="23"/>
              <w:rPr>
                <w:rFonts w:hint="eastAsia"/>
                <w:highlight w:val="none"/>
              </w:rPr>
            </w:pPr>
          </w:p>
        </w:tc>
        <w:tc>
          <w:tcPr>
            <w:tcW w:w="8723" w:type="dxa"/>
            <w:tcBorders>
              <w:top w:val="single" w:color="auto" w:sz="4" w:space="0"/>
              <w:left w:val="single" w:color="auto" w:sz="4" w:space="0"/>
              <w:right w:val="single" w:color="auto" w:sz="4" w:space="0"/>
            </w:tcBorders>
            <w:vAlign w:val="center"/>
          </w:tcPr>
          <w:p w14:paraId="1C4CE081">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评审小组对样品进行评审，综合评定外观、厚度、瑕疵等因素，共</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个样品，每个样品</w:t>
            </w:r>
            <w:r>
              <w:rPr>
                <w:rFonts w:hint="eastAsia" w:ascii="宋体" w:hAnsi="宋体" w:cs="宋体"/>
                <w:color w:val="000000"/>
                <w:sz w:val="21"/>
                <w:szCs w:val="21"/>
                <w:highlight w:val="none"/>
                <w:lang w:val="en-US" w:eastAsia="zh-CN"/>
              </w:rPr>
              <w:t>4分，每位评委独立打分</w:t>
            </w:r>
            <w:r>
              <w:rPr>
                <w:rFonts w:hint="eastAsia" w:ascii="宋体" w:hAnsi="宋体" w:cs="宋体"/>
                <w:color w:val="000000"/>
                <w:sz w:val="21"/>
                <w:szCs w:val="21"/>
                <w:highlight w:val="none"/>
                <w:lang w:eastAsia="zh-CN"/>
              </w:rPr>
              <w:t>：</w:t>
            </w:r>
          </w:p>
          <w:p w14:paraId="29A3077E">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 xml:space="preserve">1. </w:t>
            </w:r>
            <w:r>
              <w:rPr>
                <w:rFonts w:hint="eastAsia" w:ascii="宋体" w:hAnsi="宋体" w:eastAsia="宋体" w:cs="宋体"/>
                <w:i w:val="0"/>
                <w:iCs w:val="0"/>
                <w:color w:val="000000"/>
                <w:kern w:val="0"/>
                <w:sz w:val="21"/>
                <w:szCs w:val="21"/>
                <w:highlight w:val="none"/>
                <w:u w:val="none"/>
                <w:lang w:val="en-US" w:eastAsia="zh-CN" w:bidi="ar"/>
              </w:rPr>
              <w:t>1.2米移动柜（脚轮）</w:t>
            </w:r>
            <w:r>
              <w:rPr>
                <w:rFonts w:hint="eastAsia" w:ascii="宋体" w:hAnsi="宋体" w:cs="宋体"/>
                <w:color w:val="000000"/>
                <w:sz w:val="21"/>
                <w:szCs w:val="21"/>
                <w:highlight w:val="none"/>
                <w:lang w:eastAsia="zh-CN"/>
              </w:rPr>
              <w:t xml:space="preserve">（满分4分）  </w:t>
            </w:r>
          </w:p>
          <w:p w14:paraId="05C7ECE4">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1C596A41">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w:t>
            </w:r>
            <w:r>
              <w:rPr>
                <w:rFonts w:hint="eastAsia" w:ascii="宋体" w:hAnsi="宋体" w:eastAsia="宋体" w:cs="宋体"/>
                <w:i w:val="0"/>
                <w:iCs w:val="0"/>
                <w:color w:val="000000"/>
                <w:kern w:val="0"/>
                <w:sz w:val="21"/>
                <w:szCs w:val="21"/>
                <w:highlight w:val="none"/>
                <w:u w:val="none"/>
                <w:lang w:val="en-US" w:eastAsia="zh-CN" w:bidi="ar"/>
              </w:rPr>
              <w:t>1.2米移动柜（柜体钢板）</w:t>
            </w:r>
            <w:r>
              <w:rPr>
                <w:rFonts w:hint="eastAsia" w:ascii="宋体" w:hAnsi="宋体" w:cs="宋体"/>
                <w:color w:val="000000"/>
                <w:sz w:val="21"/>
                <w:szCs w:val="21"/>
                <w:highlight w:val="none"/>
                <w:lang w:eastAsia="zh-CN"/>
              </w:rPr>
              <w:t xml:space="preserve">（满分4分）  </w:t>
            </w:r>
          </w:p>
          <w:p w14:paraId="1E13B13C">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1D61F4F4">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lang w:eastAsia="zh-CN"/>
              </w:rPr>
              <w:t xml:space="preserve">. </w:t>
            </w:r>
            <w:r>
              <w:rPr>
                <w:rFonts w:hint="eastAsia" w:ascii="宋体" w:hAnsi="宋体" w:eastAsia="宋体" w:cs="宋体"/>
                <w:i w:val="0"/>
                <w:iCs w:val="0"/>
                <w:color w:val="000000"/>
                <w:kern w:val="0"/>
                <w:sz w:val="21"/>
                <w:szCs w:val="21"/>
                <w:highlight w:val="none"/>
                <w:u w:val="none"/>
                <w:lang w:val="en-US" w:eastAsia="zh-CN" w:bidi="ar"/>
              </w:rPr>
              <w:t>1.2米移动柜（调节立柱）</w:t>
            </w:r>
            <w:r>
              <w:rPr>
                <w:rFonts w:hint="eastAsia" w:ascii="宋体" w:hAnsi="宋体" w:cs="宋体"/>
                <w:color w:val="000000"/>
                <w:sz w:val="21"/>
                <w:szCs w:val="21"/>
                <w:highlight w:val="none"/>
                <w:lang w:eastAsia="zh-CN"/>
              </w:rPr>
              <w:t xml:space="preserve">（满分4分）  </w:t>
            </w:r>
          </w:p>
          <w:p w14:paraId="55E02611">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6135A004">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lang w:eastAsia="zh-CN"/>
              </w:rPr>
              <w:t xml:space="preserve">. </w:t>
            </w:r>
            <w:r>
              <w:rPr>
                <w:rFonts w:hint="eastAsia" w:ascii="宋体" w:hAnsi="宋体" w:eastAsia="宋体" w:cs="宋体"/>
                <w:i w:val="0"/>
                <w:iCs w:val="0"/>
                <w:color w:val="000000"/>
                <w:kern w:val="0"/>
                <w:sz w:val="21"/>
                <w:szCs w:val="21"/>
                <w:highlight w:val="none"/>
                <w:u w:val="none"/>
                <w:lang w:val="en-US" w:eastAsia="zh-CN" w:bidi="ar"/>
              </w:rPr>
              <w:t>钢制货架（立柱）</w:t>
            </w:r>
            <w:r>
              <w:rPr>
                <w:rFonts w:hint="eastAsia" w:ascii="宋体" w:hAnsi="宋体" w:cs="宋体"/>
                <w:color w:val="000000"/>
                <w:sz w:val="21"/>
                <w:szCs w:val="21"/>
                <w:highlight w:val="none"/>
                <w:lang w:eastAsia="zh-CN"/>
              </w:rPr>
              <w:t xml:space="preserve">（满分4分）  </w:t>
            </w:r>
          </w:p>
          <w:p w14:paraId="25354FCD">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w:t>
            </w:r>
          </w:p>
          <w:p w14:paraId="1288BB7A">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 xml:space="preserve">. </w:t>
            </w:r>
            <w:r>
              <w:rPr>
                <w:rFonts w:hint="eastAsia" w:ascii="宋体" w:hAnsi="宋体" w:eastAsia="宋体" w:cs="宋体"/>
                <w:i w:val="0"/>
                <w:iCs w:val="0"/>
                <w:color w:val="000000"/>
                <w:kern w:val="0"/>
                <w:sz w:val="22"/>
                <w:szCs w:val="22"/>
                <w:highlight w:val="none"/>
                <w:u w:val="none"/>
                <w:lang w:val="en-US" w:eastAsia="zh-CN" w:bidi="ar"/>
              </w:rPr>
              <w:t>钢制货架（横梁）</w:t>
            </w:r>
            <w:r>
              <w:rPr>
                <w:rFonts w:hint="eastAsia" w:ascii="宋体" w:hAnsi="宋体" w:cs="宋体"/>
                <w:color w:val="000000"/>
                <w:sz w:val="21"/>
                <w:szCs w:val="21"/>
                <w:highlight w:val="none"/>
                <w:lang w:eastAsia="zh-CN"/>
              </w:rPr>
              <w:t xml:space="preserve">（满分4分）  </w:t>
            </w:r>
          </w:p>
          <w:p w14:paraId="31694FE8">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①小样完全符合要求，外表感官良好，工艺精致（如涂层光滑均匀、色泽一致、配件安装严密平整、注塑件表面光洁无杂质等），得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；②小样基本合格，无明显瑕疵，得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000000"/>
                <w:sz w:val="21"/>
                <w:szCs w:val="21"/>
                <w:highlight w:val="none"/>
                <w:lang w:eastAsia="zh-CN"/>
              </w:rPr>
              <w:t>小样有明显瑕疵（如有明显的焊渣、焊疤、裂缝、毛刺、黑斑、外观损伤等瑕疵的），得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 xml:space="preserve">。 </w:t>
            </w:r>
          </w:p>
        </w:tc>
      </w:tr>
      <w:tr w14:paraId="25BE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1054" w:type="dxa"/>
            <w:vMerge w:val="restart"/>
            <w:tcBorders>
              <w:top w:val="single" w:color="auto" w:sz="4" w:space="0"/>
              <w:left w:val="single" w:color="auto" w:sz="4" w:space="0"/>
              <w:bottom w:val="single" w:color="auto" w:sz="4" w:space="0"/>
              <w:right w:val="single" w:color="auto" w:sz="4" w:space="0"/>
            </w:tcBorders>
            <w:vAlign w:val="center"/>
          </w:tcPr>
          <w:p w14:paraId="2FD77FAF">
            <w:pPr>
              <w:spacing w:line="360" w:lineRule="auto"/>
              <w:jc w:val="left"/>
              <w:rPr>
                <w:rFonts w:ascii="宋体" w:hAnsi="宋体" w:cs="宋体"/>
                <w:sz w:val="21"/>
                <w:szCs w:val="21"/>
                <w:highlight w:val="none"/>
              </w:rPr>
            </w:pPr>
            <w:r>
              <w:rPr>
                <w:rFonts w:hint="eastAsia" w:ascii="宋体" w:hAnsi="宋体" w:cs="宋体"/>
                <w:sz w:val="21"/>
                <w:szCs w:val="21"/>
                <w:highlight w:val="none"/>
              </w:rPr>
              <w:t>技术分</w:t>
            </w:r>
          </w:p>
          <w:p w14:paraId="23EACBB2">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56</w:t>
            </w:r>
            <w:r>
              <w:rPr>
                <w:rFonts w:hint="eastAsia" w:ascii="宋体" w:hAnsi="宋体" w:cs="宋体"/>
                <w:sz w:val="21"/>
                <w:szCs w:val="21"/>
                <w:highlight w:val="none"/>
              </w:rPr>
              <w:t>分）</w:t>
            </w:r>
          </w:p>
        </w:tc>
        <w:tc>
          <w:tcPr>
            <w:tcW w:w="1122" w:type="dxa"/>
            <w:tcBorders>
              <w:top w:val="single" w:color="auto" w:sz="4" w:space="0"/>
              <w:left w:val="single" w:color="auto" w:sz="4" w:space="0"/>
              <w:right w:val="single" w:color="auto" w:sz="4" w:space="0"/>
            </w:tcBorders>
            <w:vAlign w:val="center"/>
          </w:tcPr>
          <w:p w14:paraId="41D971A7">
            <w:pPr>
              <w:jc w:val="center"/>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项目</w:t>
            </w:r>
            <w:r>
              <w:rPr>
                <w:rFonts w:hint="eastAsia" w:ascii="宋体" w:hAnsi="宋体" w:eastAsia="宋体" w:cs="宋体"/>
                <w:highlight w:val="none"/>
                <w:vertAlign w:val="baseline"/>
                <w:lang w:val="en-US" w:eastAsia="zh-CN"/>
              </w:rPr>
              <w:t>实施</w:t>
            </w:r>
            <w:r>
              <w:rPr>
                <w:rFonts w:hint="eastAsia" w:ascii="宋体" w:hAnsi="宋体" w:eastAsia="宋体" w:cs="宋体"/>
                <w:highlight w:val="none"/>
                <w:vertAlign w:val="baseline"/>
                <w:lang w:eastAsia="zh-CN"/>
              </w:rPr>
              <w:t>方案</w:t>
            </w:r>
          </w:p>
          <w:p w14:paraId="289225F6">
            <w:pPr>
              <w:jc w:val="center"/>
              <w:rPr>
                <w:rFonts w:ascii="宋体" w:hAnsi="宋体" w:cs="宋体"/>
                <w:sz w:val="21"/>
                <w:szCs w:val="21"/>
                <w:highlight w:val="none"/>
              </w:rPr>
            </w:pPr>
            <w:r>
              <w:rPr>
                <w:rFonts w:hint="eastAsia" w:ascii="宋体" w:hAnsi="宋体" w:eastAsia="宋体" w:cs="宋体"/>
                <w:highlight w:val="none"/>
                <w:vertAlign w:val="baseline"/>
                <w:lang w:eastAsia="zh-CN"/>
              </w:rPr>
              <w:t>（满分</w:t>
            </w:r>
            <w:r>
              <w:rPr>
                <w:rFonts w:hint="eastAsia" w:ascii="宋体" w:hAnsi="宋体" w:cs="宋体"/>
                <w:highlight w:val="none"/>
                <w:vertAlign w:val="baseline"/>
                <w:lang w:val="en-US" w:eastAsia="zh-CN"/>
              </w:rPr>
              <w:t>18</w:t>
            </w:r>
            <w:r>
              <w:rPr>
                <w:rFonts w:hint="eastAsia" w:ascii="宋体" w:hAnsi="宋体" w:eastAsia="宋体" w:cs="宋体"/>
                <w:highlight w:val="none"/>
                <w:vertAlign w:val="baseline"/>
                <w:lang w:val="en-US" w:eastAsia="zh-CN"/>
              </w:rPr>
              <w:t>分）</w:t>
            </w:r>
          </w:p>
        </w:tc>
        <w:tc>
          <w:tcPr>
            <w:tcW w:w="8723" w:type="dxa"/>
            <w:tcBorders>
              <w:top w:val="single" w:color="auto" w:sz="4" w:space="0"/>
              <w:left w:val="single" w:color="auto" w:sz="4" w:space="0"/>
              <w:right w:val="single" w:color="auto" w:sz="4" w:space="0"/>
            </w:tcBorders>
            <w:vAlign w:val="top"/>
          </w:tcPr>
          <w:p w14:paraId="74BC0940">
            <w:pPr>
              <w:numPr>
                <w:ilvl w:val="0"/>
                <w:numId w:val="3"/>
              </w:numPr>
              <w:rPr>
                <w:rFonts w:hint="eastAsia" w:ascii="宋体" w:hAnsi="宋体" w:eastAsia="宋体" w:cs="宋体"/>
                <w:highlight w:val="none"/>
              </w:rPr>
            </w:pPr>
            <w:r>
              <w:rPr>
                <w:rFonts w:hint="eastAsia" w:ascii="宋体" w:hAnsi="宋体" w:eastAsia="宋体" w:cs="宋体"/>
                <w:highlight w:val="none"/>
              </w:rPr>
              <w:t>进度计划（6分）</w:t>
            </w:r>
            <w:r>
              <w:rPr>
                <w:rFonts w:hint="eastAsia" w:ascii="宋体" w:hAnsi="宋体" w:eastAsia="宋体" w:cs="宋体"/>
                <w:highlight w:val="none"/>
                <w:lang w:eastAsia="zh-CN"/>
              </w:rPr>
              <w:t>：</w:t>
            </w:r>
          </w:p>
          <w:p w14:paraId="1BFEED32">
            <w:pPr>
              <w:numPr>
                <w:ilvl w:val="0"/>
                <w:numId w:val="0"/>
              </w:numPr>
              <w:ind w:firstLine="420" w:firstLineChars="200"/>
              <w:rPr>
                <w:rFonts w:hint="eastAsia" w:ascii="宋体" w:hAnsi="宋体" w:eastAsia="宋体" w:cs="宋体"/>
                <w:highlight w:val="none"/>
              </w:rPr>
            </w:pPr>
            <w:r>
              <w:rPr>
                <w:rFonts w:hint="eastAsia" w:ascii="宋体" w:hAnsi="宋体" w:eastAsia="宋体" w:cs="宋体"/>
                <w:highlight w:val="none"/>
              </w:rPr>
              <w:t>按关键节点覆盖程度：含生产排期、运输计划、安装调试计划、验收计划四个节点且时间节点明确得6分，含3个节点得4分，含2个及以下得2分，未提供得0分；</w:t>
            </w:r>
          </w:p>
          <w:p w14:paraId="593E838D">
            <w:pPr>
              <w:numPr>
                <w:ilvl w:val="0"/>
                <w:numId w:val="3"/>
              </w:numPr>
              <w:ind w:left="0" w:leftChars="0" w:firstLine="0" w:firstLineChars="0"/>
              <w:rPr>
                <w:rFonts w:hint="eastAsia" w:ascii="宋体" w:hAnsi="宋体" w:eastAsia="宋体" w:cs="宋体"/>
                <w:highlight w:val="none"/>
              </w:rPr>
            </w:pPr>
            <w:r>
              <w:rPr>
                <w:rFonts w:hint="eastAsia" w:ascii="宋体" w:hAnsi="宋体" w:eastAsia="宋体" w:cs="宋体"/>
                <w:highlight w:val="none"/>
              </w:rPr>
              <w:t>资源配置方案（6分）</w:t>
            </w:r>
          </w:p>
          <w:p w14:paraId="23B30795">
            <w:pPr>
              <w:numPr>
                <w:ilvl w:val="0"/>
                <w:numId w:val="0"/>
              </w:numPr>
              <w:ind w:leftChars="0" w:firstLine="420" w:firstLineChars="200"/>
              <w:rPr>
                <w:rFonts w:hint="eastAsia" w:ascii="宋体" w:hAnsi="宋体" w:eastAsia="宋体" w:cs="宋体"/>
                <w:highlight w:val="none"/>
              </w:rPr>
            </w:pPr>
            <w:r>
              <w:rPr>
                <w:rFonts w:hint="eastAsia" w:ascii="宋体" w:hAnsi="宋体" w:eastAsia="宋体" w:cs="宋体"/>
                <w:highlight w:val="none"/>
              </w:rPr>
              <w:t>按配置完整性：含仓储场地证明、运输车辆证明、安装人员名单（含资质）三项得6分，含两项得4分，含一项得2分，未提供得0分；</w:t>
            </w:r>
          </w:p>
          <w:p w14:paraId="63A23B95">
            <w:pPr>
              <w:numPr>
                <w:ilvl w:val="0"/>
                <w:numId w:val="3"/>
              </w:numPr>
              <w:ind w:left="0" w:leftChars="0" w:firstLine="0" w:firstLineChars="0"/>
              <w:rPr>
                <w:rFonts w:hint="eastAsia" w:ascii="宋体" w:hAnsi="宋体" w:eastAsia="宋体" w:cs="宋体"/>
                <w:highlight w:val="none"/>
              </w:rPr>
            </w:pPr>
            <w:r>
              <w:rPr>
                <w:rFonts w:hint="eastAsia" w:ascii="宋体" w:hAnsi="宋体" w:eastAsia="宋体" w:cs="宋体"/>
                <w:highlight w:val="none"/>
              </w:rPr>
              <w:t>安装调试及培训方案（6分）</w:t>
            </w:r>
          </w:p>
          <w:p w14:paraId="0CFDE455">
            <w:pPr>
              <w:numPr>
                <w:ilvl w:val="0"/>
                <w:numId w:val="0"/>
              </w:numPr>
              <w:ind w:firstLine="420" w:firstLineChars="200"/>
              <w:rPr>
                <w:rFonts w:ascii="宋体" w:hAnsi="宋体" w:cs="宋体"/>
                <w:sz w:val="21"/>
                <w:szCs w:val="21"/>
                <w:highlight w:val="none"/>
              </w:rPr>
            </w:pPr>
            <w:r>
              <w:rPr>
                <w:rFonts w:hint="eastAsia" w:ascii="宋体" w:hAnsi="宋体" w:eastAsia="宋体" w:cs="宋体"/>
                <w:highlight w:val="none"/>
              </w:rPr>
              <w:t>按方案完整性：含安装工艺流程、质量检验标准、培训课时安排三项得6分，含两项得4分，含一项得2分，未提供得0分。议技术人员要求不少于</w:t>
            </w:r>
            <w:r>
              <w:rPr>
                <w:rFonts w:hint="eastAsia" w:ascii="宋体" w:hAnsi="宋体" w:eastAsia="宋体" w:cs="宋体"/>
                <w:highlight w:val="none"/>
                <w:lang w:val="en-US" w:eastAsia="zh-CN"/>
              </w:rPr>
              <w:t>5</w:t>
            </w:r>
            <w:r>
              <w:rPr>
                <w:rFonts w:hint="eastAsia" w:ascii="宋体" w:hAnsi="宋体" w:eastAsia="宋体" w:cs="宋体"/>
                <w:highlight w:val="none"/>
              </w:rPr>
              <w:t>人。</w:t>
            </w:r>
          </w:p>
        </w:tc>
      </w:tr>
      <w:tr w14:paraId="6C0D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54" w:type="dxa"/>
            <w:vMerge w:val="continue"/>
            <w:tcBorders>
              <w:left w:val="single" w:color="auto" w:sz="4" w:space="0"/>
              <w:right w:val="single" w:color="auto" w:sz="4" w:space="0"/>
            </w:tcBorders>
            <w:vAlign w:val="center"/>
          </w:tcPr>
          <w:p w14:paraId="59C0E524">
            <w:pPr>
              <w:spacing w:line="360" w:lineRule="auto"/>
              <w:jc w:val="left"/>
              <w:rPr>
                <w:rFonts w:hint="eastAsia" w:ascii="宋体" w:hAnsi="宋体" w:cs="宋体"/>
                <w:sz w:val="21"/>
                <w:szCs w:val="21"/>
                <w:highlight w:val="none"/>
              </w:rPr>
            </w:pPr>
          </w:p>
        </w:tc>
        <w:tc>
          <w:tcPr>
            <w:tcW w:w="1122" w:type="dxa"/>
            <w:tcBorders>
              <w:top w:val="single" w:color="auto" w:sz="4" w:space="0"/>
              <w:left w:val="single" w:color="auto" w:sz="4" w:space="0"/>
              <w:right w:val="single" w:color="auto" w:sz="4" w:space="0"/>
            </w:tcBorders>
            <w:vAlign w:val="center"/>
          </w:tcPr>
          <w:p w14:paraId="5C188255">
            <w:pPr>
              <w:jc w:val="center"/>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售后服务分</w:t>
            </w:r>
          </w:p>
          <w:p w14:paraId="373188F6">
            <w:pPr>
              <w:jc w:val="center"/>
              <w:rPr>
                <w:rFonts w:hint="eastAsia" w:ascii="宋体" w:hAnsi="宋体" w:cs="宋体"/>
                <w:sz w:val="21"/>
                <w:szCs w:val="21"/>
                <w:highlight w:val="none"/>
              </w:rPr>
            </w:pPr>
            <w:r>
              <w:rPr>
                <w:rFonts w:hint="eastAsia" w:ascii="宋体" w:hAnsi="宋体" w:eastAsia="宋体" w:cs="宋体"/>
                <w:highlight w:val="none"/>
                <w:vertAlign w:val="baseline"/>
                <w:lang w:eastAsia="zh-CN"/>
              </w:rPr>
              <w:t>（满分</w:t>
            </w:r>
            <w:r>
              <w:rPr>
                <w:rFonts w:hint="eastAsia" w:ascii="宋体" w:hAnsi="宋体" w:cs="宋体"/>
                <w:highlight w:val="none"/>
                <w:vertAlign w:val="baseline"/>
                <w:lang w:val="en-US" w:eastAsia="zh-CN"/>
              </w:rPr>
              <w:t>18</w:t>
            </w:r>
            <w:r>
              <w:rPr>
                <w:rFonts w:hint="eastAsia" w:ascii="宋体" w:hAnsi="宋体" w:eastAsia="宋体" w:cs="宋体"/>
                <w:highlight w:val="none"/>
                <w:vertAlign w:val="baseline"/>
                <w:lang w:val="en-US" w:eastAsia="zh-CN"/>
              </w:rPr>
              <w:t>分）</w:t>
            </w:r>
          </w:p>
        </w:tc>
        <w:tc>
          <w:tcPr>
            <w:tcW w:w="8723" w:type="dxa"/>
            <w:tcBorders>
              <w:top w:val="single" w:color="auto" w:sz="4" w:space="0"/>
              <w:left w:val="single" w:color="auto" w:sz="4" w:space="0"/>
              <w:right w:val="single" w:color="auto" w:sz="4" w:space="0"/>
            </w:tcBorders>
            <w:vAlign w:val="top"/>
          </w:tcPr>
          <w:p w14:paraId="7055395C">
            <w:pPr>
              <w:rPr>
                <w:rFonts w:hint="eastAsia" w:ascii="宋体" w:hAnsi="宋体" w:eastAsia="宋体" w:cs="宋体"/>
                <w:highlight w:val="none"/>
              </w:rPr>
            </w:pPr>
            <w:r>
              <w:rPr>
                <w:rFonts w:hint="eastAsia" w:ascii="宋体" w:hAnsi="宋体" w:eastAsia="宋体" w:cs="宋体"/>
                <w:highlight w:val="none"/>
              </w:rPr>
              <w:t>项目实施及售后服务承诺基本要求:至少应包括质保期、保修期限、到达故障现场时间</w:t>
            </w:r>
            <w:r>
              <w:rPr>
                <w:rFonts w:hint="eastAsia" w:ascii="宋体" w:hAnsi="宋体" w:eastAsia="宋体" w:cs="宋体"/>
                <w:highlight w:val="none"/>
                <w:lang w:eastAsia="zh-CN"/>
              </w:rPr>
              <w:t>（</w:t>
            </w:r>
            <w:r>
              <w:rPr>
                <w:rFonts w:hint="eastAsia" w:ascii="宋体" w:hAnsi="宋体" w:eastAsia="宋体" w:cs="宋体"/>
                <w:highlight w:val="none"/>
              </w:rPr>
              <w:t>维护电话保证7x24小时响应，自接到故障通知起2小时内到达故障现场</w:t>
            </w:r>
            <w:r>
              <w:rPr>
                <w:rFonts w:hint="eastAsia" w:ascii="宋体" w:hAnsi="宋体" w:eastAsia="宋体" w:cs="宋体"/>
                <w:highlight w:val="none"/>
                <w:lang w:eastAsia="zh-CN"/>
              </w:rPr>
              <w:t>）</w:t>
            </w:r>
            <w:r>
              <w:rPr>
                <w:rFonts w:hint="eastAsia" w:ascii="宋体" w:hAnsi="宋体" w:eastAsia="宋体" w:cs="宋体"/>
                <w:highlight w:val="none"/>
              </w:rPr>
              <w:t>、故障出现解决方案、定期维护</w:t>
            </w:r>
            <w:r>
              <w:rPr>
                <w:rFonts w:hint="eastAsia" w:ascii="宋体" w:hAnsi="宋体" w:eastAsia="宋体" w:cs="宋体"/>
                <w:highlight w:val="none"/>
                <w:lang w:eastAsia="zh-CN"/>
              </w:rPr>
              <w:t>（</w:t>
            </w:r>
            <w:r>
              <w:rPr>
                <w:rFonts w:hint="eastAsia" w:ascii="宋体" w:hAnsi="宋体" w:eastAsia="宋体" w:cs="宋体"/>
                <w:highlight w:val="none"/>
              </w:rPr>
              <w:t>注明时间</w:t>
            </w:r>
            <w:r>
              <w:rPr>
                <w:rFonts w:hint="eastAsia" w:ascii="宋体" w:hAnsi="宋体" w:eastAsia="宋体" w:cs="宋体"/>
                <w:highlight w:val="none"/>
                <w:lang w:eastAsia="zh-CN"/>
              </w:rPr>
              <w:t>）</w:t>
            </w:r>
            <w:r>
              <w:rPr>
                <w:rFonts w:hint="eastAsia" w:ascii="宋体" w:hAnsi="宋体" w:eastAsia="宋体" w:cs="宋体"/>
                <w:highlight w:val="none"/>
              </w:rPr>
              <w:t>、质保期内提供专人负责维保</w:t>
            </w:r>
            <w:r>
              <w:rPr>
                <w:rFonts w:hint="eastAsia" w:ascii="宋体" w:hAnsi="宋体" w:eastAsia="宋体" w:cs="宋体"/>
                <w:highlight w:val="none"/>
                <w:lang w:eastAsia="zh-CN"/>
              </w:rPr>
              <w:t>（</w:t>
            </w:r>
            <w:r>
              <w:rPr>
                <w:rFonts w:hint="eastAsia" w:ascii="宋体" w:hAnsi="宋体" w:eastAsia="宋体" w:cs="宋体"/>
                <w:highlight w:val="none"/>
              </w:rPr>
              <w:t>售后服务承诺书内应有维保人员名单及联系方式</w:t>
            </w:r>
            <w:r>
              <w:rPr>
                <w:rFonts w:hint="eastAsia" w:ascii="宋体" w:hAnsi="宋体" w:eastAsia="宋体" w:cs="宋体"/>
                <w:highlight w:val="none"/>
                <w:lang w:eastAsia="zh-CN"/>
              </w:rPr>
              <w:t>）</w:t>
            </w:r>
            <w:r>
              <w:rPr>
                <w:rFonts w:hint="eastAsia" w:ascii="宋体" w:hAnsi="宋体" w:eastAsia="宋体" w:cs="宋体"/>
                <w:highlight w:val="none"/>
              </w:rPr>
              <w:t>，故障处理时限</w:t>
            </w:r>
            <w:r>
              <w:rPr>
                <w:rFonts w:hint="eastAsia" w:ascii="宋体" w:hAnsi="宋体" w:eastAsia="宋体" w:cs="宋体"/>
                <w:highlight w:val="none"/>
                <w:lang w:eastAsia="zh-CN"/>
              </w:rPr>
              <w:t>（</w:t>
            </w:r>
            <w:r>
              <w:rPr>
                <w:rFonts w:hint="eastAsia" w:ascii="宋体" w:hAnsi="宋体" w:eastAsia="宋体" w:cs="宋体"/>
                <w:highlight w:val="none"/>
              </w:rPr>
              <w:t>不能超过 12 小时，对不能修复的保证在 24 小时内提供替代品或直接更换</w:t>
            </w:r>
            <w:r>
              <w:rPr>
                <w:rFonts w:hint="eastAsia" w:ascii="宋体" w:hAnsi="宋体" w:eastAsia="宋体" w:cs="宋体"/>
                <w:highlight w:val="none"/>
                <w:lang w:eastAsia="zh-CN"/>
              </w:rPr>
              <w:t>）</w:t>
            </w:r>
            <w:r>
              <w:rPr>
                <w:rFonts w:hint="eastAsia" w:ascii="宋体" w:hAnsi="宋体" w:eastAsia="宋体" w:cs="宋体"/>
                <w:highlight w:val="none"/>
              </w:rPr>
              <w:t>，质保期满前一个月及质保期内每年进行一次全面检修与保养，保修期外维修方案、其他优惠措施、安装要求及方案。</w:t>
            </w:r>
          </w:p>
          <w:p w14:paraId="1B2D3510">
            <w:pPr>
              <w:rPr>
                <w:rFonts w:hint="eastAsia" w:ascii="宋体" w:hAnsi="宋体" w:eastAsia="宋体" w:cs="宋体"/>
                <w:highlight w:val="none"/>
              </w:rPr>
            </w:pPr>
            <w:r>
              <w:rPr>
                <w:rFonts w:hint="eastAsia" w:ascii="宋体" w:hAnsi="宋体" w:eastAsia="宋体" w:cs="宋体"/>
                <w:highlight w:val="none"/>
                <w:lang w:eastAsia="zh-CN"/>
              </w:rPr>
              <w:t>一</w:t>
            </w:r>
            <w:r>
              <w:rPr>
                <w:rFonts w:hint="eastAsia" w:ascii="宋体" w:hAnsi="宋体" w:eastAsia="宋体" w:cs="宋体"/>
                <w:highlight w:val="none"/>
              </w:rPr>
              <w:t>档</w:t>
            </w:r>
            <w:r>
              <w:rPr>
                <w:rFonts w:hint="eastAsia" w:ascii="宋体" w:hAnsi="宋体" w:eastAsia="宋体" w:cs="宋体"/>
                <w:highlight w:val="none"/>
                <w:lang w:eastAsia="zh-CN"/>
              </w:rPr>
              <w:t>（</w:t>
            </w:r>
            <w:r>
              <w:rPr>
                <w:rFonts w:hint="eastAsia" w:ascii="宋体" w:hAnsi="宋体" w:cs="宋体"/>
                <w:highlight w:val="none"/>
                <w:lang w:val="en-US" w:eastAsia="zh-CN"/>
              </w:rPr>
              <w:t>6</w:t>
            </w:r>
            <w:r>
              <w:rPr>
                <w:rFonts w:hint="eastAsia" w:ascii="宋体" w:hAnsi="宋体" w:eastAsia="宋体" w:cs="宋体"/>
                <w:highlight w:val="none"/>
              </w:rPr>
              <w:t>分</w:t>
            </w:r>
            <w:r>
              <w:rPr>
                <w:rFonts w:hint="eastAsia" w:ascii="宋体" w:hAnsi="宋体" w:eastAsia="宋体" w:cs="宋体"/>
                <w:highlight w:val="none"/>
                <w:lang w:eastAsia="zh-CN"/>
              </w:rPr>
              <w:t>）</w:t>
            </w:r>
            <w:r>
              <w:rPr>
                <w:rFonts w:hint="eastAsia" w:ascii="宋体" w:hAnsi="宋体" w:eastAsia="宋体" w:cs="宋体"/>
                <w:highlight w:val="none"/>
              </w:rPr>
              <w:t>:售后服务承诺书内容完整</w:t>
            </w:r>
            <w:r>
              <w:rPr>
                <w:rFonts w:hint="eastAsia" w:ascii="宋体" w:hAnsi="宋体" w:eastAsia="宋体" w:cs="宋体"/>
                <w:highlight w:val="none"/>
                <w:lang w:eastAsia="zh-CN"/>
              </w:rPr>
              <w:t>；供应商在2小时内响应，3小时内到达现场处理，一般故障处理时限不超过</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小时，重大故障处理时限不超过24小时修复。未能修复的直接更换，保证采购人正常使用。按国家及行业标准对故障进行及时处理。</w:t>
            </w:r>
            <w:r>
              <w:rPr>
                <w:rFonts w:hint="eastAsia" w:ascii="宋体" w:hAnsi="宋体" w:eastAsia="宋体" w:cs="宋体"/>
                <w:highlight w:val="none"/>
              </w:rPr>
              <w:t>定期维护方式方法合理，有完整的技术培训方案保修期外维修方案</w:t>
            </w:r>
            <w:r>
              <w:rPr>
                <w:rFonts w:hint="eastAsia" w:ascii="宋体" w:hAnsi="宋体" w:eastAsia="宋体" w:cs="宋体"/>
                <w:highlight w:val="none"/>
                <w:lang w:eastAsia="zh-CN"/>
              </w:rPr>
              <w:t>；</w:t>
            </w:r>
            <w:r>
              <w:rPr>
                <w:rFonts w:hint="eastAsia" w:ascii="宋体" w:hAnsi="宋体" w:eastAsia="宋体" w:cs="宋体"/>
                <w:highlight w:val="none"/>
              </w:rPr>
              <w:t>有售后服务能力措施。</w:t>
            </w:r>
          </w:p>
          <w:p w14:paraId="6B0B02EA">
            <w:pPr>
              <w:rPr>
                <w:rFonts w:hint="eastAsia" w:ascii="宋体" w:hAnsi="宋体" w:eastAsia="宋体" w:cs="宋体"/>
                <w:highlight w:val="none"/>
              </w:rPr>
            </w:pPr>
            <w:r>
              <w:rPr>
                <w:rFonts w:hint="eastAsia" w:ascii="宋体" w:hAnsi="宋体" w:eastAsia="宋体" w:cs="宋体"/>
                <w:highlight w:val="none"/>
              </w:rPr>
              <w:t>二档</w:t>
            </w:r>
            <w:r>
              <w:rPr>
                <w:rFonts w:hint="eastAsia" w:ascii="宋体" w:hAnsi="宋体" w:eastAsia="宋体" w:cs="宋体"/>
                <w:highlight w:val="none"/>
                <w:lang w:eastAsia="zh-CN"/>
              </w:rPr>
              <w:t>（</w:t>
            </w:r>
            <w:r>
              <w:rPr>
                <w:rFonts w:hint="eastAsia" w:ascii="宋体" w:hAnsi="宋体" w:cs="宋体"/>
                <w:highlight w:val="none"/>
                <w:lang w:val="en-US" w:eastAsia="zh-CN"/>
              </w:rPr>
              <w:t>12</w:t>
            </w:r>
            <w:r>
              <w:rPr>
                <w:rFonts w:hint="eastAsia" w:ascii="宋体" w:hAnsi="宋体" w:eastAsia="宋体" w:cs="宋体"/>
                <w:highlight w:val="none"/>
              </w:rPr>
              <w:t>分</w:t>
            </w:r>
            <w:r>
              <w:rPr>
                <w:rFonts w:hint="eastAsia" w:ascii="宋体" w:hAnsi="宋体" w:eastAsia="宋体" w:cs="宋体"/>
                <w:highlight w:val="none"/>
                <w:lang w:eastAsia="zh-CN"/>
              </w:rPr>
              <w:t>）</w:t>
            </w:r>
            <w:r>
              <w:rPr>
                <w:rFonts w:hint="eastAsia" w:ascii="宋体" w:hAnsi="宋体" w:eastAsia="宋体" w:cs="宋体"/>
                <w:highlight w:val="none"/>
              </w:rPr>
              <w:t>:售后服务承诺书内容详细具体</w:t>
            </w:r>
            <w:r>
              <w:rPr>
                <w:rFonts w:hint="eastAsia" w:ascii="宋体" w:hAnsi="宋体" w:eastAsia="宋体" w:cs="宋体"/>
                <w:highlight w:val="none"/>
                <w:lang w:eastAsia="zh-CN"/>
              </w:rPr>
              <w:t>供应商在2小时内响应，3小时内到达现场处理，一般故障处理时限不超过</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小时，重大故障处理时限不超过</w:t>
            </w:r>
            <w:r>
              <w:rPr>
                <w:rFonts w:hint="eastAsia" w:ascii="宋体" w:hAnsi="宋体" w:eastAsia="宋体" w:cs="宋体"/>
                <w:highlight w:val="none"/>
                <w:lang w:val="en-US" w:eastAsia="zh-CN"/>
              </w:rPr>
              <w:t>12</w:t>
            </w:r>
            <w:r>
              <w:rPr>
                <w:rFonts w:hint="eastAsia" w:ascii="宋体" w:hAnsi="宋体" w:eastAsia="宋体" w:cs="宋体"/>
                <w:highlight w:val="none"/>
                <w:lang w:eastAsia="zh-CN"/>
              </w:rPr>
              <w:t>小时修复。未能修复的直接更换，保证采购人正常使用。按国家及行业标准对故障进行及时处理。</w:t>
            </w:r>
            <w:r>
              <w:rPr>
                <w:rFonts w:hint="eastAsia" w:ascii="宋体" w:hAnsi="宋体" w:eastAsia="宋体" w:cs="宋体"/>
                <w:highlight w:val="none"/>
              </w:rPr>
              <w:t>定期维护方式方法合理，有完整的技术培训方案、保修期外维修方案</w:t>
            </w:r>
            <w:r>
              <w:rPr>
                <w:rFonts w:hint="eastAsia" w:ascii="宋体" w:hAnsi="宋体" w:eastAsia="宋体" w:cs="宋体"/>
                <w:highlight w:val="none"/>
                <w:lang w:eastAsia="zh-CN"/>
              </w:rPr>
              <w:t>；</w:t>
            </w:r>
            <w:r>
              <w:rPr>
                <w:rFonts w:hint="eastAsia" w:ascii="宋体" w:hAnsi="宋体" w:eastAsia="宋体" w:cs="宋体"/>
                <w:highlight w:val="none"/>
              </w:rPr>
              <w:t>有完善的本地化售后服务措施:对售后服务应急预案、其他优惠措施等方面都有描述，可操作性强。</w:t>
            </w:r>
          </w:p>
          <w:p w14:paraId="08C70738">
            <w:pPr>
              <w:rPr>
                <w:rFonts w:hint="eastAsia" w:ascii="宋体" w:hAnsi="宋体" w:cs="宋体"/>
                <w:sz w:val="21"/>
                <w:szCs w:val="21"/>
                <w:highlight w:val="none"/>
              </w:rPr>
            </w:pPr>
            <w:r>
              <w:rPr>
                <w:rFonts w:hint="eastAsia" w:ascii="宋体" w:hAnsi="宋体" w:eastAsia="宋体" w:cs="宋体"/>
                <w:highlight w:val="none"/>
              </w:rPr>
              <w:t>三档</w:t>
            </w: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cs="宋体"/>
                <w:highlight w:val="none"/>
                <w:lang w:val="en-US" w:eastAsia="zh-CN"/>
              </w:rPr>
              <w:t>8</w:t>
            </w:r>
            <w:r>
              <w:rPr>
                <w:rFonts w:hint="eastAsia" w:ascii="宋体" w:hAnsi="宋体" w:eastAsia="宋体" w:cs="宋体"/>
                <w:highlight w:val="none"/>
              </w:rPr>
              <w:t>分</w:t>
            </w:r>
            <w:r>
              <w:rPr>
                <w:rFonts w:hint="eastAsia" w:ascii="宋体" w:hAnsi="宋体" w:eastAsia="宋体" w:cs="宋体"/>
                <w:highlight w:val="none"/>
                <w:lang w:eastAsia="zh-CN"/>
              </w:rPr>
              <w:t>）</w:t>
            </w:r>
            <w:r>
              <w:rPr>
                <w:rFonts w:hint="eastAsia" w:ascii="宋体" w:hAnsi="宋体" w:eastAsia="宋体" w:cs="宋体"/>
                <w:highlight w:val="none"/>
              </w:rPr>
              <w:t>:在二档基础上，能针对采购需求提供优质的增值服务承诺提供的服务承诺针对性强，可靠保证，符合采购方实际需求的，售后服务方案详细描述了设备售后维护和应急保障方案的方法以及实现方式，常年备有齐全的配件，</w:t>
            </w:r>
            <w:r>
              <w:rPr>
                <w:rFonts w:hint="eastAsia" w:ascii="宋体" w:hAnsi="宋体" w:eastAsia="宋体" w:cs="宋体"/>
                <w:highlight w:val="none"/>
                <w:lang w:eastAsia="zh-CN"/>
              </w:rPr>
              <w:t>有完善的线上报修系统，</w:t>
            </w:r>
            <w:r>
              <w:rPr>
                <w:rFonts w:hint="eastAsia" w:ascii="宋体" w:hAnsi="宋体" w:eastAsia="宋体" w:cs="宋体"/>
                <w:highlight w:val="none"/>
                <w:vertAlign w:val="baseline"/>
              </w:rPr>
              <w:t>承诺投入</w:t>
            </w:r>
            <w:r>
              <w:rPr>
                <w:rFonts w:hint="eastAsia" w:ascii="宋体" w:hAnsi="宋体" w:eastAsia="宋体" w:cs="宋体"/>
                <w:highlight w:val="none"/>
                <w:vertAlign w:val="baseline"/>
                <w:lang w:val="en-US" w:eastAsia="zh-CN"/>
              </w:rPr>
              <w:t>售后服务</w:t>
            </w:r>
            <w:r>
              <w:rPr>
                <w:rFonts w:hint="eastAsia" w:ascii="宋体" w:hAnsi="宋体" w:eastAsia="宋体" w:cs="宋体"/>
                <w:highlight w:val="none"/>
                <w:vertAlign w:val="baseline"/>
              </w:rPr>
              <w:t>人员不少于</w:t>
            </w:r>
            <w:r>
              <w:rPr>
                <w:rFonts w:hint="eastAsia" w:ascii="宋体" w:hAnsi="宋体" w:eastAsia="宋体" w:cs="宋体"/>
                <w:highlight w:val="none"/>
                <w:vertAlign w:val="baseline"/>
                <w:lang w:val="en-US" w:eastAsia="zh-CN"/>
              </w:rPr>
              <w:t>5</w:t>
            </w:r>
            <w:r>
              <w:rPr>
                <w:rFonts w:hint="eastAsia" w:ascii="宋体" w:hAnsi="宋体" w:eastAsia="宋体" w:cs="宋体"/>
                <w:highlight w:val="none"/>
                <w:vertAlign w:val="baseline"/>
              </w:rPr>
              <w:t>人</w:t>
            </w:r>
            <w:r>
              <w:rPr>
                <w:rFonts w:hint="eastAsia" w:ascii="宋体" w:hAnsi="宋体" w:eastAsia="宋体" w:cs="宋体"/>
                <w:highlight w:val="none"/>
              </w:rPr>
              <w:t>。</w:t>
            </w:r>
          </w:p>
        </w:tc>
      </w:tr>
      <w:tr w14:paraId="6183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054" w:type="dxa"/>
            <w:tcBorders>
              <w:top w:val="single" w:color="auto" w:sz="4" w:space="0"/>
              <w:left w:val="single" w:color="auto" w:sz="4" w:space="0"/>
              <w:bottom w:val="single" w:color="auto" w:sz="4" w:space="0"/>
              <w:right w:val="single" w:color="auto" w:sz="4" w:space="0"/>
            </w:tcBorders>
            <w:vAlign w:val="center"/>
          </w:tcPr>
          <w:p w14:paraId="479FB148">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商务部分</w:t>
            </w:r>
          </w:p>
          <w:p w14:paraId="4627C087">
            <w:pPr>
              <w:spacing w:line="360" w:lineRule="auto"/>
              <w:jc w:val="left"/>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14</w:t>
            </w:r>
            <w:r>
              <w:rPr>
                <w:rFonts w:hint="eastAsia" w:ascii="宋体" w:hAnsi="宋体" w:cs="宋体"/>
                <w:sz w:val="21"/>
                <w:szCs w:val="21"/>
                <w:highlight w:val="none"/>
              </w:rPr>
              <w:t>分）</w:t>
            </w:r>
          </w:p>
        </w:tc>
        <w:tc>
          <w:tcPr>
            <w:tcW w:w="1122" w:type="dxa"/>
            <w:tcBorders>
              <w:top w:val="single" w:color="auto" w:sz="4" w:space="0"/>
              <w:left w:val="single" w:color="auto" w:sz="4" w:space="0"/>
              <w:bottom w:val="single" w:color="auto" w:sz="4" w:space="0"/>
              <w:right w:val="single" w:color="auto" w:sz="4" w:space="0"/>
            </w:tcBorders>
            <w:vAlign w:val="center"/>
          </w:tcPr>
          <w:p w14:paraId="188595D7">
            <w:pPr>
              <w:spacing w:line="360" w:lineRule="auto"/>
              <w:jc w:val="left"/>
              <w:rPr>
                <w:rFonts w:hint="eastAsia" w:ascii="宋体" w:hAnsi="宋体" w:cs="宋体"/>
                <w:sz w:val="21"/>
                <w:szCs w:val="21"/>
                <w:highlight w:val="none"/>
                <w:lang w:eastAsia="zh-CN"/>
              </w:rPr>
            </w:pPr>
            <w:r>
              <w:rPr>
                <w:rFonts w:hint="eastAsia" w:ascii="宋体" w:hAnsi="宋体" w:cs="宋体"/>
                <w:sz w:val="21"/>
                <w:szCs w:val="21"/>
                <w:highlight w:val="none"/>
              </w:rPr>
              <w:t>业绩</w:t>
            </w:r>
            <w:r>
              <w:rPr>
                <w:rFonts w:hint="eastAsia" w:ascii="宋体" w:hAnsi="宋体" w:cs="宋体"/>
                <w:sz w:val="21"/>
                <w:szCs w:val="21"/>
                <w:highlight w:val="none"/>
                <w:lang w:eastAsia="zh-CN"/>
              </w:rPr>
              <w:t>分</w:t>
            </w:r>
          </w:p>
          <w:p w14:paraId="40A8D227">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（满分</w:t>
            </w:r>
            <w:r>
              <w:rPr>
                <w:rFonts w:hint="eastAsia" w:ascii="宋体" w:hAnsi="宋体" w:cs="宋体"/>
                <w:sz w:val="21"/>
                <w:szCs w:val="21"/>
                <w:highlight w:val="none"/>
                <w:lang w:val="en-US" w:eastAsia="zh-CN"/>
              </w:rPr>
              <w:t>14</w:t>
            </w:r>
            <w:r>
              <w:rPr>
                <w:rFonts w:hint="eastAsia" w:ascii="宋体" w:hAnsi="宋体" w:cs="宋体"/>
                <w:sz w:val="21"/>
                <w:szCs w:val="21"/>
                <w:highlight w:val="none"/>
              </w:rPr>
              <w:t>分）</w:t>
            </w:r>
          </w:p>
        </w:tc>
        <w:tc>
          <w:tcPr>
            <w:tcW w:w="8723" w:type="dxa"/>
            <w:tcBorders>
              <w:top w:val="single" w:color="auto" w:sz="4" w:space="0"/>
              <w:left w:val="single" w:color="auto" w:sz="4" w:space="0"/>
              <w:bottom w:val="single" w:color="auto" w:sz="4" w:space="0"/>
              <w:right w:val="single" w:color="auto" w:sz="4" w:space="0"/>
            </w:tcBorders>
            <w:vAlign w:val="top"/>
          </w:tcPr>
          <w:p w14:paraId="21A38216">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供应商202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年1月1日至响应文件递交截止时间具有同类项目业绩的，每有1项得</w:t>
            </w:r>
            <w:r>
              <w:rPr>
                <w:rFonts w:hint="eastAsia" w:ascii="宋体" w:hAnsi="宋体" w:cs="宋体"/>
                <w:sz w:val="21"/>
                <w:szCs w:val="21"/>
                <w:highlight w:val="none"/>
                <w:lang w:val="en-US" w:eastAsia="zh-CN"/>
              </w:rPr>
              <w:t>2</w:t>
            </w:r>
            <w:r>
              <w:rPr>
                <w:rFonts w:hint="eastAsia" w:ascii="宋体" w:hAnsi="宋体" w:cs="宋体"/>
                <w:sz w:val="21"/>
                <w:szCs w:val="21"/>
                <w:highlight w:val="none"/>
              </w:rPr>
              <w:t>分，满分</w:t>
            </w:r>
            <w:r>
              <w:rPr>
                <w:rFonts w:hint="eastAsia" w:ascii="宋体" w:hAnsi="宋体" w:cs="宋体"/>
                <w:sz w:val="21"/>
                <w:szCs w:val="21"/>
                <w:highlight w:val="none"/>
                <w:lang w:val="en-US" w:eastAsia="zh-CN"/>
              </w:rPr>
              <w:t>14</w:t>
            </w:r>
            <w:r>
              <w:rPr>
                <w:rFonts w:hint="eastAsia" w:ascii="宋体" w:hAnsi="宋体" w:cs="宋体"/>
                <w:sz w:val="21"/>
                <w:szCs w:val="21"/>
                <w:highlight w:val="none"/>
              </w:rPr>
              <w:t>分。响应文件中提供合同复印件并加盖供应商公章。</w:t>
            </w:r>
          </w:p>
        </w:tc>
      </w:tr>
      <w:tr w14:paraId="6A74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99" w:type="dxa"/>
            <w:gridSpan w:val="3"/>
            <w:tcBorders>
              <w:top w:val="single" w:color="auto" w:sz="4" w:space="0"/>
              <w:left w:val="single" w:color="auto" w:sz="4" w:space="0"/>
              <w:bottom w:val="single" w:color="auto" w:sz="4" w:space="0"/>
              <w:right w:val="single" w:color="auto" w:sz="4" w:space="0"/>
            </w:tcBorders>
            <w:vAlign w:val="center"/>
          </w:tcPr>
          <w:p w14:paraId="44507146">
            <w:pPr>
              <w:spacing w:line="360" w:lineRule="auto"/>
              <w:jc w:val="left"/>
              <w:rPr>
                <w:rFonts w:ascii="宋体" w:hAnsi="宋体" w:cs="宋体"/>
                <w:sz w:val="21"/>
                <w:szCs w:val="21"/>
                <w:highlight w:val="none"/>
              </w:rPr>
            </w:pPr>
            <w:r>
              <w:rPr>
                <w:rFonts w:hint="eastAsia" w:ascii="宋体" w:hAnsi="宋体" w:cs="宋体"/>
                <w:sz w:val="21"/>
                <w:szCs w:val="21"/>
                <w:highlight w:val="none"/>
              </w:rPr>
              <w:t>总分（100分）</w:t>
            </w:r>
          </w:p>
        </w:tc>
      </w:tr>
    </w:tbl>
    <w:p w14:paraId="21244408">
      <w:pPr>
        <w:pStyle w:val="15"/>
        <w:spacing w:line="400" w:lineRule="exact"/>
        <w:rPr>
          <w:rFonts w:hAnsi="宋体"/>
          <w:bCs/>
          <w:highlight w:val="none"/>
        </w:rPr>
      </w:pPr>
      <w:r>
        <w:rPr>
          <w:rFonts w:hint="eastAsia" w:hAnsi="宋体"/>
          <w:bCs/>
          <w:highlight w:val="none"/>
        </w:rPr>
        <w:t>注：计分方法按四舍五入取至百分位。</w:t>
      </w:r>
    </w:p>
    <w:p w14:paraId="43C0B5F9">
      <w:pPr>
        <w:pStyle w:val="15"/>
        <w:spacing w:line="400" w:lineRule="exact"/>
        <w:rPr>
          <w:rFonts w:hAnsi="宋体"/>
          <w:bCs/>
          <w:highlight w:val="none"/>
        </w:rPr>
      </w:pPr>
    </w:p>
    <w:p w14:paraId="193B680B">
      <w:pPr>
        <w:rPr>
          <w:rFonts w:hint="eastAsia"/>
          <w:highlight w:val="none"/>
        </w:rPr>
      </w:pPr>
      <w:r>
        <w:rPr>
          <w:rFonts w:hint="eastAsia"/>
          <w:highlight w:val="none"/>
        </w:rPr>
        <w:br w:type="page"/>
      </w:r>
    </w:p>
    <w:p w14:paraId="63C98EFD">
      <w:pPr>
        <w:pStyle w:val="4"/>
        <w:rPr>
          <w:rFonts w:hint="eastAsia"/>
          <w:highlight w:val="none"/>
        </w:rPr>
      </w:pPr>
    </w:p>
    <w:p w14:paraId="7B0BD45E">
      <w:pPr>
        <w:shd w:val="clear" w:color="auto" w:fill="auto"/>
        <w:spacing w:line="360" w:lineRule="auto"/>
        <w:ind w:firstLine="643" w:firstLineChars="200"/>
        <w:jc w:val="center"/>
        <w:rPr>
          <w:rFonts w:hint="eastAsia" w:ascii="黑体" w:hAnsi="黑体" w:eastAsia="黑体" w:cs="宋体"/>
          <w:b/>
          <w:bCs/>
          <w:color w:val="000000"/>
          <w:sz w:val="32"/>
          <w:szCs w:val="32"/>
          <w:highlight w:val="none"/>
          <w:lang w:val="en-US" w:eastAsia="zh-CN"/>
        </w:rPr>
      </w:pPr>
      <w:r>
        <w:rPr>
          <w:rFonts w:hint="eastAsia" w:ascii="黑体" w:hAnsi="黑体" w:eastAsia="黑体" w:cs="宋体"/>
          <w:b/>
          <w:bCs/>
          <w:color w:val="000000"/>
          <w:sz w:val="32"/>
          <w:szCs w:val="32"/>
          <w:highlight w:val="none"/>
          <w:lang w:val="en-US" w:eastAsia="zh-CN"/>
        </w:rPr>
        <w:t>服务项目（综合评分法）本项目不适用</w:t>
      </w:r>
    </w:p>
    <w:p w14:paraId="5F740CD8">
      <w:pPr>
        <w:spacing w:before="120" w:line="320" w:lineRule="atLeast"/>
        <w:ind w:firstLine="413" w:firstLineChars="196"/>
        <w:outlineLvl w:val="9"/>
        <w:rPr>
          <w:b/>
          <w:bCs/>
          <w:kern w:val="0"/>
          <w:szCs w:val="21"/>
          <w:highlight w:val="none"/>
        </w:rPr>
      </w:pPr>
      <w:r>
        <w:rPr>
          <w:b/>
          <w:bCs/>
          <w:kern w:val="0"/>
          <w:szCs w:val="21"/>
          <w:highlight w:val="none"/>
        </w:rPr>
        <w:t>一、评审总则</w:t>
      </w:r>
    </w:p>
    <w:p w14:paraId="68C4E27C">
      <w:pPr>
        <w:suppressAutoHyphens/>
        <w:spacing w:before="120" w:line="320" w:lineRule="atLeast"/>
        <w:ind w:firstLine="420" w:firstLineChars="200"/>
        <w:rPr>
          <w:bCs/>
          <w:kern w:val="1"/>
          <w:szCs w:val="21"/>
          <w:highlight w:val="none"/>
        </w:rPr>
      </w:pPr>
      <w:r>
        <w:rPr>
          <w:rFonts w:hint="eastAsia"/>
          <w:kern w:val="1"/>
          <w:szCs w:val="21"/>
          <w:highlight w:val="none"/>
        </w:rPr>
        <w:t>1、</w:t>
      </w:r>
      <w:r>
        <w:rPr>
          <w:bCs/>
          <w:kern w:val="1"/>
          <w:szCs w:val="21"/>
          <w:highlight w:val="none"/>
        </w:rPr>
        <w:t>评审方法</w:t>
      </w:r>
    </w:p>
    <w:p w14:paraId="3FBCF4D4">
      <w:pPr>
        <w:spacing w:line="360" w:lineRule="auto"/>
        <w:ind w:firstLine="420" w:firstLineChars="200"/>
        <w:rPr>
          <w:kern w:val="1"/>
          <w:szCs w:val="21"/>
          <w:highlight w:val="none"/>
        </w:rPr>
      </w:pPr>
      <w:r>
        <w:rPr>
          <w:szCs w:val="21"/>
          <w:highlight w:val="none"/>
        </w:rPr>
        <w:t>采用</w:t>
      </w:r>
      <w:r>
        <w:rPr>
          <w:rFonts w:hint="eastAsia"/>
          <w:szCs w:val="21"/>
          <w:highlight w:val="none"/>
        </w:rPr>
        <w:t>综合评分法</w:t>
      </w:r>
      <w:r>
        <w:rPr>
          <w:color w:val="auto"/>
          <w:szCs w:val="21"/>
          <w:highlight w:val="none"/>
        </w:rPr>
        <w:t>进</w:t>
      </w:r>
      <w:r>
        <w:rPr>
          <w:szCs w:val="21"/>
          <w:highlight w:val="none"/>
        </w:rPr>
        <w:t>行评</w:t>
      </w:r>
      <w:r>
        <w:rPr>
          <w:rFonts w:hint="eastAsia" w:eastAsia="宋体" w:cs="Times New Roman"/>
          <w:szCs w:val="21"/>
          <w:highlight w:val="none"/>
        </w:rPr>
        <w:t>审。综合评分法，是指以响应文件为评审依据，对供应商的报价、技术方案、售后服务方案、商务及业绩方面内容</w:t>
      </w:r>
      <w:r>
        <w:rPr>
          <w:rFonts w:hint="eastAsia" w:eastAsia="宋体" w:cs="Times New Roman"/>
          <w:szCs w:val="21"/>
          <w:highlight w:val="none"/>
          <w:lang w:eastAsia="zh-CN"/>
        </w:rPr>
        <w:t>进行评审打分，</w:t>
      </w:r>
      <w:r>
        <w:rPr>
          <w:rFonts w:hint="eastAsia" w:eastAsia="宋体" w:cs="Times New Roman"/>
          <w:highlight w:val="none"/>
          <w:lang w:val="en-US" w:eastAsia="zh-CN"/>
        </w:rPr>
        <w:t>采购小组将根据总得分由高到低排列次序并推荐成交候选人的评审方法</w:t>
      </w:r>
      <w:r>
        <w:rPr>
          <w:rFonts w:hint="eastAsia" w:eastAsia="宋体" w:cs="Times New Roman"/>
          <w:szCs w:val="21"/>
          <w:highlight w:val="none"/>
        </w:rPr>
        <w:t>。</w:t>
      </w:r>
    </w:p>
    <w:p w14:paraId="7346559F">
      <w:pPr>
        <w:suppressAutoHyphens/>
        <w:spacing w:before="120" w:line="320" w:lineRule="atLeast"/>
        <w:ind w:firstLine="420" w:firstLineChars="200"/>
        <w:rPr>
          <w:bCs/>
          <w:kern w:val="1"/>
          <w:szCs w:val="21"/>
          <w:highlight w:val="none"/>
          <w:lang w:eastAsia="ar-SA"/>
        </w:rPr>
      </w:pPr>
      <w:r>
        <w:rPr>
          <w:kern w:val="1"/>
          <w:szCs w:val="21"/>
          <w:highlight w:val="none"/>
        </w:rPr>
        <w:t>2．</w:t>
      </w:r>
      <w:r>
        <w:rPr>
          <w:bCs/>
          <w:kern w:val="1"/>
          <w:szCs w:val="21"/>
          <w:highlight w:val="none"/>
        </w:rPr>
        <w:t>评审</w:t>
      </w:r>
      <w:r>
        <w:rPr>
          <w:bCs/>
          <w:kern w:val="1"/>
          <w:szCs w:val="21"/>
          <w:highlight w:val="none"/>
          <w:lang w:eastAsia="ar-SA"/>
        </w:rPr>
        <w:t>依据</w:t>
      </w:r>
    </w:p>
    <w:p w14:paraId="3C1965E1">
      <w:pPr>
        <w:suppressAutoHyphens/>
        <w:spacing w:before="120" w:line="320" w:lineRule="atLeast"/>
        <w:ind w:firstLine="420" w:firstLineChars="200"/>
        <w:rPr>
          <w:kern w:val="1"/>
          <w:szCs w:val="21"/>
          <w:highlight w:val="none"/>
        </w:rPr>
      </w:pPr>
      <w:r>
        <w:rPr>
          <w:rFonts w:hint="eastAsia"/>
          <w:bCs/>
          <w:kern w:val="1"/>
          <w:szCs w:val="21"/>
          <w:highlight w:val="none"/>
          <w:lang w:eastAsia="zh-CN"/>
        </w:rPr>
        <w:t>评审小组</w:t>
      </w:r>
      <w:r>
        <w:rPr>
          <w:bCs/>
          <w:kern w:val="1"/>
          <w:szCs w:val="21"/>
          <w:highlight w:val="none"/>
          <w:lang w:eastAsia="ar-SA"/>
        </w:rPr>
        <w:t>以</w:t>
      </w:r>
      <w:r>
        <w:rPr>
          <w:rFonts w:hint="eastAsia"/>
          <w:bCs/>
          <w:kern w:val="1"/>
          <w:szCs w:val="21"/>
          <w:highlight w:val="none"/>
          <w:lang w:eastAsia="zh-CN"/>
        </w:rPr>
        <w:t>询比文件</w:t>
      </w:r>
      <w:r>
        <w:rPr>
          <w:kern w:val="1"/>
          <w:szCs w:val="21"/>
          <w:highlight w:val="none"/>
        </w:rPr>
        <w:t>、补充文件、响应文件、澄清及答复</w:t>
      </w:r>
      <w:r>
        <w:rPr>
          <w:bCs/>
          <w:kern w:val="1"/>
          <w:szCs w:val="21"/>
          <w:highlight w:val="none"/>
          <w:lang w:eastAsia="ar-SA"/>
        </w:rPr>
        <w:t>为评</w:t>
      </w:r>
      <w:r>
        <w:rPr>
          <w:bCs/>
          <w:kern w:val="1"/>
          <w:szCs w:val="21"/>
          <w:highlight w:val="none"/>
        </w:rPr>
        <w:t>审</w:t>
      </w:r>
      <w:r>
        <w:rPr>
          <w:bCs/>
          <w:kern w:val="1"/>
          <w:szCs w:val="21"/>
          <w:highlight w:val="none"/>
          <w:lang w:eastAsia="ar-SA"/>
        </w:rPr>
        <w:t>依据。</w:t>
      </w:r>
    </w:p>
    <w:p w14:paraId="660C430A">
      <w:pPr>
        <w:suppressAutoHyphens/>
        <w:spacing w:before="120" w:line="320" w:lineRule="atLeast"/>
        <w:ind w:firstLine="420" w:firstLineChars="200"/>
        <w:rPr>
          <w:kern w:val="1"/>
          <w:szCs w:val="21"/>
          <w:highlight w:val="none"/>
        </w:rPr>
      </w:pPr>
      <w:r>
        <w:rPr>
          <w:kern w:val="1"/>
          <w:szCs w:val="21"/>
          <w:highlight w:val="none"/>
        </w:rPr>
        <w:t>3</w:t>
      </w:r>
      <w:r>
        <w:rPr>
          <w:rFonts w:hint="eastAsia"/>
          <w:kern w:val="1"/>
          <w:szCs w:val="21"/>
          <w:highlight w:val="none"/>
        </w:rPr>
        <w:t>、</w:t>
      </w:r>
      <w:r>
        <w:rPr>
          <w:rFonts w:hint="eastAsia"/>
          <w:kern w:val="1"/>
          <w:szCs w:val="21"/>
          <w:highlight w:val="none"/>
          <w:lang w:eastAsia="zh-CN"/>
        </w:rPr>
        <w:t>评审</w:t>
      </w:r>
      <w:r>
        <w:rPr>
          <w:rFonts w:hint="eastAsia"/>
          <w:kern w:val="1"/>
          <w:szCs w:val="21"/>
          <w:highlight w:val="none"/>
        </w:rPr>
        <w:t>小组</w:t>
      </w:r>
    </w:p>
    <w:p w14:paraId="48CF677E">
      <w:pPr>
        <w:suppressAutoHyphens/>
        <w:spacing w:before="120" w:line="320" w:lineRule="atLeast"/>
        <w:ind w:firstLine="420" w:firstLineChars="200"/>
        <w:rPr>
          <w:highlight w:val="none"/>
        </w:rPr>
      </w:pPr>
      <w:r>
        <w:rPr>
          <w:bCs/>
          <w:kern w:val="1"/>
          <w:szCs w:val="21"/>
          <w:highlight w:val="none"/>
          <w:lang w:eastAsia="ar-SA"/>
        </w:rPr>
        <w:t>本采购项目</w:t>
      </w:r>
      <w:r>
        <w:rPr>
          <w:rFonts w:hint="eastAsia"/>
          <w:bCs/>
          <w:kern w:val="1"/>
          <w:szCs w:val="21"/>
          <w:highlight w:val="none"/>
          <w:lang w:eastAsia="ar-SA"/>
        </w:rPr>
        <w:t>根据医院相关规定选取评审</w:t>
      </w:r>
      <w:r>
        <w:rPr>
          <w:rFonts w:hint="eastAsia"/>
          <w:bCs/>
          <w:kern w:val="1"/>
          <w:szCs w:val="21"/>
          <w:highlight w:val="none"/>
          <w:lang w:eastAsia="zh-CN"/>
        </w:rPr>
        <w:t>小组</w:t>
      </w:r>
      <w:r>
        <w:rPr>
          <w:rFonts w:hint="eastAsia"/>
          <w:bCs/>
          <w:kern w:val="1"/>
          <w:szCs w:val="21"/>
          <w:highlight w:val="none"/>
          <w:lang w:eastAsia="ar-SA"/>
        </w:rPr>
        <w:t>，开展评标工作。</w:t>
      </w:r>
      <w:r>
        <w:rPr>
          <w:highlight w:val="none"/>
        </w:rPr>
        <w:t>小组成员应当按照客观、公正、审慎的原则，根据采购文件规定的评审程序、评审方法和评审标准进行独立评审。小组在</w:t>
      </w:r>
      <w:r>
        <w:rPr>
          <w:rFonts w:hint="eastAsia"/>
          <w:highlight w:val="none"/>
          <w:lang w:eastAsia="zh-CN"/>
        </w:rPr>
        <w:t>评审</w:t>
      </w:r>
      <w:r>
        <w:rPr>
          <w:highlight w:val="none"/>
        </w:rPr>
        <w:t>过程中，不得改变</w:t>
      </w:r>
      <w:r>
        <w:rPr>
          <w:rFonts w:hint="eastAsia"/>
          <w:highlight w:val="none"/>
          <w:lang w:eastAsia="zh-CN"/>
        </w:rPr>
        <w:t>项目需求</w:t>
      </w:r>
      <w:r>
        <w:rPr>
          <w:highlight w:val="none"/>
        </w:rPr>
        <w:t>所确定的技术和服务等要求、评审程序、评定成交的标准和合同文本等事项。</w:t>
      </w:r>
    </w:p>
    <w:p w14:paraId="009F5828">
      <w:pPr>
        <w:suppressAutoHyphens/>
        <w:spacing w:before="120" w:line="320" w:lineRule="atLeast"/>
        <w:ind w:firstLine="422" w:firstLineChars="200"/>
        <w:rPr>
          <w:b/>
          <w:kern w:val="1"/>
          <w:szCs w:val="21"/>
          <w:highlight w:val="none"/>
        </w:rPr>
      </w:pPr>
      <w:r>
        <w:rPr>
          <w:rFonts w:hint="eastAsia"/>
          <w:b/>
          <w:kern w:val="1"/>
          <w:szCs w:val="21"/>
          <w:highlight w:val="none"/>
        </w:rPr>
        <w:t>二、</w:t>
      </w:r>
      <w:r>
        <w:rPr>
          <w:b/>
          <w:kern w:val="1"/>
          <w:szCs w:val="21"/>
          <w:highlight w:val="none"/>
        </w:rPr>
        <w:t>评审程序</w:t>
      </w:r>
    </w:p>
    <w:p w14:paraId="07CAFAA9">
      <w:pPr>
        <w:suppressAutoHyphens/>
        <w:spacing w:before="120" w:line="320" w:lineRule="atLeast"/>
        <w:ind w:firstLine="420" w:firstLineChars="200"/>
        <w:rPr>
          <w:bCs/>
          <w:kern w:val="1"/>
          <w:szCs w:val="21"/>
          <w:highlight w:val="none"/>
        </w:rPr>
      </w:pPr>
      <w:r>
        <w:rPr>
          <w:rFonts w:hint="eastAsia"/>
          <w:bCs/>
          <w:kern w:val="1"/>
          <w:szCs w:val="21"/>
          <w:highlight w:val="none"/>
        </w:rPr>
        <w:t>1、</w:t>
      </w:r>
      <w:r>
        <w:rPr>
          <w:bCs/>
          <w:kern w:val="1"/>
          <w:szCs w:val="21"/>
          <w:highlight w:val="none"/>
        </w:rPr>
        <w:t>初步评审。</w:t>
      </w:r>
    </w:p>
    <w:p w14:paraId="15C1AC01">
      <w:pPr>
        <w:suppressAutoHyphens/>
        <w:spacing w:before="120" w:line="320" w:lineRule="atLeast"/>
        <w:ind w:firstLine="420" w:firstLineChars="200"/>
        <w:rPr>
          <w:bCs/>
          <w:kern w:val="1"/>
          <w:szCs w:val="21"/>
          <w:highlight w:val="none"/>
        </w:rPr>
      </w:pPr>
      <w:r>
        <w:rPr>
          <w:rFonts w:hint="eastAsia"/>
          <w:bCs/>
          <w:kern w:val="1"/>
          <w:szCs w:val="21"/>
          <w:highlight w:val="none"/>
        </w:rPr>
        <w:t>2、</w:t>
      </w:r>
      <w:r>
        <w:rPr>
          <w:bCs/>
          <w:kern w:val="1"/>
          <w:szCs w:val="21"/>
          <w:highlight w:val="none"/>
        </w:rPr>
        <w:t>详细评审。</w:t>
      </w:r>
    </w:p>
    <w:p w14:paraId="163D92B0">
      <w:pPr>
        <w:suppressAutoHyphens/>
        <w:spacing w:before="120" w:line="320" w:lineRule="atLeast"/>
        <w:ind w:firstLine="420" w:firstLineChars="200"/>
        <w:rPr>
          <w:bCs/>
          <w:kern w:val="1"/>
          <w:szCs w:val="21"/>
          <w:highlight w:val="none"/>
        </w:rPr>
      </w:pPr>
      <w:r>
        <w:rPr>
          <w:rFonts w:hint="eastAsia"/>
          <w:bCs/>
          <w:kern w:val="1"/>
          <w:szCs w:val="21"/>
          <w:highlight w:val="none"/>
        </w:rPr>
        <w:t>3、</w:t>
      </w:r>
      <w:r>
        <w:rPr>
          <w:bCs/>
          <w:kern w:val="1"/>
          <w:szCs w:val="21"/>
          <w:highlight w:val="none"/>
        </w:rPr>
        <w:t>推荐成交候选供应商名单。</w:t>
      </w:r>
    </w:p>
    <w:p w14:paraId="6909C147">
      <w:pPr>
        <w:suppressAutoHyphens/>
        <w:spacing w:before="120" w:line="320" w:lineRule="atLeast"/>
        <w:ind w:left="2" w:leftChars="1" w:firstLine="422" w:firstLineChars="200"/>
        <w:outlineLvl w:val="9"/>
        <w:rPr>
          <w:b/>
          <w:kern w:val="1"/>
          <w:szCs w:val="21"/>
          <w:highlight w:val="none"/>
        </w:rPr>
      </w:pPr>
      <w:r>
        <w:rPr>
          <w:rFonts w:hint="eastAsia"/>
          <w:b/>
          <w:bCs/>
          <w:kern w:val="0"/>
          <w:szCs w:val="21"/>
          <w:highlight w:val="none"/>
        </w:rPr>
        <w:t>三</w:t>
      </w:r>
      <w:r>
        <w:rPr>
          <w:b/>
          <w:bCs/>
          <w:kern w:val="0"/>
          <w:szCs w:val="21"/>
          <w:highlight w:val="none"/>
          <w:lang w:eastAsia="ar-SA"/>
        </w:rPr>
        <w:t>、评</w:t>
      </w:r>
      <w:r>
        <w:rPr>
          <w:b/>
          <w:bCs/>
          <w:kern w:val="0"/>
          <w:szCs w:val="21"/>
          <w:highlight w:val="none"/>
        </w:rPr>
        <w:t>审</w:t>
      </w:r>
      <w:r>
        <w:rPr>
          <w:rFonts w:hint="eastAsia"/>
          <w:b/>
          <w:bCs/>
          <w:kern w:val="0"/>
          <w:szCs w:val="21"/>
          <w:highlight w:val="none"/>
        </w:rPr>
        <w:t>内容</w:t>
      </w:r>
    </w:p>
    <w:p w14:paraId="3EA7D6D6">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1</w:t>
      </w:r>
      <w:r>
        <w:rPr>
          <w:b/>
          <w:bCs/>
          <w:kern w:val="0"/>
          <w:szCs w:val="21"/>
          <w:highlight w:val="none"/>
        </w:rPr>
        <w:t>、符合性检查</w:t>
      </w:r>
    </w:p>
    <w:p w14:paraId="2820A53C">
      <w:pPr>
        <w:spacing w:before="120" w:line="320" w:lineRule="atLeast"/>
        <w:ind w:firstLine="420" w:firstLineChars="200"/>
        <w:rPr>
          <w:szCs w:val="21"/>
          <w:highlight w:val="none"/>
        </w:rPr>
      </w:pPr>
      <w:r>
        <w:rPr>
          <w:rFonts w:hint="eastAsia"/>
          <w:bCs/>
          <w:kern w:val="1"/>
          <w:szCs w:val="21"/>
          <w:highlight w:val="none"/>
          <w:lang w:eastAsia="zh-CN"/>
        </w:rPr>
        <w:t>评审小组</w:t>
      </w:r>
      <w:r>
        <w:rPr>
          <w:bCs/>
          <w:kern w:val="1"/>
          <w:szCs w:val="21"/>
          <w:highlight w:val="none"/>
        </w:rPr>
        <w:t>对</w:t>
      </w:r>
      <w:r>
        <w:rPr>
          <w:highlight w:val="none"/>
        </w:rPr>
        <w:t>供应商的</w:t>
      </w:r>
      <w:r>
        <w:rPr>
          <w:rFonts w:hint="eastAsia"/>
          <w:highlight w:val="none"/>
        </w:rPr>
        <w:t>响应</w:t>
      </w:r>
      <w:r>
        <w:rPr>
          <w:highlight w:val="none"/>
        </w:rPr>
        <w:t>文件进行符合性审查，以确定其是否满足</w:t>
      </w:r>
      <w:r>
        <w:rPr>
          <w:rFonts w:hint="eastAsia"/>
          <w:highlight w:val="none"/>
          <w:lang w:eastAsia="zh-CN"/>
        </w:rPr>
        <w:t>项目需求</w:t>
      </w:r>
      <w:r>
        <w:rPr>
          <w:highlight w:val="none"/>
        </w:rPr>
        <w:t>的实质性要求。</w:t>
      </w:r>
      <w:r>
        <w:rPr>
          <w:szCs w:val="21"/>
          <w:highlight w:val="none"/>
        </w:rPr>
        <w:t>符合性检查表如下，缺少任何一项或有任何一项不合格者，其符合性检查视为不合格。</w:t>
      </w:r>
    </w:p>
    <w:tbl>
      <w:tblPr>
        <w:tblStyle w:val="25"/>
        <w:tblpPr w:leftFromText="180" w:rightFromText="180" w:vertAnchor="text" w:horzAnchor="page" w:tblpX="1644" w:tblpY="337"/>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0"/>
        <w:gridCol w:w="4162"/>
      </w:tblGrid>
      <w:tr w14:paraId="07D3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44970D7">
            <w:pPr>
              <w:spacing w:line="240" w:lineRule="exact"/>
              <w:jc w:val="center"/>
              <w:rPr>
                <w:b/>
                <w:kern w:val="0"/>
                <w:szCs w:val="21"/>
                <w:highlight w:val="none"/>
              </w:rPr>
            </w:pPr>
            <w:r>
              <w:rPr>
                <w:b/>
                <w:kern w:val="0"/>
                <w:szCs w:val="21"/>
                <w:highlight w:val="none"/>
              </w:rPr>
              <w:t>序号</w:t>
            </w:r>
          </w:p>
        </w:tc>
        <w:tc>
          <w:tcPr>
            <w:tcW w:w="8412" w:type="dxa"/>
            <w:gridSpan w:val="2"/>
            <w:vAlign w:val="center"/>
          </w:tcPr>
          <w:p w14:paraId="5B96A8E6">
            <w:pPr>
              <w:spacing w:line="240" w:lineRule="exact"/>
              <w:jc w:val="center"/>
              <w:rPr>
                <w:b/>
                <w:kern w:val="0"/>
                <w:szCs w:val="21"/>
                <w:highlight w:val="none"/>
              </w:rPr>
            </w:pPr>
            <w:r>
              <w:rPr>
                <w:b/>
                <w:kern w:val="0"/>
                <w:szCs w:val="21"/>
                <w:highlight w:val="none"/>
              </w:rPr>
              <w:t>评审标准</w:t>
            </w:r>
          </w:p>
        </w:tc>
      </w:tr>
      <w:tr w14:paraId="5C9B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5F934FEC">
            <w:pPr>
              <w:spacing w:line="240" w:lineRule="exact"/>
              <w:jc w:val="center"/>
              <w:rPr>
                <w:rFonts w:hint="eastAsia" w:eastAsia="宋体"/>
                <w:szCs w:val="21"/>
                <w:highlight w:val="none"/>
                <w:lang w:val="en-US" w:eastAsia="zh-CN"/>
              </w:rPr>
            </w:pPr>
            <w:r>
              <w:rPr>
                <w:rFonts w:hint="eastAsia"/>
                <w:szCs w:val="21"/>
                <w:highlight w:val="none"/>
                <w:lang w:val="en-US" w:eastAsia="zh-CN"/>
              </w:rPr>
              <w:t>1</w:t>
            </w:r>
          </w:p>
        </w:tc>
        <w:tc>
          <w:tcPr>
            <w:tcW w:w="4250" w:type="dxa"/>
            <w:vAlign w:val="center"/>
          </w:tcPr>
          <w:p w14:paraId="7351FF13">
            <w:pPr>
              <w:spacing w:line="240" w:lineRule="exact"/>
              <w:rPr>
                <w:rFonts w:hint="eastAsia"/>
                <w:kern w:val="0"/>
                <w:szCs w:val="21"/>
                <w:highlight w:val="none"/>
              </w:rPr>
            </w:pPr>
            <w:r>
              <w:rPr>
                <w:rFonts w:hint="eastAsia"/>
                <w:kern w:val="0"/>
                <w:szCs w:val="21"/>
                <w:highlight w:val="none"/>
              </w:rPr>
              <w:t>营业执照复印件；（格式自拟）</w:t>
            </w:r>
          </w:p>
        </w:tc>
        <w:tc>
          <w:tcPr>
            <w:tcW w:w="4162" w:type="dxa"/>
            <w:vAlign w:val="center"/>
          </w:tcPr>
          <w:p w14:paraId="632688D3">
            <w:pPr>
              <w:spacing w:line="240" w:lineRule="exact"/>
              <w:rPr>
                <w:rFonts w:hint="eastAsia" w:eastAsia="宋体"/>
                <w:szCs w:val="21"/>
                <w:highlight w:val="none"/>
                <w:lang w:eastAsia="zh-CN"/>
              </w:rPr>
            </w:pPr>
            <w:r>
              <w:rPr>
                <w:rFonts w:hint="eastAsia"/>
                <w:szCs w:val="21"/>
                <w:highlight w:val="none"/>
                <w:lang w:eastAsia="zh-CN"/>
              </w:rPr>
              <w:t>提供营业执照复印件</w:t>
            </w:r>
          </w:p>
        </w:tc>
      </w:tr>
      <w:tr w14:paraId="76C4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EB9141B">
            <w:pPr>
              <w:spacing w:line="240" w:lineRule="exact"/>
              <w:jc w:val="center"/>
              <w:rPr>
                <w:rFonts w:hint="eastAsia" w:eastAsia="宋体"/>
                <w:szCs w:val="21"/>
                <w:highlight w:val="none"/>
                <w:lang w:val="en-US" w:eastAsia="zh-CN"/>
              </w:rPr>
            </w:pPr>
            <w:r>
              <w:rPr>
                <w:rFonts w:hint="eastAsia"/>
                <w:szCs w:val="21"/>
                <w:highlight w:val="none"/>
                <w:lang w:val="en-US" w:eastAsia="zh-CN"/>
              </w:rPr>
              <w:t>2</w:t>
            </w:r>
          </w:p>
        </w:tc>
        <w:tc>
          <w:tcPr>
            <w:tcW w:w="4250" w:type="dxa"/>
            <w:vAlign w:val="center"/>
          </w:tcPr>
          <w:p w14:paraId="2F37698B">
            <w:pPr>
              <w:spacing w:line="240" w:lineRule="exact"/>
              <w:rPr>
                <w:rFonts w:hint="eastAsia" w:eastAsia="宋体"/>
                <w:kern w:val="0"/>
                <w:szCs w:val="21"/>
                <w:highlight w:val="none"/>
                <w:lang w:eastAsia="zh-CN"/>
              </w:rPr>
            </w:pPr>
            <w:r>
              <w:rPr>
                <w:rFonts w:hint="eastAsia"/>
                <w:kern w:val="0"/>
                <w:szCs w:val="21"/>
                <w:highlight w:val="none"/>
              </w:rPr>
              <w:t>法定代表人身份证明或法人授权委托书及被授权人身份证明和联系方式；（格式自拟）</w:t>
            </w:r>
          </w:p>
        </w:tc>
        <w:tc>
          <w:tcPr>
            <w:tcW w:w="4162" w:type="dxa"/>
            <w:vAlign w:val="center"/>
          </w:tcPr>
          <w:p w14:paraId="0174183E">
            <w:pPr>
              <w:spacing w:line="240" w:lineRule="exact"/>
              <w:rPr>
                <w:rFonts w:hint="eastAsia"/>
                <w:szCs w:val="21"/>
                <w:highlight w:val="none"/>
              </w:rPr>
            </w:pPr>
            <w:r>
              <w:rPr>
                <w:szCs w:val="21"/>
                <w:highlight w:val="none"/>
              </w:rPr>
              <w:t>法定代表人或其授权代表人已按要求签字盖章。</w:t>
            </w:r>
          </w:p>
        </w:tc>
      </w:tr>
      <w:tr w14:paraId="42AF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F562FE6">
            <w:pPr>
              <w:spacing w:line="240" w:lineRule="exact"/>
              <w:jc w:val="center"/>
              <w:rPr>
                <w:rFonts w:hint="eastAsia" w:eastAsia="宋体"/>
                <w:szCs w:val="21"/>
                <w:highlight w:val="none"/>
                <w:lang w:val="en-US" w:eastAsia="zh-CN"/>
              </w:rPr>
            </w:pPr>
            <w:r>
              <w:rPr>
                <w:rFonts w:hint="eastAsia"/>
                <w:szCs w:val="21"/>
                <w:highlight w:val="none"/>
                <w:lang w:val="en-US" w:eastAsia="zh-CN"/>
              </w:rPr>
              <w:t>3</w:t>
            </w:r>
          </w:p>
        </w:tc>
        <w:tc>
          <w:tcPr>
            <w:tcW w:w="4250" w:type="dxa"/>
            <w:vAlign w:val="center"/>
          </w:tcPr>
          <w:p w14:paraId="6F3427FB">
            <w:pPr>
              <w:spacing w:line="240" w:lineRule="exact"/>
              <w:rPr>
                <w:rFonts w:hint="eastAsia"/>
                <w:kern w:val="0"/>
                <w:szCs w:val="21"/>
                <w:highlight w:val="none"/>
              </w:rPr>
            </w:pPr>
            <w:r>
              <w:rPr>
                <w:rFonts w:hint="eastAsia"/>
                <w:kern w:val="0"/>
                <w:szCs w:val="21"/>
                <w:highlight w:val="none"/>
              </w:rPr>
              <w:t>报价表【报价不得高于控制价，仅一次报价】；</w:t>
            </w:r>
          </w:p>
        </w:tc>
        <w:tc>
          <w:tcPr>
            <w:tcW w:w="4162" w:type="dxa"/>
            <w:vAlign w:val="center"/>
          </w:tcPr>
          <w:p w14:paraId="010CB8D4">
            <w:pPr>
              <w:spacing w:line="240" w:lineRule="exact"/>
              <w:rPr>
                <w:rFonts w:hint="eastAsia"/>
                <w:szCs w:val="21"/>
                <w:highlight w:val="none"/>
              </w:rPr>
            </w:pPr>
            <w:r>
              <w:rPr>
                <w:szCs w:val="21"/>
                <w:highlight w:val="none"/>
              </w:rPr>
              <w:t>报价超出</w:t>
            </w:r>
            <w:r>
              <w:rPr>
                <w:rFonts w:hint="eastAsia"/>
                <w:szCs w:val="21"/>
                <w:highlight w:val="none"/>
                <w:lang w:eastAsia="zh-CN"/>
              </w:rPr>
              <w:t>控制价</w:t>
            </w:r>
            <w:r>
              <w:rPr>
                <w:szCs w:val="21"/>
                <w:highlight w:val="none"/>
              </w:rPr>
              <w:t>金额的，否决其响应</w:t>
            </w:r>
            <w:r>
              <w:rPr>
                <w:highlight w:val="none"/>
              </w:rPr>
              <w:t>。</w:t>
            </w:r>
            <w:r>
              <w:rPr>
                <w:szCs w:val="21"/>
                <w:highlight w:val="none"/>
              </w:rPr>
              <w:t>提交选择性报价的，否决其响应。</w:t>
            </w:r>
          </w:p>
        </w:tc>
      </w:tr>
      <w:tr w14:paraId="758D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177DEAD7">
            <w:pPr>
              <w:spacing w:line="240" w:lineRule="exact"/>
              <w:jc w:val="center"/>
              <w:rPr>
                <w:rFonts w:hint="default"/>
                <w:szCs w:val="21"/>
                <w:highlight w:val="none"/>
                <w:lang w:val="en-US" w:eastAsia="zh-CN"/>
              </w:rPr>
            </w:pPr>
            <w:r>
              <w:rPr>
                <w:rFonts w:hint="eastAsia"/>
                <w:szCs w:val="21"/>
                <w:highlight w:val="none"/>
                <w:lang w:val="en-US" w:eastAsia="zh-CN"/>
              </w:rPr>
              <w:t>4</w:t>
            </w:r>
          </w:p>
        </w:tc>
        <w:tc>
          <w:tcPr>
            <w:tcW w:w="4250" w:type="dxa"/>
            <w:vAlign w:val="center"/>
          </w:tcPr>
          <w:p w14:paraId="0B7B7415">
            <w:pPr>
              <w:spacing w:line="240" w:lineRule="exact"/>
              <w:rPr>
                <w:rFonts w:hint="eastAsia"/>
                <w:kern w:val="0"/>
                <w:szCs w:val="21"/>
                <w:highlight w:val="none"/>
              </w:rPr>
            </w:pPr>
            <w:r>
              <w:rPr>
                <w:rFonts w:hint="eastAsia"/>
                <w:kern w:val="0"/>
                <w:szCs w:val="21"/>
                <w:highlight w:val="none"/>
              </w:rPr>
              <w:t>声明函、公司直接控股股东信息表、公司直接管理关系信息表（固定格式）</w:t>
            </w:r>
          </w:p>
        </w:tc>
        <w:tc>
          <w:tcPr>
            <w:tcW w:w="4162" w:type="dxa"/>
            <w:vAlign w:val="center"/>
          </w:tcPr>
          <w:p w14:paraId="089801AD">
            <w:pPr>
              <w:spacing w:line="240" w:lineRule="exact"/>
              <w:rPr>
                <w:szCs w:val="21"/>
                <w:highlight w:val="none"/>
              </w:rPr>
            </w:pPr>
            <w:r>
              <w:rPr>
                <w:rFonts w:hint="eastAsia"/>
                <w:szCs w:val="21"/>
                <w:highlight w:val="none"/>
                <w:lang w:eastAsia="zh-CN"/>
              </w:rPr>
              <w:t>提供声明函、公司直接控股股东信息表、公司直接管理关系信息表。</w:t>
            </w:r>
          </w:p>
        </w:tc>
      </w:tr>
      <w:tr w14:paraId="045B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3E6980BA">
            <w:pPr>
              <w:spacing w:line="240" w:lineRule="exact"/>
              <w:jc w:val="center"/>
              <w:rPr>
                <w:rFonts w:hint="default"/>
                <w:szCs w:val="21"/>
                <w:highlight w:val="none"/>
                <w:lang w:val="en-US" w:eastAsia="zh-CN"/>
              </w:rPr>
            </w:pPr>
            <w:r>
              <w:rPr>
                <w:rFonts w:hint="eastAsia"/>
                <w:szCs w:val="21"/>
                <w:highlight w:val="none"/>
                <w:lang w:val="en-US" w:eastAsia="zh-CN"/>
              </w:rPr>
              <w:t>5</w:t>
            </w:r>
          </w:p>
        </w:tc>
        <w:tc>
          <w:tcPr>
            <w:tcW w:w="4250" w:type="dxa"/>
            <w:vAlign w:val="center"/>
          </w:tcPr>
          <w:p w14:paraId="4C041C17">
            <w:pPr>
              <w:spacing w:line="240" w:lineRule="exact"/>
              <w:rPr>
                <w:rFonts w:hint="eastAsia" w:eastAsia="宋体"/>
                <w:kern w:val="0"/>
                <w:szCs w:val="21"/>
                <w:highlight w:val="none"/>
              </w:rPr>
            </w:pPr>
            <w:r>
              <w:rPr>
                <w:rFonts w:hint="eastAsia" w:eastAsia="宋体"/>
                <w:kern w:val="0"/>
                <w:szCs w:val="21"/>
                <w:highlight w:val="none"/>
                <w:lang w:val="en-US" w:eastAsia="zh-CN"/>
              </w:rPr>
              <w:t>参数响应表</w:t>
            </w:r>
          </w:p>
        </w:tc>
        <w:tc>
          <w:tcPr>
            <w:tcW w:w="4162" w:type="dxa"/>
            <w:vAlign w:val="center"/>
          </w:tcPr>
          <w:p w14:paraId="299DD71F">
            <w:pPr>
              <w:spacing w:line="240" w:lineRule="exact"/>
              <w:rPr>
                <w:rFonts w:hint="eastAsia" w:eastAsia="宋体"/>
                <w:kern w:val="0"/>
                <w:szCs w:val="21"/>
                <w:highlight w:val="none"/>
                <w:lang w:eastAsia="zh-CN"/>
              </w:rPr>
            </w:pPr>
            <w:r>
              <w:rPr>
                <w:rFonts w:hint="eastAsia" w:eastAsia="宋体"/>
                <w:kern w:val="0"/>
                <w:szCs w:val="21"/>
                <w:highlight w:val="none"/>
                <w:lang w:val="en-US" w:eastAsia="zh-CN"/>
              </w:rPr>
              <w:t>提供参数响应表</w:t>
            </w:r>
          </w:p>
        </w:tc>
      </w:tr>
    </w:tbl>
    <w:p w14:paraId="30E2C84D">
      <w:pPr>
        <w:pStyle w:val="9"/>
        <w:numPr>
          <w:ilvl w:val="0"/>
          <w:numId w:val="4"/>
        </w:numPr>
        <w:rPr>
          <w:rFonts w:hint="eastAsia" w:ascii="宋体" w:hAnsi="宋体" w:cs="宋体"/>
          <w:bCs/>
          <w:color w:val="000000"/>
          <w:szCs w:val="21"/>
          <w:highlight w:val="none"/>
          <w:lang w:val="en-US" w:eastAsia="zh-CN"/>
        </w:rPr>
      </w:pPr>
      <w:r>
        <w:rPr>
          <w:rFonts w:hint="eastAsia" w:eastAsia="宋体"/>
          <w:highlight w:val="none"/>
          <w:lang w:val="en-US" w:eastAsia="zh-CN"/>
        </w:rPr>
        <w:t>依据规定《财政部关于推动解决政府采购异常低价问题的通知》（财库〔2026〕2号）规定，</w:t>
      </w:r>
      <w:r>
        <w:rPr>
          <w:rFonts w:hint="eastAsia" w:eastAsia="宋体" w:cs="Times New Roman"/>
          <w:b/>
          <w:bCs/>
          <w:kern w:val="0"/>
          <w:szCs w:val="21"/>
          <w:highlight w:val="none"/>
          <w:lang w:val="en-US" w:eastAsia="zh-CN"/>
        </w:rPr>
        <w:t>2、异常低价审查程序。</w:t>
      </w:r>
    </w:p>
    <w:p w14:paraId="12BBE9C6">
      <w:pPr>
        <w:pStyle w:val="9"/>
        <w:numPr>
          <w:ilvl w:val="0"/>
          <w:numId w:val="0"/>
        </w:numPr>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评审小组在评审过程中，出现下列情形之一的，评审小组应当启动异常低价投标（响应）审查程序： </w:t>
      </w:r>
    </w:p>
    <w:p w14:paraId="7205E0D8">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（1）投标（响应）报价低于全部通过符合性审查供应商投标（响应）报价平均值50%的，即投标（响应）报价&lt;全部通过符合性审查供应商投标（响应）报价平均值×50%； </w:t>
      </w:r>
    </w:p>
    <w:p w14:paraId="40032548">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（2）投标（响应）报价低于通过符合性审查的次低报价供应商投标（响应）报价50%的，即投标（响应）报价&lt;通过符合性审查的次低报价供应商投标（响应）报价×50%； </w:t>
      </w:r>
    </w:p>
    <w:p w14:paraId="65E6BA7B">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（3）投标（响应）报价低于采购项目最高限价45%的，即投标（响应）报价&lt;采购项目最高限价×45%； </w:t>
      </w:r>
    </w:p>
    <w:p w14:paraId="002D6406">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（4）评审委员会基于专业判断，认为供应商报价过低，有可能影响产品质量或者不能诚信履约的其他情形。 </w:t>
      </w:r>
    </w:p>
    <w:p w14:paraId="0C4FCF05">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    触发审查的供应商应在评审小组规定的时间内（原则上不超过1小时，竞标供应商应提前做好充分准备）提交书面说明，并提供必要的证明材料，包括但不限于：</w:t>
      </w:r>
    </w:p>
    <w:p w14:paraId="7CAF3AFE">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（1）详细的成本构成分析：包括人工、材料、管理费、利润、税金等分项报价明细；</w:t>
      </w:r>
    </w:p>
    <w:p w14:paraId="1F636E8E">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（2）拟采用的主要品牌、型号、产地及供应商报价单；</w:t>
      </w:r>
    </w:p>
    <w:p w14:paraId="41241326">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（3）拟投入本项目的关键人员、设备清单及来源说明；</w:t>
      </w:r>
    </w:p>
    <w:p w14:paraId="3A1FAB85">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（4）能够证明其报价合理性的其他材料（如类似项目合同、采购凭证等）。</w:t>
      </w:r>
    </w:p>
    <w:p w14:paraId="78F79803">
      <w:pPr>
        <w:shd w:val="clear" w:color="auto" w:fill="auto"/>
        <w:spacing w:line="360" w:lineRule="auto"/>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 xml:space="preserve">    评审小组结合项目具体特点、市场行情、供应商的说明及证明材料，对其报价是否低于成本、是否影响工程质量和合同履约进行集体评议。</w:t>
      </w:r>
    </w:p>
    <w:p w14:paraId="7F08C086">
      <w:pPr>
        <w:shd w:val="clear" w:color="auto" w:fill="auto"/>
        <w:spacing w:line="360" w:lineRule="auto"/>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若供应商未能按时提交说明和证明材料，或提交的材料不足以合理证明其报价能够保证工程质量并诚信履约，经评审小组过半数成员认定，其响应文件将按无效响应处理。</w:t>
      </w:r>
    </w:p>
    <w:p w14:paraId="38765263">
      <w:pPr>
        <w:spacing w:before="120" w:line="320" w:lineRule="atLeast"/>
        <w:ind w:firstLine="411" w:firstLineChars="196"/>
        <w:outlineLvl w:val="9"/>
        <w:rPr>
          <w:rFonts w:hint="eastAsia"/>
          <w:b/>
          <w:bCs/>
          <w:kern w:val="0"/>
          <w:szCs w:val="21"/>
          <w:highlight w:val="none"/>
          <w:lang w:val="en-US" w:eastAsia="zh-CN"/>
        </w:rPr>
      </w:pPr>
      <w:r>
        <w:rPr>
          <w:rFonts w:hint="eastAsia" w:ascii="宋体" w:hAnsi="宋体" w:cs="宋体"/>
          <w:bCs/>
          <w:color w:val="000000"/>
          <w:szCs w:val="21"/>
          <w:highlight w:val="none"/>
          <w:lang w:val="en-US" w:eastAsia="zh-CN"/>
        </w:rPr>
        <w:t>若供应商的说明和证明材料经评审小组评议认为合理、可信，其报价继续参与后续评审。</w:t>
      </w:r>
    </w:p>
    <w:p w14:paraId="402CFBAD">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3</w:t>
      </w:r>
      <w:r>
        <w:rPr>
          <w:b/>
          <w:bCs/>
          <w:kern w:val="0"/>
          <w:szCs w:val="21"/>
          <w:highlight w:val="none"/>
        </w:rPr>
        <w:t>、串通投标的认定</w:t>
      </w:r>
    </w:p>
    <w:p w14:paraId="50044CA9">
      <w:pPr>
        <w:spacing w:before="120" w:line="320" w:lineRule="atLeast"/>
        <w:ind w:firstLine="420" w:firstLineChars="200"/>
        <w:rPr>
          <w:highlight w:val="none"/>
        </w:rPr>
      </w:pPr>
      <w:r>
        <w:rPr>
          <w:rFonts w:hint="eastAsia"/>
          <w:highlight w:val="none"/>
          <w:lang w:eastAsia="zh-CN"/>
        </w:rPr>
        <w:t>评审小组</w:t>
      </w:r>
      <w:r>
        <w:rPr>
          <w:highlight w:val="none"/>
        </w:rPr>
        <w:t>须根据</w:t>
      </w:r>
      <w:r>
        <w:rPr>
          <w:rFonts w:hint="eastAsia"/>
          <w:highlight w:val="none"/>
        </w:rPr>
        <w:t>以下</w:t>
      </w:r>
      <w:r>
        <w:rPr>
          <w:highlight w:val="none"/>
        </w:rPr>
        <w:t>规定评审</w:t>
      </w:r>
      <w:r>
        <w:rPr>
          <w:bCs/>
          <w:kern w:val="0"/>
          <w:szCs w:val="21"/>
          <w:highlight w:val="none"/>
        </w:rPr>
        <w:t>供应商是否有串通投标的行为，并按规定判定响应是否有效</w:t>
      </w:r>
      <w:r>
        <w:rPr>
          <w:highlight w:val="none"/>
        </w:rPr>
        <w:t>。</w:t>
      </w:r>
    </w:p>
    <w:p w14:paraId="19E41A85">
      <w:pPr>
        <w:spacing w:before="120" w:line="320" w:lineRule="atLeast"/>
        <w:ind w:firstLine="420" w:firstLineChars="200"/>
        <w:rPr>
          <w:szCs w:val="21"/>
          <w:highlight w:val="none"/>
        </w:rPr>
      </w:pPr>
      <w:r>
        <w:rPr>
          <w:rFonts w:hint="eastAsia"/>
          <w:szCs w:val="21"/>
          <w:highlight w:val="none"/>
        </w:rPr>
        <w:t>（1）</w:t>
      </w:r>
      <w:r>
        <w:rPr>
          <w:szCs w:val="21"/>
          <w:highlight w:val="none"/>
        </w:rPr>
        <w:t>有下列情形之一的视为投标人（供应商）相互串通投标，投标（响应）文件将被视为无效。</w:t>
      </w:r>
      <w:r>
        <w:rPr>
          <w:kern w:val="1"/>
          <w:szCs w:val="21"/>
          <w:highlight w:val="none"/>
        </w:rPr>
        <w:t>（本款所述投标等同于询价或响应，投标人等同于供应商）。</w:t>
      </w:r>
    </w:p>
    <w:p w14:paraId="18C92959">
      <w:pPr>
        <w:spacing w:before="120" w:line="320" w:lineRule="atLeast"/>
        <w:ind w:firstLine="420" w:firstLineChars="200"/>
        <w:rPr>
          <w:szCs w:val="21"/>
          <w:highlight w:val="none"/>
        </w:rPr>
      </w:pPr>
      <w:r>
        <w:rPr>
          <w:rFonts w:hint="eastAsia" w:ascii="宋体" w:hAnsi="宋体" w:cs="宋体"/>
          <w:szCs w:val="21"/>
          <w:highlight w:val="none"/>
        </w:rPr>
        <w:t>①</w:t>
      </w:r>
      <w:r>
        <w:rPr>
          <w:szCs w:val="21"/>
          <w:highlight w:val="none"/>
        </w:rPr>
        <w:t>不同供应商的投标文件由同一单位或者个人编制；或不同供应商报名的IP地址一致的；</w:t>
      </w:r>
    </w:p>
    <w:p w14:paraId="4D08FA9D">
      <w:pPr>
        <w:spacing w:before="120" w:line="320" w:lineRule="atLeast"/>
        <w:ind w:firstLine="420" w:firstLineChars="200"/>
        <w:rPr>
          <w:szCs w:val="21"/>
          <w:highlight w:val="none"/>
        </w:rPr>
      </w:pPr>
      <w:r>
        <w:rPr>
          <w:rFonts w:hint="eastAsia"/>
          <w:szCs w:val="21"/>
          <w:highlight w:val="none"/>
        </w:rPr>
        <w:t>②</w:t>
      </w:r>
      <w:r>
        <w:rPr>
          <w:szCs w:val="21"/>
          <w:highlight w:val="none"/>
        </w:rPr>
        <w:t>不同供应商委托同一单位或者个人办理投标事宜；</w:t>
      </w:r>
    </w:p>
    <w:p w14:paraId="500F75DD">
      <w:pPr>
        <w:spacing w:before="120" w:line="320" w:lineRule="atLeast"/>
        <w:ind w:firstLine="420" w:firstLineChars="200"/>
        <w:rPr>
          <w:szCs w:val="21"/>
          <w:highlight w:val="none"/>
        </w:rPr>
      </w:pPr>
      <w:r>
        <w:rPr>
          <w:rFonts w:hint="eastAsia"/>
          <w:szCs w:val="21"/>
          <w:highlight w:val="none"/>
        </w:rPr>
        <w:t>③</w:t>
      </w:r>
      <w:r>
        <w:rPr>
          <w:szCs w:val="21"/>
          <w:highlight w:val="none"/>
        </w:rPr>
        <w:t>不同的供应商的投标文件载明的项目管理员为同一个人；</w:t>
      </w:r>
    </w:p>
    <w:p w14:paraId="4B771438">
      <w:pPr>
        <w:spacing w:before="120" w:line="320" w:lineRule="atLeast"/>
        <w:ind w:firstLine="420" w:firstLineChars="200"/>
        <w:rPr>
          <w:szCs w:val="21"/>
          <w:highlight w:val="none"/>
        </w:rPr>
      </w:pPr>
      <w:r>
        <w:rPr>
          <w:rFonts w:hint="eastAsia"/>
          <w:szCs w:val="21"/>
          <w:highlight w:val="none"/>
        </w:rPr>
        <w:t>④</w:t>
      </w:r>
      <w:r>
        <w:rPr>
          <w:szCs w:val="21"/>
          <w:highlight w:val="none"/>
        </w:rPr>
        <w:t>不同供应商的投标文件异常一致或投标报价呈规律性差异；</w:t>
      </w:r>
    </w:p>
    <w:p w14:paraId="5CA2B71A">
      <w:pPr>
        <w:spacing w:before="120" w:line="320" w:lineRule="atLeast"/>
        <w:ind w:firstLine="420" w:firstLineChars="200"/>
        <w:rPr>
          <w:szCs w:val="21"/>
          <w:highlight w:val="none"/>
        </w:rPr>
      </w:pPr>
      <w:r>
        <w:rPr>
          <w:rFonts w:hint="eastAsia"/>
          <w:szCs w:val="21"/>
          <w:highlight w:val="none"/>
        </w:rPr>
        <w:t>⑤</w:t>
      </w:r>
      <w:r>
        <w:rPr>
          <w:szCs w:val="21"/>
          <w:highlight w:val="none"/>
        </w:rPr>
        <w:t>不同供应商的投标文件相互混装；</w:t>
      </w:r>
    </w:p>
    <w:p w14:paraId="7BA67137">
      <w:pPr>
        <w:spacing w:before="120" w:line="320" w:lineRule="atLeast"/>
        <w:ind w:firstLine="420" w:firstLineChars="200"/>
        <w:rPr>
          <w:szCs w:val="21"/>
          <w:highlight w:val="none"/>
        </w:rPr>
      </w:pPr>
      <w:r>
        <w:rPr>
          <w:rFonts w:hint="eastAsia"/>
          <w:szCs w:val="21"/>
          <w:highlight w:val="none"/>
        </w:rPr>
        <w:t>⑥</w:t>
      </w:r>
      <w:r>
        <w:rPr>
          <w:szCs w:val="21"/>
          <w:highlight w:val="none"/>
        </w:rPr>
        <w:t>不同供应商的保证金从同一单位或者个人账户转出。</w:t>
      </w:r>
    </w:p>
    <w:p w14:paraId="5DFEF6AF">
      <w:pPr>
        <w:spacing w:before="120" w:line="320" w:lineRule="atLeast"/>
        <w:ind w:firstLine="420" w:firstLineChars="200"/>
        <w:rPr>
          <w:szCs w:val="21"/>
          <w:highlight w:val="none"/>
        </w:rPr>
      </w:pPr>
      <w:r>
        <w:rPr>
          <w:rFonts w:hint="eastAsia"/>
          <w:szCs w:val="21"/>
          <w:highlight w:val="none"/>
        </w:rPr>
        <w:t>（</w:t>
      </w:r>
      <w:r>
        <w:rPr>
          <w:szCs w:val="21"/>
          <w:highlight w:val="none"/>
        </w:rPr>
        <w:t>2</w:t>
      </w:r>
      <w:r>
        <w:rPr>
          <w:rFonts w:hint="eastAsia"/>
          <w:szCs w:val="21"/>
          <w:highlight w:val="none"/>
        </w:rPr>
        <w:t>）</w:t>
      </w:r>
      <w:r>
        <w:rPr>
          <w:szCs w:val="21"/>
          <w:highlight w:val="none"/>
        </w:rPr>
        <w:t>投标人有下列情形之一的，属于恶意串通行为，投标（响应）文件将被视为无效。（本款所述投标等同于询价或响应，中标人等同于成交供应商）</w:t>
      </w:r>
    </w:p>
    <w:p w14:paraId="1CADAF56">
      <w:pPr>
        <w:spacing w:before="120" w:line="320" w:lineRule="atLeast"/>
        <w:ind w:firstLine="420" w:firstLineChars="200"/>
        <w:rPr>
          <w:szCs w:val="21"/>
          <w:highlight w:val="none"/>
        </w:rPr>
      </w:pPr>
      <w:r>
        <w:rPr>
          <w:rFonts w:hint="eastAsia"/>
          <w:szCs w:val="21"/>
          <w:highlight w:val="none"/>
        </w:rPr>
        <w:t>①</w:t>
      </w:r>
      <w:r>
        <w:rPr>
          <w:szCs w:val="21"/>
          <w:highlight w:val="none"/>
        </w:rPr>
        <w:t>供应商直接或者间接从采购人或者采购代理机构处获得其他供应商的相关信息并修改其投标文件或者响应文件；</w:t>
      </w:r>
    </w:p>
    <w:p w14:paraId="2BCF0632">
      <w:pPr>
        <w:spacing w:before="120" w:line="320" w:lineRule="atLeast"/>
        <w:ind w:firstLine="420" w:firstLineChars="200"/>
        <w:rPr>
          <w:rFonts w:hint="eastAsia" w:eastAsia="宋体"/>
          <w:szCs w:val="21"/>
          <w:highlight w:val="none"/>
          <w:lang w:eastAsia="zh-CN"/>
        </w:rPr>
      </w:pPr>
      <w:r>
        <w:rPr>
          <w:rFonts w:hint="eastAsia"/>
          <w:szCs w:val="21"/>
          <w:highlight w:val="none"/>
        </w:rPr>
        <w:t>②</w:t>
      </w:r>
      <w:r>
        <w:rPr>
          <w:szCs w:val="21"/>
          <w:highlight w:val="none"/>
        </w:rPr>
        <w:t>供应商按照采购人或者采购代理机构的授意撤换、修改投标文件或者响应文件</w:t>
      </w:r>
      <w:r>
        <w:rPr>
          <w:rFonts w:hint="eastAsia"/>
          <w:szCs w:val="21"/>
          <w:highlight w:val="none"/>
          <w:lang w:eastAsia="zh-CN"/>
        </w:rPr>
        <w:t>；</w:t>
      </w:r>
    </w:p>
    <w:p w14:paraId="4B20F1A9">
      <w:pPr>
        <w:spacing w:before="120" w:line="320" w:lineRule="atLeast"/>
        <w:ind w:firstLine="420" w:firstLineChars="200"/>
        <w:rPr>
          <w:szCs w:val="21"/>
          <w:highlight w:val="none"/>
        </w:rPr>
      </w:pPr>
      <w:r>
        <w:rPr>
          <w:rFonts w:hint="eastAsia"/>
          <w:szCs w:val="21"/>
          <w:highlight w:val="none"/>
        </w:rPr>
        <w:t>③</w:t>
      </w:r>
      <w:r>
        <w:rPr>
          <w:szCs w:val="21"/>
          <w:highlight w:val="none"/>
        </w:rPr>
        <w:t>供应商之间协商报价、技术方案等投标文件或者响应文件的实质性内容；</w:t>
      </w:r>
    </w:p>
    <w:p w14:paraId="25D68E7F">
      <w:pPr>
        <w:spacing w:before="120" w:line="320" w:lineRule="atLeast"/>
        <w:ind w:firstLine="420" w:firstLineChars="200"/>
        <w:rPr>
          <w:szCs w:val="21"/>
          <w:highlight w:val="none"/>
        </w:rPr>
      </w:pPr>
      <w:r>
        <w:rPr>
          <w:rFonts w:hint="eastAsia"/>
          <w:szCs w:val="21"/>
          <w:highlight w:val="none"/>
        </w:rPr>
        <w:t>④</w:t>
      </w:r>
      <w:r>
        <w:rPr>
          <w:szCs w:val="21"/>
          <w:highlight w:val="none"/>
        </w:rPr>
        <w:t>属于同一集团、协会、商会等组织成员的供应商按照该组织要求协同参加采购活动；</w:t>
      </w:r>
    </w:p>
    <w:p w14:paraId="2D12F98A">
      <w:pPr>
        <w:spacing w:before="120" w:line="320" w:lineRule="atLeast"/>
        <w:ind w:firstLine="420" w:firstLineChars="200"/>
        <w:rPr>
          <w:szCs w:val="21"/>
          <w:highlight w:val="none"/>
        </w:rPr>
      </w:pPr>
      <w:r>
        <w:rPr>
          <w:rFonts w:hint="eastAsia"/>
          <w:szCs w:val="21"/>
          <w:highlight w:val="none"/>
        </w:rPr>
        <w:t>⑤</w:t>
      </w:r>
      <w:r>
        <w:rPr>
          <w:szCs w:val="21"/>
          <w:highlight w:val="none"/>
        </w:rPr>
        <w:t>供应商之间事先约定一致抬高或者压低投标报价，或者在招标项目中事先约定轮流以高价位或者低价位中标，或者事先约定由某一特定供应商中标，然后再参加投标；</w:t>
      </w:r>
    </w:p>
    <w:p w14:paraId="2CEECF06">
      <w:pPr>
        <w:spacing w:before="120" w:line="320" w:lineRule="atLeast"/>
        <w:ind w:firstLine="420" w:firstLineChars="200"/>
        <w:rPr>
          <w:szCs w:val="21"/>
          <w:highlight w:val="none"/>
        </w:rPr>
      </w:pPr>
      <w:r>
        <w:rPr>
          <w:rFonts w:hint="eastAsia"/>
          <w:szCs w:val="21"/>
          <w:highlight w:val="none"/>
        </w:rPr>
        <w:t>⑥</w:t>
      </w:r>
      <w:r>
        <w:rPr>
          <w:szCs w:val="21"/>
          <w:highlight w:val="none"/>
        </w:rPr>
        <w:t>供应商之间商定部分供应商放弃参加采购活动或者放弃中标；</w:t>
      </w:r>
    </w:p>
    <w:p w14:paraId="23A3CFF5">
      <w:pPr>
        <w:spacing w:before="120" w:line="320" w:lineRule="atLeast"/>
        <w:ind w:firstLine="420" w:firstLineChars="200"/>
        <w:rPr>
          <w:szCs w:val="21"/>
          <w:highlight w:val="none"/>
        </w:rPr>
      </w:pPr>
      <w:r>
        <w:rPr>
          <w:rFonts w:hint="eastAsia"/>
          <w:szCs w:val="21"/>
          <w:highlight w:val="none"/>
        </w:rPr>
        <w:t>⑦</w:t>
      </w:r>
      <w:r>
        <w:rPr>
          <w:szCs w:val="21"/>
          <w:highlight w:val="none"/>
        </w:rPr>
        <w:t>供应商与采购人或者采购代理机构之间、供应商相互之间，为谋求特定供应商中标或者排斥其他供应商的其他串通行为。</w:t>
      </w:r>
    </w:p>
    <w:p w14:paraId="0AE2D521">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4</w:t>
      </w:r>
      <w:r>
        <w:rPr>
          <w:b/>
          <w:bCs/>
          <w:kern w:val="0"/>
          <w:szCs w:val="21"/>
          <w:highlight w:val="none"/>
        </w:rPr>
        <w:t>、</w:t>
      </w:r>
      <w:r>
        <w:rPr>
          <w:rFonts w:hint="eastAsia"/>
          <w:b/>
          <w:bCs/>
          <w:kern w:val="0"/>
          <w:szCs w:val="21"/>
          <w:highlight w:val="none"/>
        </w:rPr>
        <w:t>响应</w:t>
      </w:r>
      <w:r>
        <w:rPr>
          <w:b/>
          <w:bCs/>
          <w:kern w:val="0"/>
          <w:szCs w:val="21"/>
          <w:highlight w:val="none"/>
        </w:rPr>
        <w:t>有效性的认定</w:t>
      </w:r>
    </w:p>
    <w:p w14:paraId="0A1123DC">
      <w:pPr>
        <w:spacing w:before="120" w:line="320" w:lineRule="atLeast"/>
        <w:ind w:firstLine="420" w:firstLineChars="200"/>
        <w:rPr>
          <w:szCs w:val="21"/>
          <w:highlight w:val="none"/>
        </w:rPr>
      </w:pPr>
      <w:r>
        <w:rPr>
          <w:szCs w:val="21"/>
          <w:highlight w:val="none"/>
        </w:rPr>
        <w:t>在符合性审查、商务和技术评估时，如发现下列情形之一的，响应文件将被视为无效：</w:t>
      </w:r>
    </w:p>
    <w:p w14:paraId="1E97F473">
      <w:pPr>
        <w:spacing w:before="120" w:line="320" w:lineRule="atLeast"/>
        <w:ind w:firstLine="420" w:firstLineChars="200"/>
        <w:rPr>
          <w:color w:val="000000"/>
          <w:highlight w:val="none"/>
        </w:rPr>
      </w:pPr>
      <w:r>
        <w:rPr>
          <w:rFonts w:hint="eastAsia"/>
          <w:szCs w:val="21"/>
          <w:highlight w:val="none"/>
        </w:rPr>
        <w:t>①</w:t>
      </w:r>
      <w:r>
        <w:rPr>
          <w:color w:val="000000"/>
          <w:highlight w:val="none"/>
        </w:rPr>
        <w:t>响应文件未要求签署、盖章的；</w:t>
      </w:r>
    </w:p>
    <w:p w14:paraId="47A47087">
      <w:pPr>
        <w:spacing w:before="120" w:line="320" w:lineRule="atLeast"/>
        <w:ind w:firstLine="420" w:firstLineChars="200"/>
        <w:rPr>
          <w:rStyle w:val="48"/>
          <w:color w:val="000000"/>
          <w:highlight w:val="none"/>
        </w:rPr>
      </w:pPr>
      <w:r>
        <w:rPr>
          <w:rFonts w:hint="eastAsia"/>
          <w:szCs w:val="21"/>
          <w:highlight w:val="none"/>
        </w:rPr>
        <w:t>②</w:t>
      </w:r>
      <w:r>
        <w:rPr>
          <w:color w:val="000000"/>
          <w:highlight w:val="none"/>
        </w:rPr>
        <w:t>报价超过</w:t>
      </w:r>
      <w:r>
        <w:rPr>
          <w:rFonts w:hint="eastAsia"/>
          <w:color w:val="000000"/>
          <w:highlight w:val="none"/>
          <w:lang w:eastAsia="zh-CN"/>
        </w:rPr>
        <w:t>项目需求</w:t>
      </w:r>
      <w:r>
        <w:rPr>
          <w:color w:val="000000"/>
          <w:highlight w:val="none"/>
        </w:rPr>
        <w:t>中规定的</w:t>
      </w:r>
      <w:r>
        <w:rPr>
          <w:rFonts w:hint="eastAsia"/>
          <w:color w:val="000000"/>
          <w:highlight w:val="none"/>
          <w:lang w:eastAsia="zh-CN"/>
        </w:rPr>
        <w:t>控制价</w:t>
      </w:r>
      <w:r>
        <w:rPr>
          <w:color w:val="000000"/>
          <w:highlight w:val="none"/>
        </w:rPr>
        <w:t>金额的；</w:t>
      </w:r>
    </w:p>
    <w:p w14:paraId="0BF97648">
      <w:pPr>
        <w:spacing w:before="120" w:line="320" w:lineRule="atLeast"/>
        <w:ind w:firstLine="420" w:firstLineChars="200"/>
        <w:rPr>
          <w:szCs w:val="21"/>
          <w:highlight w:val="none"/>
        </w:rPr>
      </w:pPr>
      <w:r>
        <w:rPr>
          <w:rFonts w:hint="eastAsia"/>
          <w:szCs w:val="21"/>
          <w:highlight w:val="none"/>
        </w:rPr>
        <w:t>③评审过程中发现响应文件中提供虚假材料的；</w:t>
      </w:r>
    </w:p>
    <w:p w14:paraId="2D3D2F54">
      <w:pPr>
        <w:spacing w:before="120" w:line="320" w:lineRule="atLeast"/>
        <w:ind w:firstLine="420" w:firstLineChars="200"/>
        <w:rPr>
          <w:szCs w:val="21"/>
          <w:highlight w:val="none"/>
        </w:rPr>
      </w:pPr>
      <w:r>
        <w:rPr>
          <w:rFonts w:hint="eastAsia" w:ascii="宋体" w:hAnsi="宋体"/>
          <w:szCs w:val="21"/>
          <w:highlight w:val="none"/>
        </w:rPr>
        <w:t>④</w:t>
      </w:r>
      <w:r>
        <w:rPr>
          <w:szCs w:val="21"/>
          <w:highlight w:val="none"/>
        </w:rPr>
        <w:t>法律、法规和询价通知书规定的其他无效情形。</w:t>
      </w:r>
    </w:p>
    <w:p w14:paraId="30E84F00">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5</w:t>
      </w:r>
      <w:r>
        <w:rPr>
          <w:b/>
          <w:bCs/>
          <w:kern w:val="0"/>
          <w:szCs w:val="21"/>
          <w:highlight w:val="none"/>
        </w:rPr>
        <w:t>、成交候选供应商确定原则</w:t>
      </w:r>
    </w:p>
    <w:p w14:paraId="29FCA6CD">
      <w:pPr>
        <w:spacing w:before="120" w:line="320" w:lineRule="atLeast"/>
        <w:ind w:firstLine="420" w:firstLineChars="200"/>
        <w:rPr>
          <w:rFonts w:hint="eastAsia" w:eastAsia="宋体" w:cs="Times New Roman"/>
          <w:highlight w:val="none"/>
          <w:lang w:val="en-US" w:eastAsia="zh-CN"/>
        </w:rPr>
      </w:pPr>
      <w:r>
        <w:rPr>
          <w:rFonts w:hint="eastAsia" w:eastAsia="宋体" w:cs="Times New Roman"/>
          <w:highlight w:val="none"/>
          <w:lang w:val="en-US" w:eastAsia="zh-CN"/>
        </w:rPr>
        <w:t>采购小组将根据总得分由高到低排列次序并推荐成交候选人。得分相同的，以</w:t>
      </w:r>
      <w:r>
        <w:rPr>
          <w:rFonts w:hint="eastAsia" w:cs="Times New Roman"/>
          <w:highlight w:val="none"/>
          <w:lang w:val="en-US" w:eastAsia="zh-CN"/>
        </w:rPr>
        <w:t>响应</w:t>
      </w:r>
      <w:r>
        <w:rPr>
          <w:rFonts w:hint="eastAsia" w:eastAsia="宋体" w:cs="Times New Roman"/>
          <w:highlight w:val="none"/>
          <w:lang w:val="en-US" w:eastAsia="zh-CN"/>
        </w:rPr>
        <w:t>报价由低到高顺序排列。得分且报价相同的并列。响应文件满足采购文件全部实质性要求，且按照评审因素的量化指标评审得分最高的投标人为排名第一的成交候选人。</w:t>
      </w:r>
    </w:p>
    <w:p w14:paraId="3A1D43CC">
      <w:pPr>
        <w:spacing w:before="120" w:line="320" w:lineRule="atLeast"/>
        <w:ind w:firstLine="413" w:firstLineChars="196"/>
        <w:outlineLvl w:val="9"/>
        <w:rPr>
          <w:b/>
          <w:bCs/>
          <w:kern w:val="0"/>
          <w:szCs w:val="21"/>
          <w:highlight w:val="none"/>
        </w:rPr>
      </w:pPr>
      <w:r>
        <w:rPr>
          <w:rFonts w:hint="eastAsia"/>
          <w:b/>
          <w:bCs/>
          <w:kern w:val="0"/>
          <w:szCs w:val="21"/>
          <w:highlight w:val="none"/>
          <w:lang w:val="en-US" w:eastAsia="zh-CN"/>
        </w:rPr>
        <w:t>6</w:t>
      </w:r>
      <w:r>
        <w:rPr>
          <w:b/>
          <w:bCs/>
          <w:kern w:val="0"/>
          <w:szCs w:val="21"/>
          <w:highlight w:val="none"/>
        </w:rPr>
        <w:t>、评</w:t>
      </w:r>
      <w:r>
        <w:rPr>
          <w:rFonts w:hint="eastAsia"/>
          <w:b/>
          <w:bCs/>
          <w:kern w:val="0"/>
          <w:szCs w:val="21"/>
          <w:highlight w:val="none"/>
        </w:rPr>
        <w:t>审</w:t>
      </w:r>
      <w:r>
        <w:rPr>
          <w:b/>
          <w:bCs/>
          <w:kern w:val="0"/>
          <w:szCs w:val="21"/>
          <w:highlight w:val="none"/>
        </w:rPr>
        <w:t>争议处理</w:t>
      </w:r>
    </w:p>
    <w:p w14:paraId="48EA1A11">
      <w:pPr>
        <w:spacing w:before="120" w:line="320" w:lineRule="atLeast"/>
        <w:ind w:firstLine="420" w:firstLineChars="200"/>
        <w:rPr>
          <w:rFonts w:hint="eastAsia" w:ascii="Times New Roman" w:hAnsi="Times New Roman"/>
          <w:b/>
          <w:color w:val="auto"/>
          <w:sz w:val="36"/>
          <w:highlight w:val="none"/>
        </w:rPr>
      </w:pPr>
      <w:r>
        <w:rPr>
          <w:rFonts w:hint="eastAsia"/>
          <w:highlight w:val="none"/>
          <w:lang w:eastAsia="zh-CN"/>
        </w:rPr>
        <w:t>评审小组</w:t>
      </w:r>
      <w:r>
        <w:rPr>
          <w:highlight w:val="none"/>
        </w:rPr>
        <w:t>成员对需要共同认定的事项存在争议的，应当按照少数服从多数的原则作出结论。持不同意见的</w:t>
      </w:r>
      <w:r>
        <w:rPr>
          <w:rFonts w:hint="eastAsia"/>
          <w:highlight w:val="none"/>
          <w:lang w:eastAsia="zh-CN"/>
        </w:rPr>
        <w:t>评审小组</w:t>
      </w:r>
      <w:r>
        <w:rPr>
          <w:highlight w:val="none"/>
        </w:rPr>
        <w:t>成员应当在评</w:t>
      </w:r>
      <w:r>
        <w:rPr>
          <w:rFonts w:hint="eastAsia"/>
          <w:highlight w:val="none"/>
        </w:rPr>
        <w:t>审</w:t>
      </w:r>
      <w:r>
        <w:rPr>
          <w:highlight w:val="none"/>
        </w:rPr>
        <w:t>报告上签署不同意见及理由，否则视为同意评</w:t>
      </w:r>
      <w:r>
        <w:rPr>
          <w:rFonts w:hint="eastAsia"/>
          <w:highlight w:val="none"/>
        </w:rPr>
        <w:t>审</w:t>
      </w:r>
      <w:r>
        <w:rPr>
          <w:highlight w:val="none"/>
        </w:rPr>
        <w:t>报告。</w:t>
      </w:r>
    </w:p>
    <w:p w14:paraId="4A104584">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31486AAB">
      <w:pPr>
        <w:snapToGrid w:val="0"/>
        <w:spacing w:before="50" w:afterLines="50"/>
        <w:jc w:val="center"/>
        <w:rPr>
          <w:rFonts w:ascii="宋体" w:hAnsi="宋体" w:cs="宋体"/>
          <w:color w:val="000000"/>
          <w:szCs w:val="21"/>
          <w:highlight w:val="none"/>
        </w:rPr>
      </w:pPr>
      <w:r>
        <w:rPr>
          <w:rFonts w:hint="eastAsia" w:ascii="宋体" w:hAnsi="宋体" w:cs="宋体"/>
          <w:b/>
          <w:color w:val="000000"/>
          <w:sz w:val="36"/>
          <w:szCs w:val="36"/>
          <w:highlight w:val="none"/>
        </w:rPr>
        <w:t>评分标准</w:t>
      </w:r>
    </w:p>
    <w:tbl>
      <w:tblPr>
        <w:tblStyle w:val="25"/>
        <w:tblW w:w="10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221"/>
        <w:gridCol w:w="8267"/>
      </w:tblGrid>
      <w:tr w14:paraId="3422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418DE5CD">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项目</w:t>
            </w:r>
          </w:p>
        </w:tc>
        <w:tc>
          <w:tcPr>
            <w:tcW w:w="1221" w:type="dxa"/>
            <w:tcBorders>
              <w:top w:val="single" w:color="auto" w:sz="4" w:space="0"/>
              <w:left w:val="single" w:color="auto" w:sz="4" w:space="0"/>
              <w:bottom w:val="single" w:color="auto" w:sz="4" w:space="0"/>
              <w:right w:val="single" w:color="auto" w:sz="4" w:space="0"/>
            </w:tcBorders>
            <w:vAlign w:val="center"/>
          </w:tcPr>
          <w:p w14:paraId="2D01D73A">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评分因素</w:t>
            </w:r>
          </w:p>
        </w:tc>
        <w:tc>
          <w:tcPr>
            <w:tcW w:w="8267" w:type="dxa"/>
            <w:tcBorders>
              <w:top w:val="single" w:color="auto" w:sz="4" w:space="0"/>
              <w:left w:val="single" w:color="auto" w:sz="4" w:space="0"/>
              <w:bottom w:val="single" w:color="auto" w:sz="4" w:space="0"/>
              <w:right w:val="single" w:color="auto" w:sz="4" w:space="0"/>
            </w:tcBorders>
            <w:vAlign w:val="center"/>
          </w:tcPr>
          <w:p w14:paraId="320B903B">
            <w:pPr>
              <w:widowControl/>
              <w:jc w:val="center"/>
              <w:rPr>
                <w:rFonts w:ascii="宋体" w:hAnsi="宋体" w:cs="宋体"/>
                <w:b/>
                <w:kern w:val="0"/>
                <w:sz w:val="21"/>
                <w:szCs w:val="21"/>
                <w:highlight w:val="none"/>
              </w:rPr>
            </w:pPr>
            <w:r>
              <w:rPr>
                <w:rFonts w:hint="eastAsia" w:ascii="宋体" w:hAnsi="宋体" w:cs="宋体"/>
                <w:b/>
                <w:kern w:val="0"/>
                <w:sz w:val="21"/>
                <w:szCs w:val="21"/>
                <w:highlight w:val="none"/>
              </w:rPr>
              <w:t>评价内容及分项分值</w:t>
            </w:r>
          </w:p>
        </w:tc>
      </w:tr>
      <w:tr w14:paraId="2E10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02681F57">
            <w:pPr>
              <w:spacing w:line="360" w:lineRule="auto"/>
              <w:jc w:val="left"/>
              <w:rPr>
                <w:rFonts w:ascii="宋体" w:hAnsi="宋体" w:cs="宋体"/>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77A6A4C">
            <w:pPr>
              <w:spacing w:line="360" w:lineRule="auto"/>
              <w:jc w:val="left"/>
              <w:rPr>
                <w:rFonts w:ascii="宋体" w:hAnsi="宋体" w:cs="宋体"/>
                <w:sz w:val="21"/>
                <w:szCs w:val="21"/>
                <w:highlight w:val="none"/>
              </w:rPr>
            </w:pPr>
          </w:p>
        </w:tc>
        <w:tc>
          <w:tcPr>
            <w:tcW w:w="8267" w:type="dxa"/>
            <w:tcBorders>
              <w:top w:val="single" w:color="auto" w:sz="4" w:space="0"/>
              <w:left w:val="single" w:color="auto" w:sz="4" w:space="0"/>
              <w:bottom w:val="single" w:color="auto" w:sz="4" w:space="0"/>
              <w:right w:val="single" w:color="auto" w:sz="4" w:space="0"/>
            </w:tcBorders>
            <w:vAlign w:val="center"/>
          </w:tcPr>
          <w:p w14:paraId="5D18909C">
            <w:pPr>
              <w:spacing w:line="360" w:lineRule="auto"/>
              <w:jc w:val="left"/>
              <w:rPr>
                <w:rFonts w:ascii="宋体" w:hAnsi="宋体" w:cs="宋体"/>
                <w:sz w:val="21"/>
                <w:szCs w:val="21"/>
                <w:highlight w:val="none"/>
              </w:rPr>
            </w:pPr>
          </w:p>
        </w:tc>
      </w:tr>
      <w:tr w14:paraId="075D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1" w:type="dxa"/>
            <w:tcBorders>
              <w:left w:val="single" w:color="auto" w:sz="4" w:space="0"/>
              <w:right w:val="single" w:color="auto" w:sz="4" w:space="0"/>
            </w:tcBorders>
            <w:vAlign w:val="center"/>
          </w:tcPr>
          <w:p w14:paraId="114DBBFF">
            <w:pPr>
              <w:spacing w:line="360" w:lineRule="auto"/>
              <w:jc w:val="left"/>
              <w:rPr>
                <w:rFonts w:hint="eastAsia" w:ascii="宋体" w:hAnsi="宋体" w:cs="宋体"/>
                <w:sz w:val="21"/>
                <w:szCs w:val="21"/>
                <w:highlight w:val="none"/>
              </w:rPr>
            </w:pPr>
          </w:p>
        </w:tc>
        <w:tc>
          <w:tcPr>
            <w:tcW w:w="1221" w:type="dxa"/>
            <w:tcBorders>
              <w:top w:val="single" w:color="auto" w:sz="4" w:space="0"/>
              <w:left w:val="single" w:color="auto" w:sz="4" w:space="0"/>
              <w:right w:val="single" w:color="auto" w:sz="4" w:space="0"/>
            </w:tcBorders>
            <w:vAlign w:val="center"/>
          </w:tcPr>
          <w:p w14:paraId="74646035">
            <w:pPr>
              <w:jc w:val="center"/>
              <w:rPr>
                <w:rFonts w:hint="eastAsia" w:ascii="宋体" w:hAnsi="宋体" w:cs="宋体"/>
                <w:sz w:val="21"/>
                <w:szCs w:val="21"/>
                <w:highlight w:val="none"/>
              </w:rPr>
            </w:pPr>
          </w:p>
        </w:tc>
        <w:tc>
          <w:tcPr>
            <w:tcW w:w="8267" w:type="dxa"/>
            <w:tcBorders>
              <w:top w:val="single" w:color="auto" w:sz="4" w:space="0"/>
              <w:left w:val="single" w:color="auto" w:sz="4" w:space="0"/>
              <w:right w:val="single" w:color="auto" w:sz="4" w:space="0"/>
            </w:tcBorders>
            <w:vAlign w:val="top"/>
          </w:tcPr>
          <w:p w14:paraId="3E741DCC">
            <w:pPr>
              <w:rPr>
                <w:rFonts w:hint="eastAsia" w:ascii="宋体" w:hAnsi="宋体" w:cs="宋体"/>
                <w:sz w:val="21"/>
                <w:szCs w:val="21"/>
                <w:highlight w:val="none"/>
              </w:rPr>
            </w:pPr>
          </w:p>
        </w:tc>
      </w:tr>
      <w:tr w14:paraId="1A97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1" w:type="dxa"/>
            <w:tcBorders>
              <w:left w:val="single" w:color="auto" w:sz="4" w:space="0"/>
              <w:right w:val="single" w:color="auto" w:sz="4" w:space="0"/>
            </w:tcBorders>
            <w:vAlign w:val="center"/>
          </w:tcPr>
          <w:p w14:paraId="08B7FAD1">
            <w:pPr>
              <w:spacing w:line="360" w:lineRule="auto"/>
              <w:jc w:val="left"/>
              <w:rPr>
                <w:rFonts w:hint="eastAsia" w:ascii="宋体" w:hAnsi="宋体" w:cs="宋体"/>
                <w:sz w:val="21"/>
                <w:szCs w:val="21"/>
                <w:highlight w:val="none"/>
              </w:rPr>
            </w:pPr>
          </w:p>
        </w:tc>
        <w:tc>
          <w:tcPr>
            <w:tcW w:w="1221" w:type="dxa"/>
            <w:tcBorders>
              <w:top w:val="single" w:color="auto" w:sz="4" w:space="0"/>
              <w:left w:val="single" w:color="auto" w:sz="4" w:space="0"/>
              <w:right w:val="single" w:color="auto" w:sz="4" w:space="0"/>
            </w:tcBorders>
            <w:vAlign w:val="center"/>
          </w:tcPr>
          <w:p w14:paraId="1B5F23A5">
            <w:pPr>
              <w:jc w:val="center"/>
              <w:rPr>
                <w:rFonts w:hint="eastAsia" w:ascii="宋体" w:hAnsi="宋体" w:eastAsia="宋体" w:cs="宋体"/>
                <w:sz w:val="21"/>
                <w:szCs w:val="21"/>
                <w:highlight w:val="none"/>
                <w:lang w:eastAsia="zh-CN"/>
              </w:rPr>
            </w:pPr>
          </w:p>
        </w:tc>
        <w:tc>
          <w:tcPr>
            <w:tcW w:w="8267" w:type="dxa"/>
            <w:tcBorders>
              <w:top w:val="single" w:color="auto" w:sz="4" w:space="0"/>
              <w:left w:val="single" w:color="auto" w:sz="4" w:space="0"/>
              <w:right w:val="single" w:color="auto" w:sz="4" w:space="0"/>
            </w:tcBorders>
            <w:vAlign w:val="top"/>
          </w:tcPr>
          <w:p w14:paraId="35BA95F7">
            <w:pPr>
              <w:rPr>
                <w:rFonts w:hint="eastAsia" w:ascii="宋体" w:hAnsi="宋体" w:cs="宋体"/>
                <w:sz w:val="21"/>
                <w:szCs w:val="21"/>
                <w:highlight w:val="none"/>
              </w:rPr>
            </w:pPr>
          </w:p>
        </w:tc>
      </w:tr>
      <w:tr w14:paraId="2E63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47932CB">
            <w:pPr>
              <w:spacing w:line="360" w:lineRule="auto"/>
              <w:jc w:val="left"/>
              <w:rPr>
                <w:rFonts w:ascii="宋体" w:hAnsi="宋体" w:cs="宋体"/>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75C46F42">
            <w:pPr>
              <w:spacing w:line="360" w:lineRule="auto"/>
              <w:jc w:val="left"/>
              <w:rPr>
                <w:rFonts w:hint="eastAsia" w:ascii="宋体" w:hAnsi="宋体" w:cs="宋体"/>
                <w:sz w:val="21"/>
                <w:szCs w:val="21"/>
                <w:highlight w:val="none"/>
              </w:rPr>
            </w:pPr>
          </w:p>
        </w:tc>
        <w:tc>
          <w:tcPr>
            <w:tcW w:w="8267" w:type="dxa"/>
            <w:tcBorders>
              <w:top w:val="single" w:color="auto" w:sz="4" w:space="0"/>
              <w:left w:val="single" w:color="auto" w:sz="4" w:space="0"/>
              <w:bottom w:val="single" w:color="auto" w:sz="4" w:space="0"/>
              <w:right w:val="single" w:color="auto" w:sz="4" w:space="0"/>
            </w:tcBorders>
            <w:vAlign w:val="top"/>
          </w:tcPr>
          <w:p w14:paraId="473CF0FA">
            <w:pPr>
              <w:spacing w:line="360" w:lineRule="auto"/>
              <w:jc w:val="left"/>
              <w:rPr>
                <w:rFonts w:hint="eastAsia" w:ascii="宋体" w:hAnsi="宋体" w:cs="宋体"/>
                <w:sz w:val="21"/>
                <w:szCs w:val="21"/>
                <w:highlight w:val="none"/>
              </w:rPr>
            </w:pPr>
          </w:p>
        </w:tc>
      </w:tr>
      <w:tr w14:paraId="2563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99" w:type="dxa"/>
            <w:gridSpan w:val="3"/>
            <w:tcBorders>
              <w:top w:val="single" w:color="auto" w:sz="4" w:space="0"/>
              <w:left w:val="single" w:color="auto" w:sz="4" w:space="0"/>
              <w:bottom w:val="single" w:color="auto" w:sz="4" w:space="0"/>
              <w:right w:val="single" w:color="auto" w:sz="4" w:space="0"/>
            </w:tcBorders>
            <w:vAlign w:val="center"/>
          </w:tcPr>
          <w:p w14:paraId="1D6F26F4">
            <w:pPr>
              <w:spacing w:line="360" w:lineRule="auto"/>
              <w:jc w:val="left"/>
              <w:rPr>
                <w:rFonts w:ascii="宋体" w:hAnsi="宋体" w:cs="宋体"/>
                <w:sz w:val="21"/>
                <w:szCs w:val="21"/>
                <w:highlight w:val="none"/>
              </w:rPr>
            </w:pPr>
            <w:r>
              <w:rPr>
                <w:rFonts w:hint="eastAsia" w:ascii="宋体" w:hAnsi="宋体" w:cs="宋体"/>
                <w:sz w:val="21"/>
                <w:szCs w:val="21"/>
                <w:highlight w:val="none"/>
              </w:rPr>
              <w:t>总分（100分）</w:t>
            </w:r>
          </w:p>
        </w:tc>
      </w:tr>
    </w:tbl>
    <w:p w14:paraId="393754DE">
      <w:pPr>
        <w:pStyle w:val="15"/>
        <w:spacing w:line="400" w:lineRule="exact"/>
        <w:rPr>
          <w:rFonts w:hAnsi="宋体"/>
          <w:bCs/>
          <w:highlight w:val="none"/>
        </w:rPr>
      </w:pPr>
      <w:r>
        <w:rPr>
          <w:rFonts w:hint="eastAsia" w:hAnsi="宋体"/>
          <w:bCs/>
          <w:highlight w:val="none"/>
        </w:rPr>
        <w:t>注：计分方法按四舍五入取至百分位。</w:t>
      </w:r>
    </w:p>
    <w:p w14:paraId="1CA2683F">
      <w:pPr>
        <w:pStyle w:val="15"/>
        <w:spacing w:line="400" w:lineRule="exact"/>
        <w:rPr>
          <w:rFonts w:hAnsi="宋体"/>
          <w:bCs/>
          <w:highlight w:val="none"/>
        </w:rPr>
      </w:pPr>
    </w:p>
    <w:p w14:paraId="1B18B6E3">
      <w:pPr>
        <w:pStyle w:val="15"/>
        <w:spacing w:line="400" w:lineRule="exact"/>
        <w:rPr>
          <w:rFonts w:hAnsi="宋体"/>
          <w:bCs/>
          <w:highlight w:val="none"/>
        </w:rPr>
      </w:pPr>
    </w:p>
    <w:p w14:paraId="3C2451C4">
      <w:pPr>
        <w:pStyle w:val="4"/>
        <w:rPr>
          <w:rFonts w:hint="eastAsia"/>
          <w:highlight w:val="none"/>
        </w:rPr>
        <w:sectPr>
          <w:pgSz w:w="11906" w:h="16838"/>
          <w:pgMar w:top="1418" w:right="1555" w:bottom="1418" w:left="1531" w:header="851" w:footer="992" w:gutter="0"/>
          <w:pgNumType w:fmt="decimal"/>
          <w:cols w:space="720" w:num="1"/>
          <w:titlePg/>
          <w:docGrid w:type="lines" w:linePitch="312" w:charSpace="0"/>
        </w:sectPr>
      </w:pPr>
    </w:p>
    <w:p w14:paraId="0A9969E2">
      <w:pPr>
        <w:pStyle w:val="2"/>
        <w:jc w:val="center"/>
        <w:rPr>
          <w:rFonts w:hint="eastAsia" w:ascii="仿宋" w:eastAsia="仿宋" w:cs="仿宋"/>
          <w:color w:val="auto"/>
          <w:highlight w:val="none"/>
        </w:rPr>
      </w:pPr>
      <w:r>
        <w:rPr>
          <w:rFonts w:hint="eastAsia" w:ascii="仿宋" w:eastAsia="仿宋" w:cs="仿宋"/>
          <w:color w:val="auto"/>
          <w:highlight w:val="none"/>
        </w:rPr>
        <w:t>第</w:t>
      </w:r>
      <w:r>
        <w:rPr>
          <w:rFonts w:hint="eastAsia" w:ascii="仿宋" w:eastAsia="仿宋" w:cs="仿宋"/>
          <w:color w:val="auto"/>
          <w:highlight w:val="none"/>
          <w:lang w:eastAsia="zh-CN"/>
        </w:rPr>
        <w:t>四</w:t>
      </w:r>
      <w:r>
        <w:rPr>
          <w:rFonts w:hint="eastAsia" w:ascii="仿宋" w:eastAsia="仿宋" w:cs="仿宋"/>
          <w:color w:val="auto"/>
          <w:highlight w:val="none"/>
        </w:rPr>
        <w:t>章 响应文件格式</w:t>
      </w:r>
    </w:p>
    <w:p w14:paraId="3082F563">
      <w:pPr>
        <w:snapToGrid w:val="0"/>
        <w:spacing w:before="156" w:after="50" w:line="360" w:lineRule="auto"/>
        <w:ind w:firstLine="1680" w:firstLineChars="200"/>
        <w:jc w:val="left"/>
        <w:rPr>
          <w:rFonts w:hint="eastAsia" w:ascii="仿宋" w:eastAsia="仿宋" w:cs="仿宋"/>
          <w:bCs/>
          <w:color w:val="auto"/>
          <w:sz w:val="84"/>
          <w:szCs w:val="84"/>
          <w:highlight w:val="none"/>
        </w:rPr>
      </w:pPr>
    </w:p>
    <w:p w14:paraId="0F15F8EF">
      <w:pPr>
        <w:snapToGrid w:val="0"/>
        <w:spacing w:before="156" w:after="50"/>
        <w:jc w:val="center"/>
        <w:rPr>
          <w:rFonts w:hint="eastAsia" w:ascii="仿宋" w:eastAsia="仿宋" w:cs="仿宋"/>
          <w:bCs/>
          <w:color w:val="auto"/>
          <w:sz w:val="84"/>
          <w:szCs w:val="84"/>
          <w:highlight w:val="none"/>
        </w:rPr>
      </w:pPr>
      <w:r>
        <w:rPr>
          <w:rFonts w:hint="eastAsia" w:ascii="仿宋" w:eastAsia="仿宋" w:cs="仿宋"/>
          <w:bCs/>
          <w:color w:val="auto"/>
          <w:sz w:val="84"/>
          <w:szCs w:val="84"/>
          <w:highlight w:val="none"/>
        </w:rPr>
        <w:t>响  应  文  件</w:t>
      </w:r>
    </w:p>
    <w:p w14:paraId="25468C28">
      <w:pPr>
        <w:snapToGrid w:val="0"/>
        <w:spacing w:before="156" w:after="50"/>
        <w:jc w:val="center"/>
        <w:rPr>
          <w:rFonts w:hint="eastAsia" w:ascii="仿宋" w:eastAsia="仿宋" w:cs="仿宋"/>
          <w:bCs/>
          <w:color w:val="auto"/>
          <w:sz w:val="44"/>
          <w:szCs w:val="44"/>
          <w:highlight w:val="none"/>
        </w:rPr>
      </w:pPr>
    </w:p>
    <w:p w14:paraId="2ED79312">
      <w:pPr>
        <w:snapToGrid w:val="0"/>
        <w:spacing w:before="156" w:after="50"/>
        <w:rPr>
          <w:rFonts w:hint="eastAsia" w:ascii="仿宋" w:eastAsia="仿宋" w:cs="仿宋"/>
          <w:bCs/>
          <w:color w:val="auto"/>
          <w:sz w:val="24"/>
          <w:szCs w:val="20"/>
          <w:highlight w:val="none"/>
        </w:rPr>
      </w:pPr>
    </w:p>
    <w:p w14:paraId="04B14C7A">
      <w:pPr>
        <w:snapToGrid w:val="0"/>
        <w:spacing w:before="156" w:after="50"/>
        <w:rPr>
          <w:rFonts w:hint="eastAsia" w:ascii="仿宋" w:eastAsia="仿宋" w:cs="仿宋"/>
          <w:bCs/>
          <w:color w:val="auto"/>
          <w:sz w:val="24"/>
          <w:szCs w:val="20"/>
          <w:highlight w:val="none"/>
        </w:rPr>
      </w:pPr>
    </w:p>
    <w:p w14:paraId="6E0E16EC">
      <w:pPr>
        <w:snapToGrid w:val="0"/>
        <w:spacing w:before="156" w:after="50"/>
        <w:rPr>
          <w:rFonts w:hint="eastAsia" w:ascii="仿宋" w:eastAsia="仿宋" w:cs="仿宋"/>
          <w:bCs/>
          <w:color w:val="auto"/>
          <w:sz w:val="24"/>
          <w:szCs w:val="20"/>
          <w:highlight w:val="none"/>
        </w:rPr>
      </w:pPr>
    </w:p>
    <w:p w14:paraId="44A19ACB">
      <w:pPr>
        <w:snapToGrid w:val="0"/>
        <w:spacing w:before="156" w:after="50"/>
        <w:ind w:firstLine="640" w:firstLineChars="200"/>
        <w:rPr>
          <w:rFonts w:hint="eastAsia" w:ascii="仿宋" w:eastAsia="仿宋" w:cs="仿宋"/>
          <w:bCs/>
          <w:color w:val="auto"/>
          <w:sz w:val="32"/>
          <w:szCs w:val="32"/>
          <w:highlight w:val="none"/>
        </w:rPr>
      </w:pPr>
      <w:r>
        <w:rPr>
          <w:rFonts w:hint="eastAsia" w:ascii="仿宋" w:eastAsia="仿宋" w:cs="仿宋"/>
          <w:bCs/>
          <w:color w:val="auto"/>
          <w:sz w:val="32"/>
          <w:szCs w:val="32"/>
          <w:highlight w:val="none"/>
        </w:rPr>
        <w:t>项目名称：</w:t>
      </w:r>
    </w:p>
    <w:p w14:paraId="2FA2F13C">
      <w:pPr>
        <w:snapToGrid w:val="0"/>
        <w:spacing w:before="156" w:after="50"/>
        <w:ind w:firstLine="720" w:firstLineChars="225"/>
        <w:rPr>
          <w:rFonts w:hint="eastAsia" w:ascii="仿宋" w:eastAsia="仿宋" w:cs="仿宋"/>
          <w:bCs/>
          <w:color w:val="auto"/>
          <w:sz w:val="32"/>
          <w:szCs w:val="32"/>
          <w:highlight w:val="none"/>
        </w:rPr>
      </w:pPr>
    </w:p>
    <w:p w14:paraId="7E805E64">
      <w:pPr>
        <w:pStyle w:val="8"/>
        <w:snapToGrid w:val="0"/>
        <w:spacing w:before="50" w:after="50"/>
        <w:ind w:left="0" w:leftChars="0" w:firstLine="640" w:firstLineChars="200"/>
        <w:rPr>
          <w:rFonts w:hint="eastAsia" w:ascii="仿宋" w:eastAsia="仿宋" w:cs="仿宋"/>
          <w:bCs/>
          <w:color w:val="auto"/>
          <w:sz w:val="32"/>
          <w:szCs w:val="32"/>
          <w:highlight w:val="none"/>
        </w:rPr>
      </w:pPr>
      <w:r>
        <w:rPr>
          <w:rFonts w:hint="eastAsia" w:ascii="仿宋" w:eastAsia="仿宋" w:cs="仿宋"/>
          <w:bCs/>
          <w:color w:val="auto"/>
          <w:sz w:val="32"/>
          <w:szCs w:val="32"/>
          <w:highlight w:val="none"/>
        </w:rPr>
        <w:t>供应商名称：</w:t>
      </w:r>
    </w:p>
    <w:p w14:paraId="1022D8B2">
      <w:pPr>
        <w:pStyle w:val="8"/>
        <w:snapToGrid w:val="0"/>
        <w:spacing w:before="50" w:after="50"/>
        <w:ind w:firstLine="720" w:firstLineChars="225"/>
        <w:rPr>
          <w:rFonts w:hint="eastAsia" w:ascii="仿宋" w:eastAsia="仿宋" w:cs="仿宋"/>
          <w:bCs/>
          <w:color w:val="auto"/>
          <w:sz w:val="32"/>
          <w:szCs w:val="32"/>
          <w:highlight w:val="none"/>
        </w:rPr>
      </w:pPr>
    </w:p>
    <w:p w14:paraId="0FBD1FC4">
      <w:pPr>
        <w:pStyle w:val="8"/>
        <w:snapToGrid w:val="0"/>
        <w:spacing w:before="50" w:after="50"/>
        <w:ind w:firstLine="720" w:firstLineChars="225"/>
        <w:rPr>
          <w:rFonts w:hint="eastAsia" w:ascii="仿宋" w:eastAsia="仿宋" w:cs="仿宋"/>
          <w:bCs/>
          <w:color w:val="auto"/>
          <w:sz w:val="32"/>
          <w:szCs w:val="32"/>
          <w:highlight w:val="none"/>
        </w:rPr>
      </w:pPr>
    </w:p>
    <w:p w14:paraId="7B999E71">
      <w:pPr>
        <w:pStyle w:val="8"/>
        <w:snapToGrid w:val="0"/>
        <w:spacing w:before="50" w:after="50"/>
        <w:ind w:firstLine="1280" w:firstLineChars="400"/>
        <w:rPr>
          <w:rFonts w:hint="eastAsia" w:ascii="仿宋" w:eastAsia="仿宋" w:cs="仿宋"/>
          <w:bCs/>
          <w:color w:val="auto"/>
          <w:sz w:val="32"/>
          <w:szCs w:val="32"/>
          <w:highlight w:val="none"/>
        </w:rPr>
      </w:pPr>
    </w:p>
    <w:p w14:paraId="30FB5A6F">
      <w:pPr>
        <w:snapToGrid w:val="0"/>
        <w:spacing w:before="156" w:after="50"/>
        <w:jc w:val="center"/>
        <w:rPr>
          <w:rFonts w:hint="eastAsia" w:ascii="仿宋" w:eastAsia="仿宋" w:cs="仿宋"/>
          <w:color w:val="auto"/>
          <w:sz w:val="32"/>
          <w:szCs w:val="32"/>
          <w:highlight w:val="none"/>
        </w:rPr>
      </w:pPr>
      <w:r>
        <w:rPr>
          <w:rFonts w:hint="eastAsia" w:ascii="仿宋" w:eastAsia="仿宋" w:cs="仿宋"/>
          <w:color w:val="auto"/>
          <w:sz w:val="32"/>
          <w:szCs w:val="32"/>
          <w:highlight w:val="none"/>
        </w:rPr>
        <w:t>年    月    日</w:t>
      </w:r>
    </w:p>
    <w:p w14:paraId="10284524">
      <w:pPr>
        <w:snapToGrid w:val="0"/>
        <w:spacing w:before="156" w:after="50" w:line="360" w:lineRule="auto"/>
        <w:ind w:left="142"/>
        <w:jc w:val="left"/>
        <w:rPr>
          <w:rFonts w:hint="eastAsia" w:ascii="仿宋" w:eastAsia="仿宋" w:cs="仿宋"/>
          <w:color w:val="auto"/>
          <w:sz w:val="24"/>
          <w:highlight w:val="none"/>
        </w:rPr>
      </w:pPr>
      <w:r>
        <w:rPr>
          <w:rFonts w:hint="eastAsia" w:ascii="仿宋" w:eastAsia="仿宋" w:cs="仿宋"/>
          <w:color w:val="auto"/>
          <w:sz w:val="24"/>
          <w:highlight w:val="none"/>
        </w:rPr>
        <w:br w:type="page"/>
      </w:r>
    </w:p>
    <w:p w14:paraId="04240EB0">
      <w:pPr>
        <w:snapToGrid w:val="0"/>
        <w:spacing w:before="156" w:after="50" w:line="360" w:lineRule="auto"/>
        <w:ind w:left="142"/>
        <w:jc w:val="left"/>
        <w:rPr>
          <w:rFonts w:hint="eastAsia" w:ascii="仿宋" w:eastAsia="仿宋" w:cs="仿宋"/>
          <w:color w:val="auto"/>
          <w:sz w:val="24"/>
          <w:highlight w:val="none"/>
        </w:rPr>
      </w:pPr>
    </w:p>
    <w:p w14:paraId="0FB8716B">
      <w:pPr>
        <w:snapToGrid w:val="0"/>
        <w:spacing w:before="156" w:after="50" w:line="360" w:lineRule="auto"/>
        <w:ind w:left="142" w:firstLine="643" w:firstLineChars="200"/>
        <w:jc w:val="left"/>
        <w:rPr>
          <w:rFonts w:hint="eastAsia" w:ascii="仿宋" w:eastAsia="仿宋" w:cs="仿宋"/>
          <w:b/>
          <w:bCs/>
          <w:color w:val="auto"/>
          <w:sz w:val="32"/>
          <w:szCs w:val="32"/>
          <w:highlight w:val="none"/>
        </w:rPr>
      </w:pPr>
      <w:r>
        <w:rPr>
          <w:rFonts w:hint="eastAsia" w:ascii="仿宋" w:eastAsia="仿宋" w:cs="仿宋"/>
          <w:b/>
          <w:bCs/>
          <w:color w:val="auto"/>
          <w:sz w:val="32"/>
          <w:szCs w:val="32"/>
          <w:highlight w:val="none"/>
        </w:rPr>
        <w:t>文件目录</w:t>
      </w:r>
    </w:p>
    <w:p w14:paraId="020F11E3">
      <w:pPr>
        <w:snapToGrid w:val="0"/>
        <w:spacing w:before="156" w:after="50" w:line="360" w:lineRule="auto"/>
        <w:ind w:firstLine="645"/>
        <w:rPr>
          <w:rFonts w:hint="eastAsia" w:ascii="仿宋" w:eastAsia="仿宋" w:cs="仿宋"/>
          <w:color w:val="auto"/>
          <w:sz w:val="32"/>
          <w:szCs w:val="32"/>
          <w:highlight w:val="none"/>
        </w:rPr>
      </w:pPr>
      <w:r>
        <w:rPr>
          <w:rFonts w:hint="eastAsia" w:ascii="仿宋" w:eastAsia="仿宋" w:cs="仿宋"/>
          <w:color w:val="auto"/>
          <w:sz w:val="32"/>
          <w:szCs w:val="32"/>
          <w:highlight w:val="none"/>
        </w:rPr>
        <w:t>根据文件规定及供应商提供的材料自行编写目录（部分格式后附）。</w:t>
      </w:r>
    </w:p>
    <w:p w14:paraId="1150E8C8">
      <w:pPr>
        <w:snapToGrid w:val="0"/>
        <w:spacing w:before="156" w:after="50" w:line="360" w:lineRule="auto"/>
        <w:ind w:firstLine="645"/>
        <w:rPr>
          <w:rFonts w:hint="eastAsia" w:ascii="仿宋" w:eastAsia="仿宋" w:cs="仿宋"/>
          <w:color w:val="auto"/>
          <w:sz w:val="32"/>
          <w:szCs w:val="32"/>
          <w:highlight w:val="none"/>
        </w:rPr>
      </w:pPr>
    </w:p>
    <w:p w14:paraId="163E4C97">
      <w:pPr>
        <w:pStyle w:val="24"/>
        <w:spacing w:line="360" w:lineRule="auto"/>
        <w:jc w:val="left"/>
        <w:rPr>
          <w:rFonts w:hint="eastAsia" w:ascii="仿宋" w:hAnsi="仿宋" w:eastAsia="仿宋" w:cs="仿宋"/>
          <w:bCs/>
          <w:szCs w:val="28"/>
          <w:highlight w:val="none"/>
          <w:lang w:eastAsia="zh-CN"/>
        </w:rPr>
      </w:pPr>
      <w:r>
        <w:rPr>
          <w:rFonts w:hint="eastAsia" w:ascii="仿宋" w:hAnsi="仿宋" w:eastAsia="仿宋" w:cs="仿宋"/>
          <w:bCs/>
          <w:szCs w:val="28"/>
          <w:highlight w:val="none"/>
        </w:rPr>
        <w:t>1.营业执照复印件</w:t>
      </w:r>
      <w:r>
        <w:rPr>
          <w:rFonts w:hint="eastAsia" w:ascii="仿宋" w:hAnsi="仿宋" w:eastAsia="仿宋" w:cs="仿宋"/>
          <w:bCs/>
          <w:szCs w:val="28"/>
          <w:highlight w:val="none"/>
          <w:lang w:eastAsia="zh-CN"/>
        </w:rPr>
        <w:t>；</w:t>
      </w:r>
    </w:p>
    <w:p w14:paraId="4DA04003">
      <w:pPr>
        <w:pStyle w:val="24"/>
        <w:spacing w:line="360" w:lineRule="auto"/>
        <w:ind w:firstLine="560"/>
        <w:jc w:val="left"/>
        <w:rPr>
          <w:rFonts w:hint="eastAsia" w:ascii="仿宋" w:hAnsi="仿宋" w:eastAsia="仿宋" w:cs="仿宋"/>
          <w:bCs/>
          <w:szCs w:val="28"/>
          <w:highlight w:val="none"/>
          <w:lang w:eastAsia="zh-CN"/>
        </w:rPr>
      </w:pPr>
      <w:r>
        <w:rPr>
          <w:rFonts w:hint="eastAsia" w:ascii="仿宋" w:hAnsi="仿宋" w:eastAsia="仿宋" w:cs="仿宋"/>
          <w:bCs/>
          <w:szCs w:val="28"/>
          <w:highlight w:val="none"/>
        </w:rPr>
        <w:t>2.法定代表人身份证明或法人授权委托书及被授权人身份证明和联系方式</w:t>
      </w:r>
      <w:r>
        <w:rPr>
          <w:rFonts w:hint="eastAsia" w:ascii="仿宋" w:hAnsi="仿宋" w:eastAsia="仿宋" w:cs="仿宋"/>
          <w:bCs/>
          <w:szCs w:val="28"/>
          <w:highlight w:val="none"/>
          <w:lang w:eastAsia="zh-CN"/>
        </w:rPr>
        <w:t>；</w:t>
      </w:r>
    </w:p>
    <w:p w14:paraId="24067B01">
      <w:pPr>
        <w:pStyle w:val="24"/>
        <w:spacing w:line="360" w:lineRule="auto"/>
        <w:ind w:firstLine="560"/>
        <w:jc w:val="left"/>
        <w:rPr>
          <w:rFonts w:ascii="仿宋" w:hAnsi="仿宋" w:eastAsia="仿宋" w:cs="仿宋"/>
          <w:bCs/>
          <w:szCs w:val="28"/>
          <w:highlight w:val="none"/>
        </w:rPr>
      </w:pPr>
      <w:r>
        <w:rPr>
          <w:rFonts w:hint="eastAsia" w:ascii="仿宋" w:hAnsi="仿宋" w:eastAsia="仿宋" w:cs="仿宋"/>
          <w:bCs/>
          <w:szCs w:val="28"/>
          <w:highlight w:val="none"/>
        </w:rPr>
        <w:t>3. 报价表【报价不得高于预算价，仅一次报价】；</w:t>
      </w:r>
    </w:p>
    <w:p w14:paraId="4BBAFB28">
      <w:pPr>
        <w:pStyle w:val="24"/>
        <w:spacing w:line="360" w:lineRule="auto"/>
        <w:ind w:firstLine="560"/>
        <w:jc w:val="left"/>
        <w:rPr>
          <w:rFonts w:ascii="仿宋" w:hAnsi="仿宋" w:eastAsia="仿宋" w:cs="仿宋"/>
          <w:bCs/>
          <w:szCs w:val="28"/>
          <w:highlight w:val="none"/>
        </w:rPr>
      </w:pPr>
      <w:r>
        <w:rPr>
          <w:rFonts w:hint="eastAsia" w:ascii="仿宋" w:hAnsi="仿宋" w:eastAsia="仿宋" w:cs="仿宋"/>
          <w:bCs/>
          <w:szCs w:val="28"/>
          <w:highlight w:val="none"/>
        </w:rPr>
        <w:t>4. 声明函、公司直接控股股东信息表、公司直接管理关系信息表</w:t>
      </w:r>
    </w:p>
    <w:p w14:paraId="0833A023">
      <w:pPr>
        <w:pStyle w:val="24"/>
        <w:spacing w:line="360" w:lineRule="auto"/>
        <w:ind w:firstLine="560"/>
        <w:jc w:val="left"/>
        <w:rPr>
          <w:rFonts w:hint="default" w:ascii="仿宋" w:hAnsi="仿宋" w:eastAsia="仿宋" w:cs="仿宋"/>
          <w:bCs/>
          <w:szCs w:val="28"/>
          <w:highlight w:val="none"/>
          <w:lang w:val="en-US" w:eastAsia="zh-CN"/>
        </w:rPr>
      </w:pPr>
      <w:r>
        <w:rPr>
          <w:rFonts w:hint="eastAsia" w:ascii="仿宋" w:hAnsi="仿宋" w:eastAsia="仿宋" w:cs="仿宋"/>
          <w:bCs/>
          <w:szCs w:val="28"/>
          <w:highlight w:val="none"/>
          <w:lang w:val="en-US" w:eastAsia="zh-CN"/>
        </w:rPr>
        <w:t>5.参数响应表；</w:t>
      </w:r>
    </w:p>
    <w:p w14:paraId="33E0E865">
      <w:pPr>
        <w:pStyle w:val="24"/>
        <w:spacing w:line="360" w:lineRule="auto"/>
        <w:ind w:firstLine="560"/>
        <w:jc w:val="left"/>
        <w:rPr>
          <w:rFonts w:ascii="仿宋" w:hAnsi="仿宋" w:eastAsia="仿宋" w:cs="仿宋"/>
          <w:bCs/>
          <w:szCs w:val="28"/>
          <w:highlight w:val="none"/>
        </w:rPr>
      </w:pPr>
      <w:r>
        <w:rPr>
          <w:rFonts w:hint="eastAsia" w:ascii="仿宋" w:hAnsi="仿宋" w:eastAsia="仿宋" w:cs="仿宋"/>
          <w:bCs/>
          <w:szCs w:val="28"/>
          <w:highlight w:val="none"/>
          <w:lang w:val="en-US" w:eastAsia="zh-CN"/>
        </w:rPr>
        <w:t>6</w:t>
      </w:r>
      <w:r>
        <w:rPr>
          <w:rFonts w:hint="eastAsia" w:ascii="仿宋" w:hAnsi="仿宋" w:eastAsia="仿宋" w:cs="仿宋"/>
          <w:bCs/>
          <w:szCs w:val="28"/>
          <w:highlight w:val="none"/>
        </w:rPr>
        <w:t>.供应商自行根据评标方案提供评审资料。</w:t>
      </w:r>
    </w:p>
    <w:p w14:paraId="249CD08C">
      <w:pPr>
        <w:snapToGrid w:val="0"/>
        <w:spacing w:before="50" w:afterLines="50"/>
        <w:jc w:val="center"/>
        <w:rPr>
          <w:rFonts w:hint="eastAsia" w:ascii="宋体" w:hAnsi="宋体" w:cs="仿宋_GB2312"/>
          <w:color w:val="000000"/>
          <w:sz w:val="24"/>
          <w:highlight w:val="none"/>
        </w:rPr>
      </w:pPr>
      <w:r>
        <w:rPr>
          <w:rFonts w:hint="eastAsia" w:ascii="宋体" w:hAnsi="宋体" w:cs="仿宋_GB2312"/>
          <w:color w:val="000000"/>
          <w:sz w:val="24"/>
          <w:highlight w:val="none"/>
        </w:rPr>
        <w:t xml:space="preserve">              </w:t>
      </w:r>
    </w:p>
    <w:p w14:paraId="4C08F275">
      <w:pPr>
        <w:rPr>
          <w:rFonts w:hint="eastAsia" w:ascii="宋体" w:hAnsi="宋体" w:cs="仿宋_GB2312"/>
          <w:color w:val="000000"/>
          <w:sz w:val="24"/>
          <w:highlight w:val="none"/>
        </w:rPr>
      </w:pPr>
      <w:r>
        <w:rPr>
          <w:rFonts w:hint="eastAsia" w:ascii="宋体" w:hAnsi="宋体" w:cs="仿宋_GB2312"/>
          <w:color w:val="000000"/>
          <w:sz w:val="24"/>
          <w:highlight w:val="none"/>
        </w:rPr>
        <w:br w:type="page"/>
      </w:r>
    </w:p>
    <w:p w14:paraId="0F69B548">
      <w:pPr>
        <w:snapToGrid w:val="0"/>
        <w:spacing w:before="50" w:afterLines="50"/>
        <w:jc w:val="center"/>
        <w:rPr>
          <w:rFonts w:ascii="宋体" w:hAnsi="宋体" w:cs="宋体"/>
          <w:b/>
          <w:color w:val="000000"/>
          <w:sz w:val="32"/>
          <w:szCs w:val="32"/>
          <w:highlight w:val="none"/>
        </w:rPr>
      </w:pPr>
      <w:r>
        <w:rPr>
          <w:rFonts w:hint="eastAsia" w:ascii="宋体" w:hAnsi="宋体" w:cs="宋体"/>
          <w:b/>
          <w:color w:val="000000"/>
          <w:sz w:val="32"/>
          <w:szCs w:val="32"/>
          <w:highlight w:val="none"/>
        </w:rPr>
        <w:t>声明函</w:t>
      </w:r>
    </w:p>
    <w:p w14:paraId="41AC0277">
      <w:pPr>
        <w:tabs>
          <w:tab w:val="left" w:pos="7200"/>
        </w:tabs>
        <w:spacing w:line="360" w:lineRule="auto"/>
        <w:rPr>
          <w:rFonts w:ascii="宋体" w:hAnsi="宋体" w:cs="宋体"/>
          <w:color w:val="000000"/>
          <w:szCs w:val="21"/>
          <w:highlight w:val="none"/>
        </w:rPr>
      </w:pPr>
      <w:r>
        <w:rPr>
          <w:rFonts w:hint="eastAsia" w:ascii="宋体" w:hAnsi="宋体" w:cs="宋体"/>
          <w:color w:val="000000"/>
          <w:szCs w:val="21"/>
          <w:highlight w:val="none"/>
        </w:rPr>
        <w:t>致：_</w:t>
      </w:r>
      <w:r>
        <w:rPr>
          <w:rFonts w:hint="eastAsia" w:ascii="宋体" w:hAnsi="宋体" w:cs="宋体"/>
          <w:color w:val="000000"/>
          <w:szCs w:val="21"/>
          <w:highlight w:val="none"/>
          <w:u w:val="single"/>
        </w:rPr>
        <w:t xml:space="preserve">  广西医科大学第一附属医院 </w:t>
      </w:r>
    </w:p>
    <w:p w14:paraId="7FB23DAA">
      <w:pPr>
        <w:snapToGrid w:val="0"/>
        <w:ind w:firstLine="420" w:firstLineChars="200"/>
        <w:jc w:val="left"/>
        <w:rPr>
          <w:b/>
          <w:bCs/>
          <w:color w:val="000000"/>
          <w:szCs w:val="21"/>
          <w:highlight w:val="none"/>
          <w:u w:val="single"/>
        </w:rPr>
      </w:pPr>
      <w:r>
        <w:rPr>
          <w:rFonts w:hint="eastAsia" w:ascii="宋体" w:hAnsi="宋体" w:cs="宋体"/>
          <w:color w:val="000000"/>
          <w:szCs w:val="21"/>
          <w:highlight w:val="none"/>
        </w:rPr>
        <w:t>我方愿意参加贵方组织的</w:t>
      </w:r>
      <w:r>
        <w:rPr>
          <w:rFonts w:hint="eastAsia" w:ascii="宋体" w:hAnsi="宋体" w:cs="宋体"/>
          <w:color w:val="000000"/>
          <w:szCs w:val="21"/>
          <w:highlight w:val="none"/>
          <w:u w:val="single"/>
          <w:lang w:val="en-US" w:eastAsia="zh-CN"/>
        </w:rPr>
        <w:t>xx</w:t>
      </w:r>
      <w:r>
        <w:rPr>
          <w:rFonts w:hint="eastAsia" w:ascii="宋体" w:hAnsi="宋体" w:cs="宋体"/>
          <w:color w:val="000000"/>
          <w:szCs w:val="21"/>
          <w:highlight w:val="none"/>
        </w:rPr>
        <w:t>项目的竞标，为便于贵方公正、择优地确定</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，我方声明如下：</w:t>
      </w:r>
    </w:p>
    <w:p w14:paraId="2C16B8C9">
      <w:pPr>
        <w:snapToGrid w:val="0"/>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1.我方不是为本次采购项目提供整体设计、规范编制或者项目管理、监理、检测等</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的供应商；在获知本项目采购信息后，与采购人聘请的为此项目提供咨询</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 xml:space="preserve">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2.经查询，在“信用中国”和“中国政府采购网”网站我方未被列入失信被执行人、重大税收违法案件当事人名单、政府采购严重违法失信行为记录名单。</w:t>
      </w:r>
    </w:p>
    <w:p w14:paraId="3806AE6B">
      <w:pPr>
        <w:pStyle w:val="15"/>
        <w:spacing w:line="360" w:lineRule="auto"/>
        <w:ind w:firstLine="420" w:firstLineChars="20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3.与本采购有关的一切正式往来信函请寄</w:t>
      </w:r>
    </w:p>
    <w:p w14:paraId="7A43C54F">
      <w:pPr>
        <w:pStyle w:val="15"/>
        <w:spacing w:line="360" w:lineRule="auto"/>
        <w:ind w:firstLine="420" w:firstLineChars="20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地址：                  邮政编号：        </w:t>
      </w:r>
    </w:p>
    <w:p w14:paraId="78BD3D60">
      <w:pPr>
        <w:pStyle w:val="15"/>
        <w:spacing w:line="360" w:lineRule="auto"/>
        <w:ind w:firstLine="420" w:firstLineChars="20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电话/传真：             电子邮箱：                                </w:t>
      </w:r>
    </w:p>
    <w:p w14:paraId="5A9AE4F5">
      <w:pPr>
        <w:pStyle w:val="12"/>
        <w:tabs>
          <w:tab w:val="left" w:pos="939"/>
        </w:tabs>
        <w:spacing w:line="360" w:lineRule="auto"/>
        <w:ind w:left="141" w:leftChars="67" w:firstLine="315" w:firstLineChars="15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开户银行：              账号：                            </w:t>
      </w:r>
    </w:p>
    <w:p w14:paraId="2A284CAE">
      <w:pPr>
        <w:pStyle w:val="21"/>
        <w:spacing w:after="120"/>
        <w:ind w:firstLine="420" w:firstLineChars="200"/>
        <w:rPr>
          <w:rFonts w:cs="宋体"/>
          <w:color w:val="000000"/>
          <w:szCs w:val="21"/>
          <w:highlight w:val="none"/>
        </w:rPr>
      </w:pPr>
      <w:r>
        <w:rPr>
          <w:rFonts w:hint="eastAsia" w:cs="宋体"/>
          <w:color w:val="000000"/>
          <w:sz w:val="21"/>
          <w:szCs w:val="21"/>
          <w:highlight w:val="none"/>
          <w:lang w:val="en-US" w:eastAsia="zh-CN"/>
        </w:rPr>
        <w:t>4.</w:t>
      </w:r>
      <w:r>
        <w:rPr>
          <w:rFonts w:hint="eastAsia" w:cs="宋体"/>
          <w:color w:val="000000"/>
          <w:sz w:val="21"/>
          <w:szCs w:val="21"/>
          <w:highlight w:val="none"/>
        </w:rPr>
        <w:t>我方有以下行为之一的，同意贵方将我方列入不良行为记录：</w:t>
      </w:r>
      <w:r>
        <w:rPr>
          <w:rFonts w:cs="宋体"/>
          <w:color w:val="000000"/>
          <w:sz w:val="21"/>
          <w:szCs w:val="21"/>
          <w:highlight w:val="none"/>
        </w:rPr>
        <w:t xml:space="preserve"> </w:t>
      </w:r>
    </w:p>
    <w:p w14:paraId="694B18FE">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提供虚假材料谋取中标、成交的。</w:t>
      </w:r>
      <w:r>
        <w:rPr>
          <w:rFonts w:cs="宋体"/>
          <w:color w:val="000000"/>
          <w:sz w:val="21"/>
          <w:szCs w:val="21"/>
          <w:highlight w:val="none"/>
        </w:rPr>
        <w:t xml:space="preserve"> </w:t>
      </w:r>
    </w:p>
    <w:p w14:paraId="49632361">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2</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采取不正当手段诋毁、排挤其他供应商的。</w:t>
      </w:r>
      <w:r>
        <w:rPr>
          <w:rFonts w:cs="宋体"/>
          <w:color w:val="000000"/>
          <w:sz w:val="21"/>
          <w:szCs w:val="21"/>
          <w:highlight w:val="none"/>
        </w:rPr>
        <w:t xml:space="preserve"> </w:t>
      </w:r>
    </w:p>
    <w:p w14:paraId="6E8F6EFE">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3</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与</w:t>
      </w:r>
      <w:r>
        <w:rPr>
          <w:rFonts w:hint="eastAsia" w:cs="宋体"/>
          <w:color w:val="000000"/>
          <w:sz w:val="21"/>
          <w:szCs w:val="21"/>
          <w:highlight w:val="none"/>
          <w:lang w:val="en-US" w:eastAsia="zh-CN"/>
        </w:rPr>
        <w:t>贵</w:t>
      </w:r>
      <w:r>
        <w:rPr>
          <w:rFonts w:hint="eastAsia" w:cs="宋体"/>
          <w:color w:val="000000"/>
          <w:sz w:val="21"/>
          <w:szCs w:val="21"/>
          <w:highlight w:val="none"/>
        </w:rPr>
        <w:t>院工作人员、其他供应商或者招标代理机构恶意串通的。</w:t>
      </w:r>
      <w:r>
        <w:rPr>
          <w:rFonts w:cs="宋体"/>
          <w:color w:val="000000"/>
          <w:sz w:val="21"/>
          <w:szCs w:val="21"/>
          <w:highlight w:val="none"/>
        </w:rPr>
        <w:t xml:space="preserve"> </w:t>
      </w:r>
    </w:p>
    <w:p w14:paraId="609FCECC">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4</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向</w:t>
      </w:r>
      <w:r>
        <w:rPr>
          <w:rFonts w:hint="eastAsia" w:cs="宋体"/>
          <w:color w:val="000000"/>
          <w:sz w:val="21"/>
          <w:szCs w:val="21"/>
          <w:highlight w:val="none"/>
          <w:lang w:val="en-US" w:eastAsia="zh-CN"/>
        </w:rPr>
        <w:t>贵</w:t>
      </w:r>
      <w:r>
        <w:rPr>
          <w:rFonts w:hint="eastAsia" w:cs="宋体"/>
          <w:color w:val="000000"/>
          <w:sz w:val="21"/>
          <w:szCs w:val="21"/>
          <w:highlight w:val="none"/>
        </w:rPr>
        <w:t>院工作人员、招标代理机构行贿或者提供其他不正当利益的。</w:t>
      </w:r>
      <w:r>
        <w:rPr>
          <w:rFonts w:cs="宋体"/>
          <w:color w:val="000000"/>
          <w:sz w:val="21"/>
          <w:szCs w:val="21"/>
          <w:highlight w:val="none"/>
        </w:rPr>
        <w:t xml:space="preserve"> </w:t>
      </w:r>
    </w:p>
    <w:p w14:paraId="66D77C1F">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5</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在招标采购过程中与采购人进行协商谈判的。</w:t>
      </w:r>
      <w:r>
        <w:rPr>
          <w:rFonts w:cs="宋体"/>
          <w:color w:val="000000"/>
          <w:sz w:val="21"/>
          <w:szCs w:val="21"/>
          <w:highlight w:val="none"/>
        </w:rPr>
        <w:t xml:space="preserve"> </w:t>
      </w:r>
    </w:p>
    <w:p w14:paraId="2E8FB5F6">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6</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拒绝有关部门监督检查或者提供虚假情况的。</w:t>
      </w:r>
      <w:r>
        <w:rPr>
          <w:rFonts w:cs="宋体"/>
          <w:color w:val="000000"/>
          <w:sz w:val="21"/>
          <w:szCs w:val="21"/>
          <w:highlight w:val="none"/>
        </w:rPr>
        <w:t xml:space="preserve"> </w:t>
      </w:r>
    </w:p>
    <w:p w14:paraId="31B05D1B">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7</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供应商向采购小组、竞争性</w:t>
      </w:r>
      <w:r>
        <w:rPr>
          <w:rFonts w:hint="eastAsia" w:cs="宋体"/>
          <w:color w:val="000000"/>
          <w:sz w:val="21"/>
          <w:szCs w:val="21"/>
          <w:highlight w:val="none"/>
          <w:lang w:eastAsia="zh-CN"/>
        </w:rPr>
        <w:t>评审小组</w:t>
      </w:r>
      <w:r>
        <w:rPr>
          <w:rFonts w:hint="eastAsia" w:cs="宋体"/>
          <w:color w:val="000000"/>
          <w:sz w:val="21"/>
          <w:szCs w:val="21"/>
          <w:highlight w:val="none"/>
        </w:rPr>
        <w:t>或者询价小组成员行贿或者提供其他不正当利益。</w:t>
      </w:r>
      <w:r>
        <w:rPr>
          <w:rFonts w:cs="宋体"/>
          <w:color w:val="000000"/>
          <w:sz w:val="21"/>
          <w:szCs w:val="21"/>
          <w:highlight w:val="none"/>
        </w:rPr>
        <w:t xml:space="preserve"> </w:t>
      </w:r>
    </w:p>
    <w:p w14:paraId="69CD0740">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8</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中标或者成交后无正当理由拒不与我院签订采购合同。</w:t>
      </w:r>
      <w:r>
        <w:rPr>
          <w:rFonts w:cs="宋体"/>
          <w:color w:val="000000"/>
          <w:sz w:val="21"/>
          <w:szCs w:val="21"/>
          <w:highlight w:val="none"/>
        </w:rPr>
        <w:t xml:space="preserve"> </w:t>
      </w:r>
    </w:p>
    <w:p w14:paraId="48E3CBEF">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9</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供应商将采购合同分包、转包（采购合同未禁止分包、</w:t>
      </w:r>
      <w:r>
        <w:rPr>
          <w:rFonts w:cs="宋体"/>
          <w:color w:val="000000"/>
          <w:sz w:val="21"/>
          <w:szCs w:val="21"/>
          <w:highlight w:val="none"/>
        </w:rPr>
        <w:t xml:space="preserve"> </w:t>
      </w:r>
      <w:r>
        <w:rPr>
          <w:rFonts w:hint="eastAsia" w:cs="宋体"/>
          <w:color w:val="000000"/>
          <w:sz w:val="21"/>
          <w:szCs w:val="21"/>
          <w:highlight w:val="none"/>
        </w:rPr>
        <w:t>转包的除外）。</w:t>
      </w:r>
      <w:r>
        <w:rPr>
          <w:rFonts w:cs="宋体"/>
          <w:color w:val="000000"/>
          <w:sz w:val="21"/>
          <w:szCs w:val="21"/>
          <w:highlight w:val="none"/>
        </w:rPr>
        <w:t xml:space="preserve"> </w:t>
      </w:r>
    </w:p>
    <w:p w14:paraId="60F8CEFE">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10</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供应商提供假冒伪劣产品。</w:t>
      </w:r>
      <w:r>
        <w:rPr>
          <w:rFonts w:cs="宋体"/>
          <w:color w:val="000000"/>
          <w:sz w:val="21"/>
          <w:szCs w:val="21"/>
          <w:highlight w:val="none"/>
        </w:rPr>
        <w:t xml:space="preserve"> </w:t>
      </w:r>
    </w:p>
    <w:p w14:paraId="0051B4A7">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11</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供应商捏造事实、提供虚假材料或者以非法手段取得证明材料进行投诉的。</w:t>
      </w:r>
      <w:r>
        <w:rPr>
          <w:rFonts w:cs="宋体"/>
          <w:color w:val="000000"/>
          <w:sz w:val="21"/>
          <w:szCs w:val="21"/>
          <w:highlight w:val="none"/>
        </w:rPr>
        <w:t xml:space="preserve"> </w:t>
      </w:r>
    </w:p>
    <w:p w14:paraId="1B7BFAE5">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12</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供应商擅自变更、中止或者终止采购合同。</w:t>
      </w:r>
      <w:r>
        <w:rPr>
          <w:rFonts w:cs="宋体"/>
          <w:color w:val="000000"/>
          <w:sz w:val="21"/>
          <w:szCs w:val="21"/>
          <w:highlight w:val="none"/>
        </w:rPr>
        <w:t xml:space="preserve"> </w:t>
      </w:r>
    </w:p>
    <w:p w14:paraId="4D136635">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13</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供应商直接或者间接从</w:t>
      </w:r>
      <w:r>
        <w:rPr>
          <w:rFonts w:hint="eastAsia" w:cs="宋体"/>
          <w:color w:val="000000"/>
          <w:sz w:val="21"/>
          <w:szCs w:val="21"/>
          <w:highlight w:val="none"/>
          <w:lang w:val="en-US" w:eastAsia="zh-CN"/>
        </w:rPr>
        <w:t>贵</w:t>
      </w:r>
      <w:r>
        <w:rPr>
          <w:rFonts w:hint="eastAsia" w:cs="宋体"/>
          <w:color w:val="000000"/>
          <w:sz w:val="21"/>
          <w:szCs w:val="21"/>
          <w:highlight w:val="none"/>
        </w:rPr>
        <w:t>院工作人员或者采购代理机构处获得其他供应商的相关情况并修改其报价文件或者响应文件。</w:t>
      </w:r>
      <w:r>
        <w:rPr>
          <w:rFonts w:cs="宋体"/>
          <w:color w:val="000000"/>
          <w:sz w:val="21"/>
          <w:szCs w:val="21"/>
          <w:highlight w:val="none"/>
        </w:rPr>
        <w:t xml:space="preserve"> </w:t>
      </w:r>
    </w:p>
    <w:p w14:paraId="1FB79315">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14</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供应商按照</w:t>
      </w:r>
      <w:r>
        <w:rPr>
          <w:rFonts w:hint="eastAsia" w:cs="宋体"/>
          <w:color w:val="000000"/>
          <w:sz w:val="21"/>
          <w:szCs w:val="21"/>
          <w:highlight w:val="none"/>
          <w:lang w:val="en-US" w:eastAsia="zh-CN"/>
        </w:rPr>
        <w:t>贵</w:t>
      </w:r>
      <w:r>
        <w:rPr>
          <w:rFonts w:hint="eastAsia" w:cs="宋体"/>
          <w:color w:val="000000"/>
          <w:sz w:val="21"/>
          <w:szCs w:val="21"/>
          <w:highlight w:val="none"/>
        </w:rPr>
        <w:t>院或者采购代理机构的授意撤换、修改报价文件或者响应文件。</w:t>
      </w:r>
      <w:r>
        <w:rPr>
          <w:rFonts w:cs="宋体"/>
          <w:color w:val="000000"/>
          <w:sz w:val="21"/>
          <w:szCs w:val="21"/>
          <w:highlight w:val="none"/>
        </w:rPr>
        <w:t xml:space="preserve"> </w:t>
      </w:r>
    </w:p>
    <w:p w14:paraId="016DD7E7">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15</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供应商之间协商报价、技术方案等报价文件或者响应文件的实质性内容。</w:t>
      </w:r>
      <w:r>
        <w:rPr>
          <w:rFonts w:cs="宋体"/>
          <w:color w:val="000000"/>
          <w:sz w:val="21"/>
          <w:szCs w:val="21"/>
          <w:highlight w:val="none"/>
        </w:rPr>
        <w:t xml:space="preserve"> </w:t>
      </w:r>
    </w:p>
    <w:p w14:paraId="2D8FC242">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16</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属于同一集团、协会、商会等组织成员的供应商按照该组织要求协同参加采购活动。</w:t>
      </w:r>
      <w:r>
        <w:rPr>
          <w:rFonts w:cs="宋体"/>
          <w:color w:val="000000"/>
          <w:sz w:val="21"/>
          <w:szCs w:val="21"/>
          <w:highlight w:val="none"/>
        </w:rPr>
        <w:t xml:space="preserve"> </w:t>
      </w:r>
    </w:p>
    <w:p w14:paraId="1088462F">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17</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供应商之间事先约定由某一特定供应商中标、成交。</w:t>
      </w:r>
      <w:r>
        <w:rPr>
          <w:rFonts w:cs="宋体"/>
          <w:color w:val="000000"/>
          <w:sz w:val="21"/>
          <w:szCs w:val="21"/>
          <w:highlight w:val="none"/>
        </w:rPr>
        <w:t xml:space="preserve"> </w:t>
      </w:r>
    </w:p>
    <w:p w14:paraId="5FE2B90D">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18</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供应商之间商定部分供应商放弃参加采购活动或者放弃中标、成交。</w:t>
      </w:r>
      <w:r>
        <w:rPr>
          <w:rFonts w:cs="宋体"/>
          <w:color w:val="000000"/>
          <w:sz w:val="21"/>
          <w:szCs w:val="21"/>
          <w:highlight w:val="none"/>
        </w:rPr>
        <w:t xml:space="preserve"> </w:t>
      </w:r>
    </w:p>
    <w:p w14:paraId="7C4A6A35">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19</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供应商与</w:t>
      </w:r>
      <w:r>
        <w:rPr>
          <w:rFonts w:hint="eastAsia" w:cs="宋体"/>
          <w:color w:val="000000"/>
          <w:sz w:val="21"/>
          <w:szCs w:val="21"/>
          <w:highlight w:val="none"/>
          <w:lang w:val="en-US" w:eastAsia="zh-CN"/>
        </w:rPr>
        <w:t>贵</w:t>
      </w:r>
      <w:r>
        <w:rPr>
          <w:rFonts w:hint="eastAsia" w:cs="宋体"/>
          <w:color w:val="000000"/>
          <w:sz w:val="21"/>
          <w:szCs w:val="21"/>
          <w:highlight w:val="none"/>
        </w:rPr>
        <w:t>院或者采购代理机构之间、供应商相互之间，为谋求特定供应商中标、成交或者排斥其他供应商的其他串通行为。</w:t>
      </w:r>
      <w:r>
        <w:rPr>
          <w:rFonts w:cs="宋体"/>
          <w:color w:val="000000"/>
          <w:sz w:val="21"/>
          <w:szCs w:val="21"/>
          <w:highlight w:val="none"/>
        </w:rPr>
        <w:t xml:space="preserve"> </w:t>
      </w:r>
    </w:p>
    <w:p w14:paraId="0B49BC2F">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20</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在购销活动中给予医务人员“红包”“回扣”“提成”</w:t>
      </w:r>
      <w:r>
        <w:rPr>
          <w:rFonts w:cs="宋体"/>
          <w:color w:val="000000"/>
          <w:sz w:val="21"/>
          <w:szCs w:val="21"/>
          <w:highlight w:val="none"/>
        </w:rPr>
        <w:t xml:space="preserve"> </w:t>
      </w:r>
      <w:r>
        <w:rPr>
          <w:rFonts w:hint="eastAsia" w:cs="宋体"/>
          <w:color w:val="000000"/>
          <w:sz w:val="21"/>
          <w:szCs w:val="21"/>
          <w:highlight w:val="none"/>
        </w:rPr>
        <w:t>或任何形式的不当利益的。</w:t>
      </w:r>
      <w:r>
        <w:rPr>
          <w:rFonts w:cs="宋体"/>
          <w:color w:val="000000"/>
          <w:sz w:val="21"/>
          <w:szCs w:val="21"/>
          <w:highlight w:val="none"/>
        </w:rPr>
        <w:t xml:space="preserve"> </w:t>
      </w:r>
    </w:p>
    <w:p w14:paraId="5CD4D5AA">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21</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所经销的货物质量有问题，且不积极配合医院相关部门处理的。</w:t>
      </w:r>
      <w:r>
        <w:rPr>
          <w:rFonts w:cs="宋体"/>
          <w:color w:val="000000"/>
          <w:sz w:val="21"/>
          <w:szCs w:val="21"/>
          <w:highlight w:val="none"/>
        </w:rPr>
        <w:t xml:space="preserve"> </w:t>
      </w:r>
    </w:p>
    <w:p w14:paraId="46E75807">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22</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违法广告宣传、促销、误导消费等不良行为的。</w:t>
      </w:r>
      <w:r>
        <w:rPr>
          <w:rFonts w:cs="宋体"/>
          <w:color w:val="000000"/>
          <w:sz w:val="21"/>
          <w:szCs w:val="21"/>
          <w:highlight w:val="none"/>
        </w:rPr>
        <w:t xml:space="preserve"> </w:t>
      </w:r>
    </w:p>
    <w:p w14:paraId="36D7FB0D">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23</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不按约定时间配送药品、医疗器械、耗材，尤其是急救类用品，影响临床正常使用的。</w:t>
      </w:r>
      <w:r>
        <w:rPr>
          <w:rFonts w:cs="宋体"/>
          <w:color w:val="000000"/>
          <w:sz w:val="21"/>
          <w:szCs w:val="21"/>
          <w:highlight w:val="none"/>
        </w:rPr>
        <w:t xml:space="preserve"> </w:t>
      </w:r>
    </w:p>
    <w:p w14:paraId="5E869C45">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24</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在购销活动中不遵守保密规定、未经医院同意擅自将医院药品、医疗器械、耗材数据信息披露的。</w:t>
      </w:r>
      <w:r>
        <w:rPr>
          <w:rFonts w:cs="宋体"/>
          <w:color w:val="000000"/>
          <w:sz w:val="21"/>
          <w:szCs w:val="21"/>
          <w:highlight w:val="none"/>
        </w:rPr>
        <w:t xml:space="preserve"> </w:t>
      </w:r>
    </w:p>
    <w:p w14:paraId="5F7B9937">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25</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药品价格变动未及时向医院书面反馈，给医院或患者造成损失的。</w:t>
      </w:r>
      <w:r>
        <w:rPr>
          <w:rFonts w:cs="宋体"/>
          <w:color w:val="000000"/>
          <w:sz w:val="21"/>
          <w:szCs w:val="21"/>
          <w:highlight w:val="none"/>
        </w:rPr>
        <w:t xml:space="preserve"> </w:t>
      </w:r>
    </w:p>
    <w:p w14:paraId="28A23C4F">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26</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传播虚假信息，严重干扰医院正常工作程序，造成恶劣影响的。</w:t>
      </w:r>
      <w:r>
        <w:rPr>
          <w:rFonts w:cs="宋体"/>
          <w:color w:val="000000"/>
          <w:sz w:val="21"/>
          <w:szCs w:val="21"/>
          <w:highlight w:val="none"/>
        </w:rPr>
        <w:t xml:space="preserve"> </w:t>
      </w:r>
    </w:p>
    <w:p w14:paraId="791B0A1E">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27</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供应商与厂家恶意串通，故意提高药品、医疗器械、耗材供应价格的。</w:t>
      </w:r>
      <w:r>
        <w:rPr>
          <w:rFonts w:cs="宋体"/>
          <w:color w:val="000000"/>
          <w:sz w:val="21"/>
          <w:szCs w:val="21"/>
          <w:highlight w:val="none"/>
        </w:rPr>
        <w:t xml:space="preserve"> </w:t>
      </w:r>
    </w:p>
    <w:p w14:paraId="12439DF7">
      <w:pPr>
        <w:pStyle w:val="21"/>
        <w:spacing w:after="120"/>
        <w:ind w:left="420" w:leftChars="200" w:firstLine="420" w:firstLineChars="200"/>
        <w:rPr>
          <w:rFonts w:cs="宋体"/>
          <w:color w:val="000000"/>
          <w:szCs w:val="21"/>
          <w:highlight w:val="none"/>
        </w:rPr>
      </w:pPr>
      <w:r>
        <w:rPr>
          <w:rFonts w:cs="宋体"/>
          <w:color w:val="000000"/>
          <w:sz w:val="21"/>
          <w:szCs w:val="21"/>
          <w:highlight w:val="none"/>
        </w:rPr>
        <w:t>28</w:t>
      </w:r>
      <w:r>
        <w:rPr>
          <w:rFonts w:hint="eastAsia" w:cs="宋体"/>
          <w:color w:val="000000"/>
          <w:sz w:val="21"/>
          <w:szCs w:val="21"/>
          <w:highlight w:val="none"/>
          <w:lang w:eastAsia="zh-CN"/>
        </w:rPr>
        <w:t>）</w:t>
      </w:r>
      <w:r>
        <w:rPr>
          <w:rFonts w:cs="宋体"/>
          <w:color w:val="000000"/>
          <w:sz w:val="21"/>
          <w:szCs w:val="21"/>
          <w:highlight w:val="none"/>
        </w:rPr>
        <w:tab/>
      </w:r>
      <w:r>
        <w:rPr>
          <w:rFonts w:hint="eastAsia" w:cs="宋体"/>
          <w:color w:val="000000"/>
          <w:sz w:val="21"/>
          <w:szCs w:val="21"/>
          <w:highlight w:val="none"/>
        </w:rPr>
        <w:t>法规、规章规定的其他政府采购严重违法失信行为。</w:t>
      </w:r>
    </w:p>
    <w:p w14:paraId="3F4FC7D1">
      <w:pPr>
        <w:snapToGrid w:val="0"/>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 xml:space="preserve">以上事项如有虚假或隐瞒，我方愿意承担一切后果，并不再寻求任何旨在减轻或免除法律责任的辩解。 </w:t>
      </w:r>
    </w:p>
    <w:p w14:paraId="18543FD6">
      <w:pPr>
        <w:pStyle w:val="23"/>
        <w:ind w:firstLine="420" w:firstLineChars="20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6.知识产权说明：我公司需提供软件的报告、资料、文件等内容及服务成果，定制开发部分采购单位享有充分、完整和排他的著作权和知识产权。未经采购人书面许可，我公司不得向任何第三方提供上述报告、资料、文件、用户信息等内容及服务成果。即使向履行有关的人员提供，也应注意保密并限于履行合同的必需范围。我公司应严格遵守相关的知识产权及软件版权保护的法律、法规；并在项目所规定的范围内使用本信息系统，任何我公司用于未经授权的商业目的的复制行为所造成的违约或侵权责任由我公司承担。采购人在中华人民共和国境内使用我公司提供的产品及服务时免受第三方提出的侵犯其专利权或其它知识产权的起诉。如果第三方提出侵权指控，我公司应承担由此而引起的一切法律责任和费用。</w:t>
      </w:r>
    </w:p>
    <w:p w14:paraId="65993608">
      <w:pPr>
        <w:pStyle w:val="23"/>
        <w:ind w:firstLine="420" w:firstLineChars="200"/>
        <w:jc w:val="left"/>
        <w:rPr>
          <w:rFonts w:hint="default" w:ascii="宋体" w:hAnsi="宋体" w:eastAsia="宋体" w:cs="宋体"/>
          <w:color w:val="000000"/>
          <w:kern w:val="2"/>
          <w:sz w:val="21"/>
          <w:szCs w:val="21"/>
          <w:highlight w:val="none"/>
          <w:lang w:val="en-US" w:eastAsia="zh-CN" w:bidi="ar-SA"/>
        </w:rPr>
      </w:pPr>
    </w:p>
    <w:p w14:paraId="337F5FAF">
      <w:pPr>
        <w:pStyle w:val="23"/>
        <w:jc w:val="left"/>
        <w:rPr>
          <w:rFonts w:hint="default" w:eastAsia="宋体"/>
          <w:highlight w:val="none"/>
          <w:lang w:val="en-US" w:eastAsia="zh-CN"/>
        </w:rPr>
      </w:pPr>
    </w:p>
    <w:p w14:paraId="7E3A73B4">
      <w:pPr>
        <w:snapToGrid w:val="0"/>
        <w:spacing w:before="50" w:afterLines="100" w:line="360" w:lineRule="auto"/>
        <w:ind w:left="7428" w:leftChars="2223" w:hanging="2760" w:hangingChars="1150"/>
        <w:jc w:val="left"/>
        <w:rPr>
          <w:rFonts w:ascii="宋体" w:hAnsi="宋体" w:cs="宋体"/>
          <w:color w:val="000000"/>
          <w:szCs w:val="21"/>
          <w:highlight w:val="none"/>
        </w:rPr>
      </w:pPr>
      <w:r>
        <w:rPr>
          <w:rFonts w:hint="eastAsia" w:ascii="宋体" w:hAnsi="宋体" w:cs="宋体"/>
          <w:color w:val="000000"/>
          <w:sz w:val="24"/>
          <w:highlight w:val="none"/>
        </w:rPr>
        <w:t xml:space="preserve"> </w:t>
      </w:r>
      <w:r>
        <w:rPr>
          <w:rFonts w:hint="eastAsia" w:ascii="宋体" w:hAnsi="宋体" w:cs="宋体"/>
          <w:color w:val="000000"/>
          <w:kern w:val="0"/>
          <w:sz w:val="24"/>
          <w:highlight w:val="none"/>
          <w:lang w:val="zh-CN"/>
        </w:rPr>
        <w:t>供应商名称(公章）：</w:t>
      </w:r>
      <w:r>
        <w:rPr>
          <w:rFonts w:hint="eastAsia" w:ascii="宋体" w:hAnsi="宋体" w:cs="宋体"/>
          <w:color w:val="000000"/>
          <w:szCs w:val="21"/>
          <w:highlight w:val="none"/>
        </w:rPr>
        <w:t xml:space="preserve">                               </w:t>
      </w:r>
    </w:p>
    <w:p w14:paraId="21DF31CD">
      <w:pPr>
        <w:snapToGrid w:val="0"/>
        <w:spacing w:before="50" w:afterLines="100" w:line="360" w:lineRule="auto"/>
        <w:ind w:left="7083" w:leftChars="2223" w:hanging="2415" w:hangingChars="1150"/>
        <w:jc w:val="left"/>
        <w:rPr>
          <w:rFonts w:hint="eastAsia" w:ascii="宋体" w:hAnsi="宋体" w:cs="宋体"/>
          <w:color w:val="000000"/>
          <w:szCs w:val="21"/>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宋体" w:hAnsi="宋体" w:cs="宋体"/>
          <w:color w:val="000000"/>
          <w:szCs w:val="21"/>
          <w:highlight w:val="none"/>
        </w:rPr>
        <w:t>年    月    日</w:t>
      </w:r>
    </w:p>
    <w:p w14:paraId="58AB165D">
      <w:pPr>
        <w:snapToGrid w:val="0"/>
        <w:spacing w:before="50" w:afterLines="50" w:line="360" w:lineRule="auto"/>
        <w:jc w:val="center"/>
        <w:rPr>
          <w:rFonts w:ascii="宋体" w:hAnsi="宋体" w:cs="宋体"/>
          <w:b/>
          <w:color w:val="000000"/>
          <w:kern w:val="0"/>
          <w:sz w:val="32"/>
          <w:szCs w:val="32"/>
          <w:highlight w:val="none"/>
        </w:rPr>
      </w:pPr>
      <w:r>
        <w:rPr>
          <w:rFonts w:hint="eastAsia" w:ascii="宋体" w:hAnsi="宋体" w:cs="宋体"/>
          <w:b/>
          <w:color w:val="000000"/>
          <w:kern w:val="0"/>
          <w:sz w:val="32"/>
          <w:szCs w:val="32"/>
          <w:highlight w:val="none"/>
        </w:rPr>
        <w:t>公司直接控股股东信息表</w:t>
      </w:r>
    </w:p>
    <w:tbl>
      <w:tblPr>
        <w:tblStyle w:val="2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000000"/>
                <w:kern w:val="0"/>
                <w:sz w:val="24"/>
                <w:highlight w:val="none"/>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000000"/>
                <w:kern w:val="0"/>
                <w:sz w:val="24"/>
                <w:highlight w:val="none"/>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000000"/>
                <w:kern w:val="0"/>
                <w:sz w:val="24"/>
                <w:highlight w:val="none"/>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000000"/>
                <w:kern w:val="0"/>
                <w:sz w:val="24"/>
                <w:highlight w:val="none"/>
              </w:rPr>
            </w:pPr>
          </w:p>
        </w:tc>
      </w:tr>
    </w:tbl>
    <w:p w14:paraId="7250B878">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注：</w:t>
      </w:r>
    </w:p>
    <w:p w14:paraId="0BFE2D6C">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3.供应商不存在直接控股股东的，则填“无”。</w:t>
      </w:r>
    </w:p>
    <w:p w14:paraId="0DAC3DBE">
      <w:pPr>
        <w:snapToGrid w:val="0"/>
        <w:spacing w:line="360" w:lineRule="auto"/>
        <w:jc w:val="left"/>
        <w:rPr>
          <w:rFonts w:ascii="宋体" w:hAnsi="宋体" w:cs="宋体"/>
          <w:color w:val="000000"/>
          <w:sz w:val="24"/>
          <w:highlight w:val="none"/>
        </w:rPr>
      </w:pPr>
    </w:p>
    <w:p w14:paraId="65EC5BD2">
      <w:pPr>
        <w:snapToGrid w:val="0"/>
        <w:spacing w:line="360" w:lineRule="auto"/>
        <w:jc w:val="left"/>
        <w:rPr>
          <w:rFonts w:ascii="宋体" w:hAnsi="宋体" w:cs="宋体"/>
          <w:color w:val="000000"/>
          <w:sz w:val="24"/>
          <w:highlight w:val="none"/>
        </w:rPr>
      </w:pPr>
    </w:p>
    <w:p w14:paraId="0DFB335E">
      <w:pPr>
        <w:snapToGrid w:val="0"/>
        <w:spacing w:line="360" w:lineRule="auto"/>
        <w:jc w:val="left"/>
        <w:rPr>
          <w:rFonts w:ascii="宋体" w:hAnsi="宋体" w:cs="宋体"/>
          <w:color w:val="000000"/>
          <w:sz w:val="24"/>
          <w:highlight w:val="none"/>
        </w:rPr>
      </w:pPr>
    </w:p>
    <w:p w14:paraId="2DDCED75">
      <w:pPr>
        <w:snapToGrid w:val="0"/>
        <w:spacing w:before="50" w:afterLines="100" w:line="360" w:lineRule="auto"/>
        <w:ind w:left="7428" w:leftChars="2223" w:hanging="2760" w:hangingChars="1150"/>
        <w:jc w:val="right"/>
        <w:rPr>
          <w:rFonts w:ascii="宋体" w:hAnsi="宋体" w:cs="宋体"/>
          <w:color w:val="000000"/>
          <w:szCs w:val="21"/>
          <w:highlight w:val="none"/>
        </w:rPr>
      </w:pPr>
      <w:r>
        <w:rPr>
          <w:rFonts w:hint="eastAsia" w:ascii="宋体" w:hAnsi="宋体" w:cs="宋体"/>
          <w:color w:val="000000"/>
          <w:kern w:val="0"/>
          <w:sz w:val="24"/>
          <w:highlight w:val="none"/>
          <w:lang w:val="zh-CN"/>
        </w:rPr>
        <w:t>供应商名称(公章）：</w:t>
      </w:r>
      <w:r>
        <w:rPr>
          <w:rFonts w:hint="eastAsia" w:ascii="宋体" w:hAnsi="宋体" w:cs="宋体"/>
          <w:color w:val="000000"/>
          <w:szCs w:val="21"/>
          <w:highlight w:val="none"/>
        </w:rPr>
        <w:t xml:space="preserve">                               </w:t>
      </w:r>
    </w:p>
    <w:p w14:paraId="305FCE45">
      <w:pPr>
        <w:snapToGrid w:val="0"/>
        <w:jc w:val="right"/>
        <w:rPr>
          <w:rFonts w:ascii="宋体" w:hAnsi="宋体" w:cs="宋体"/>
          <w:b/>
          <w:color w:val="000000"/>
          <w:sz w:val="28"/>
          <w:szCs w:val="28"/>
          <w:highlight w:val="none"/>
        </w:rPr>
      </w:pPr>
      <w:r>
        <w:rPr>
          <w:rFonts w:hint="eastAsia" w:ascii="宋体" w:hAnsi="宋体" w:cs="宋体"/>
          <w:color w:val="000000"/>
          <w:szCs w:val="21"/>
          <w:highlight w:val="none"/>
        </w:rPr>
        <w:t>年    月    日</w:t>
      </w:r>
      <w:r>
        <w:rPr>
          <w:rFonts w:hint="eastAsia" w:ascii="宋体" w:hAnsi="宋体" w:cs="宋体"/>
          <w:b/>
          <w:color w:val="000000"/>
          <w:sz w:val="28"/>
          <w:szCs w:val="28"/>
          <w:highlight w:val="none"/>
        </w:rPr>
        <w:br w:type="page"/>
      </w:r>
    </w:p>
    <w:p w14:paraId="2BF3516E">
      <w:pPr>
        <w:snapToGrid w:val="0"/>
        <w:spacing w:line="360" w:lineRule="auto"/>
        <w:jc w:val="center"/>
        <w:rPr>
          <w:rFonts w:ascii="宋体" w:hAnsi="宋体" w:cs="宋体"/>
          <w:color w:val="000000"/>
          <w:sz w:val="32"/>
          <w:szCs w:val="32"/>
          <w:highlight w:val="none"/>
        </w:rPr>
      </w:pPr>
      <w:r>
        <w:rPr>
          <w:rFonts w:hint="eastAsia" w:ascii="宋体" w:hAnsi="宋体" w:cs="宋体"/>
          <w:b/>
          <w:color w:val="000000"/>
          <w:sz w:val="32"/>
          <w:szCs w:val="32"/>
          <w:highlight w:val="none"/>
        </w:rPr>
        <w:t>公司直接管理关系信息表</w:t>
      </w:r>
    </w:p>
    <w:tbl>
      <w:tblPr>
        <w:tblStyle w:val="2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000000"/>
                <w:kern w:val="0"/>
                <w:sz w:val="24"/>
                <w:highlight w:val="none"/>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000000"/>
                <w:kern w:val="0"/>
                <w:sz w:val="24"/>
                <w:highlight w:val="none"/>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000000"/>
                <w:kern w:val="0"/>
                <w:sz w:val="24"/>
                <w:highlight w:val="none"/>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000000"/>
                <w:kern w:val="0"/>
                <w:sz w:val="24"/>
                <w:highlight w:val="none"/>
              </w:rPr>
            </w:pPr>
          </w:p>
        </w:tc>
      </w:tr>
    </w:tbl>
    <w:p w14:paraId="28F66591">
      <w:pPr>
        <w:snapToGrid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注：</w:t>
      </w:r>
    </w:p>
    <w:p w14:paraId="49BDFB92">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pacing w:val="-6"/>
          <w:sz w:val="24"/>
          <w:highlight w:val="none"/>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3.供应商不存在直接管理关系的，则填“无”。</w:t>
      </w:r>
    </w:p>
    <w:p w14:paraId="69DFCA63">
      <w:pPr>
        <w:snapToGrid w:val="0"/>
        <w:spacing w:line="360" w:lineRule="auto"/>
        <w:jc w:val="left"/>
        <w:rPr>
          <w:rFonts w:ascii="宋体" w:hAnsi="宋体" w:cs="宋体"/>
          <w:color w:val="000000"/>
          <w:sz w:val="24"/>
          <w:highlight w:val="none"/>
        </w:rPr>
      </w:pPr>
    </w:p>
    <w:p w14:paraId="1775CD1C">
      <w:pPr>
        <w:snapToGrid w:val="0"/>
        <w:spacing w:line="360" w:lineRule="auto"/>
        <w:jc w:val="left"/>
        <w:rPr>
          <w:rFonts w:ascii="宋体" w:hAnsi="宋体" w:cs="宋体"/>
          <w:color w:val="000000"/>
          <w:sz w:val="24"/>
          <w:highlight w:val="none"/>
        </w:rPr>
      </w:pPr>
    </w:p>
    <w:p w14:paraId="4BF46407">
      <w:pPr>
        <w:snapToGrid w:val="0"/>
        <w:spacing w:line="360" w:lineRule="auto"/>
        <w:jc w:val="left"/>
        <w:rPr>
          <w:rFonts w:ascii="宋体" w:hAnsi="宋体" w:cs="宋体"/>
          <w:color w:val="000000"/>
          <w:sz w:val="24"/>
          <w:highlight w:val="none"/>
        </w:rPr>
      </w:pPr>
    </w:p>
    <w:p w14:paraId="4EB8F5C3">
      <w:pPr>
        <w:snapToGrid w:val="0"/>
        <w:spacing w:line="360" w:lineRule="auto"/>
        <w:jc w:val="left"/>
        <w:rPr>
          <w:rFonts w:ascii="宋体" w:hAnsi="宋体" w:cs="宋体"/>
          <w:color w:val="000000"/>
          <w:sz w:val="24"/>
          <w:highlight w:val="none"/>
        </w:rPr>
      </w:pPr>
    </w:p>
    <w:p w14:paraId="7745E4C7">
      <w:pPr>
        <w:snapToGrid w:val="0"/>
        <w:spacing w:line="360" w:lineRule="auto"/>
        <w:jc w:val="left"/>
        <w:rPr>
          <w:rFonts w:ascii="宋体" w:hAnsi="宋体" w:cs="宋体"/>
          <w:color w:val="000000"/>
          <w:sz w:val="24"/>
          <w:highlight w:val="none"/>
        </w:rPr>
      </w:pPr>
    </w:p>
    <w:p w14:paraId="7B0AA6C8">
      <w:pPr>
        <w:snapToGrid w:val="0"/>
        <w:spacing w:line="360" w:lineRule="auto"/>
        <w:jc w:val="left"/>
        <w:rPr>
          <w:rFonts w:ascii="宋体" w:hAnsi="宋体" w:cs="宋体"/>
          <w:color w:val="000000"/>
          <w:sz w:val="24"/>
          <w:highlight w:val="none"/>
        </w:rPr>
      </w:pPr>
    </w:p>
    <w:p w14:paraId="78A223F1">
      <w:pPr>
        <w:snapToGrid w:val="0"/>
        <w:spacing w:line="360" w:lineRule="auto"/>
        <w:jc w:val="left"/>
        <w:rPr>
          <w:rFonts w:ascii="宋体" w:hAnsi="宋体" w:cs="宋体"/>
          <w:color w:val="000000"/>
          <w:sz w:val="24"/>
          <w:highlight w:val="none"/>
        </w:rPr>
      </w:pPr>
    </w:p>
    <w:p w14:paraId="0FF5E3B2">
      <w:pPr>
        <w:snapToGrid w:val="0"/>
        <w:spacing w:line="360" w:lineRule="auto"/>
        <w:jc w:val="left"/>
        <w:rPr>
          <w:rFonts w:ascii="宋体" w:hAnsi="宋体" w:cs="宋体"/>
          <w:color w:val="000000"/>
          <w:sz w:val="24"/>
          <w:highlight w:val="none"/>
        </w:rPr>
      </w:pPr>
    </w:p>
    <w:p w14:paraId="5A43F533">
      <w:pPr>
        <w:snapToGrid w:val="0"/>
        <w:spacing w:before="50" w:afterLines="100" w:line="360" w:lineRule="auto"/>
        <w:jc w:val="right"/>
        <w:rPr>
          <w:rFonts w:ascii="宋体" w:hAnsi="宋体" w:cs="宋体"/>
          <w:color w:val="000000"/>
          <w:szCs w:val="21"/>
          <w:highlight w:val="none"/>
        </w:rPr>
      </w:pPr>
      <w:r>
        <w:rPr>
          <w:rFonts w:hint="eastAsia" w:ascii="宋体" w:hAnsi="宋体" w:cs="宋体"/>
          <w:color w:val="000000"/>
          <w:kern w:val="0"/>
          <w:sz w:val="24"/>
          <w:highlight w:val="none"/>
          <w:lang w:val="zh-CN"/>
        </w:rPr>
        <w:t>供应商名称(公章）：</w:t>
      </w:r>
      <w:r>
        <w:rPr>
          <w:rFonts w:hint="eastAsia" w:ascii="宋体" w:hAnsi="宋体" w:cs="宋体"/>
          <w:color w:val="000000"/>
          <w:szCs w:val="21"/>
          <w:highlight w:val="none"/>
        </w:rPr>
        <w:t xml:space="preserve">                               </w:t>
      </w:r>
    </w:p>
    <w:p w14:paraId="2BFB2C5E">
      <w:pPr>
        <w:snapToGrid w:val="0"/>
        <w:spacing w:before="50" w:afterLines="50"/>
        <w:jc w:val="right"/>
        <w:rPr>
          <w:rFonts w:ascii="宋体" w:hAnsi="宋体" w:cs="宋体"/>
          <w:color w:val="000000"/>
          <w:szCs w:val="21"/>
          <w:highlight w:val="none"/>
        </w:rPr>
      </w:pPr>
      <w:r>
        <w:rPr>
          <w:rFonts w:hint="eastAsia" w:ascii="宋体" w:hAnsi="宋体" w:cs="宋体"/>
          <w:color w:val="000000"/>
          <w:szCs w:val="21"/>
          <w:highlight w:val="none"/>
        </w:rPr>
        <w:t>年    月    日</w:t>
      </w:r>
    </w:p>
    <w:p w14:paraId="01A53636">
      <w:pPr>
        <w:snapToGrid w:val="0"/>
        <w:spacing w:before="50" w:afterLines="50"/>
        <w:jc w:val="right"/>
        <w:rPr>
          <w:rFonts w:ascii="宋体" w:hAnsi="宋体" w:cs="宋体"/>
          <w:color w:val="000000"/>
          <w:szCs w:val="21"/>
          <w:highlight w:val="none"/>
        </w:rPr>
      </w:pPr>
    </w:p>
    <w:p w14:paraId="50F392B8">
      <w:pPr>
        <w:snapToGrid w:val="0"/>
        <w:spacing w:before="50" w:afterLines="50"/>
        <w:jc w:val="right"/>
        <w:rPr>
          <w:rFonts w:ascii="宋体" w:hAnsi="宋体" w:cs="宋体"/>
          <w:color w:val="000000"/>
          <w:szCs w:val="21"/>
          <w:highlight w:val="none"/>
        </w:rPr>
      </w:pPr>
    </w:p>
    <w:p w14:paraId="3295E2AE">
      <w:pPr>
        <w:snapToGrid w:val="0"/>
        <w:spacing w:before="50" w:afterLines="50"/>
        <w:jc w:val="right"/>
        <w:rPr>
          <w:rFonts w:ascii="宋体" w:hAnsi="宋体" w:cs="宋体"/>
          <w:color w:val="000000"/>
          <w:szCs w:val="21"/>
          <w:highlight w:val="none"/>
        </w:rPr>
      </w:pPr>
    </w:p>
    <w:p w14:paraId="623DA1C2">
      <w:pPr>
        <w:snapToGrid w:val="0"/>
        <w:spacing w:before="50" w:afterLines="50"/>
        <w:jc w:val="right"/>
        <w:rPr>
          <w:rFonts w:ascii="宋体" w:hAnsi="宋体" w:cs="宋体"/>
          <w:color w:val="000000"/>
          <w:szCs w:val="21"/>
          <w:highlight w:val="none"/>
        </w:rPr>
      </w:pPr>
    </w:p>
    <w:p w14:paraId="1975E2E9">
      <w:pPr>
        <w:widowControl/>
        <w:jc w:val="left"/>
        <w:rPr>
          <w:rFonts w:ascii="仿宋" w:hAnsi="仿宋" w:eastAsia="仿宋" w:cs="仿宋"/>
          <w:bCs/>
          <w:sz w:val="28"/>
          <w:szCs w:val="28"/>
          <w:highlight w:val="none"/>
        </w:rPr>
        <w:sectPr>
          <w:pgSz w:w="11906" w:h="16838"/>
          <w:pgMar w:top="1418" w:right="1555" w:bottom="1418" w:left="1531" w:header="851" w:footer="992" w:gutter="0"/>
          <w:pgNumType w:fmt="decimal"/>
          <w:cols w:space="720" w:num="1"/>
          <w:titlePg/>
          <w:docGrid w:type="lines" w:linePitch="312" w:charSpace="0"/>
        </w:sectPr>
      </w:pPr>
    </w:p>
    <w:p w14:paraId="5BE8CCCB">
      <w:pPr>
        <w:widowControl/>
        <w:jc w:val="lef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工程项目</w:t>
      </w:r>
      <w:r>
        <w:rPr>
          <w:rFonts w:hint="eastAsia" w:ascii="仿宋" w:hAnsi="仿宋" w:eastAsia="仿宋" w:cs="仿宋"/>
          <w:bCs/>
          <w:sz w:val="28"/>
          <w:szCs w:val="28"/>
          <w:highlight w:val="none"/>
        </w:rPr>
        <w:t>报价</w:t>
      </w:r>
      <w:r>
        <w:rPr>
          <w:rFonts w:hint="eastAsia" w:ascii="仿宋" w:hAnsi="仿宋" w:eastAsia="仿宋" w:cs="仿宋"/>
          <w:bCs/>
          <w:sz w:val="28"/>
          <w:szCs w:val="28"/>
          <w:highlight w:val="none"/>
          <w:lang w:eastAsia="zh-CN"/>
        </w:rPr>
        <w:t>请查看工程量清单</w:t>
      </w:r>
    </w:p>
    <w:p w14:paraId="7DFE87BB">
      <w:pPr>
        <w:pStyle w:val="23"/>
        <w:rPr>
          <w:rFonts w:hint="eastAsia"/>
          <w:highlight w:val="none"/>
          <w:lang w:eastAsia="zh-CN"/>
        </w:rPr>
      </w:pPr>
    </w:p>
    <w:p w14:paraId="62284CAC">
      <w:pPr>
        <w:widowControl/>
        <w:jc w:val="left"/>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eastAsia="zh-CN"/>
        </w:rPr>
        <w:t>货物项目报价</w:t>
      </w:r>
      <w:r>
        <w:rPr>
          <w:rFonts w:hint="eastAsia" w:ascii="仿宋" w:hAnsi="仿宋" w:eastAsia="仿宋" w:cs="仿宋"/>
          <w:bCs/>
          <w:sz w:val="28"/>
          <w:szCs w:val="28"/>
          <w:highlight w:val="none"/>
          <w:lang w:val="en-US" w:eastAsia="zh-CN"/>
        </w:rPr>
        <w:t>表格式</w:t>
      </w:r>
    </w:p>
    <w:p w14:paraId="589D4B8A">
      <w:pPr>
        <w:jc w:val="center"/>
        <w:rPr>
          <w:rFonts w:hint="eastAsia" w:ascii="汉仪中楷简" w:hAnsi="汉仪中楷简" w:eastAsia="汉仪中楷简" w:cs="汉仪中楷简"/>
          <w:highlight w:val="none"/>
        </w:rPr>
      </w:pPr>
      <w:r>
        <w:rPr>
          <w:rFonts w:hint="eastAsia" w:ascii="仿宋" w:eastAsia="仿宋" w:cs="仿宋"/>
          <w:bCs/>
          <w:color w:val="auto"/>
          <w:sz w:val="44"/>
          <w:szCs w:val="44"/>
          <w:highlight w:val="none"/>
        </w:rPr>
        <w:t>报  价  表</w:t>
      </w:r>
      <w:r>
        <w:rPr>
          <w:rFonts w:hint="eastAsia" w:ascii="仿宋" w:eastAsia="仿宋" w:cs="仿宋"/>
          <w:bCs/>
          <w:color w:val="auto"/>
          <w:sz w:val="44"/>
          <w:szCs w:val="44"/>
          <w:highlight w:val="none"/>
          <w:lang w:eastAsia="zh-CN"/>
        </w:rPr>
        <w:t>（</w:t>
      </w:r>
      <w:r>
        <w:rPr>
          <w:rFonts w:hint="eastAsia" w:ascii="仿宋" w:eastAsia="仿宋" w:cs="仿宋"/>
          <w:bCs/>
          <w:color w:val="auto"/>
          <w:sz w:val="44"/>
          <w:szCs w:val="44"/>
          <w:highlight w:val="none"/>
          <w:lang w:val="en-US" w:eastAsia="zh-CN"/>
        </w:rPr>
        <w:t>货物</w:t>
      </w:r>
      <w:r>
        <w:rPr>
          <w:rFonts w:hint="eastAsia" w:ascii="仿宋" w:eastAsia="仿宋" w:cs="仿宋"/>
          <w:bCs/>
          <w:color w:val="auto"/>
          <w:sz w:val="44"/>
          <w:szCs w:val="44"/>
          <w:highlight w:val="none"/>
          <w:lang w:eastAsia="zh-CN"/>
        </w:rPr>
        <w:t>项目）</w:t>
      </w:r>
    </w:p>
    <w:p w14:paraId="6C55CF23">
      <w:pPr>
        <w:spacing w:after="120" w:afterLines="50" w:line="440" w:lineRule="exact"/>
        <w:rPr>
          <w:rFonts w:hint="eastAsia" w:ascii="汉仪中楷简" w:hAnsi="汉仪中楷简" w:eastAsia="汉仪中楷简" w:cs="汉仪中楷简"/>
          <w:highlight w:val="none"/>
        </w:rPr>
      </w:pPr>
      <w:r>
        <w:rPr>
          <w:rFonts w:hint="eastAsia" w:ascii="汉仪中楷简" w:hAnsi="汉仪中楷简" w:eastAsia="汉仪中楷简" w:cs="汉仪中楷简"/>
          <w:sz w:val="24"/>
          <w:highlight w:val="none"/>
        </w:rPr>
        <w:t xml:space="preserve"> </w:t>
      </w:r>
    </w:p>
    <w:tbl>
      <w:tblPr>
        <w:tblStyle w:val="25"/>
        <w:tblW w:w="4998" w:type="pct"/>
        <w:tblInd w:w="0" w:type="dxa"/>
        <w:tblLayout w:type="autofit"/>
        <w:tblCellMar>
          <w:top w:w="0" w:type="dxa"/>
          <w:left w:w="108" w:type="dxa"/>
          <w:bottom w:w="0" w:type="dxa"/>
          <w:right w:w="108" w:type="dxa"/>
        </w:tblCellMar>
      </w:tblPr>
      <w:tblGrid>
        <w:gridCol w:w="763"/>
        <w:gridCol w:w="1113"/>
        <w:gridCol w:w="1948"/>
        <w:gridCol w:w="1220"/>
        <w:gridCol w:w="1220"/>
        <w:gridCol w:w="1254"/>
        <w:gridCol w:w="1514"/>
      </w:tblGrid>
      <w:tr w14:paraId="4254C19F">
        <w:tblPrEx>
          <w:tblCellMar>
            <w:top w:w="0" w:type="dxa"/>
            <w:left w:w="108" w:type="dxa"/>
            <w:bottom w:w="0" w:type="dxa"/>
            <w:right w:w="108" w:type="dxa"/>
          </w:tblCellMar>
        </w:tblPrEx>
        <w:trPr>
          <w:trHeight w:val="879" w:hRule="atLeast"/>
        </w:trPr>
        <w:tc>
          <w:tcPr>
            <w:tcW w:w="423" w:type="pct"/>
            <w:tcBorders>
              <w:top w:val="single" w:color="auto" w:sz="6" w:space="0"/>
              <w:left w:val="single" w:color="auto" w:sz="6" w:space="0"/>
              <w:bottom w:val="single" w:color="auto" w:sz="6" w:space="0"/>
              <w:right w:val="single" w:color="auto" w:sz="6" w:space="0"/>
            </w:tcBorders>
            <w:noWrap w:val="0"/>
            <w:vAlign w:val="center"/>
          </w:tcPr>
          <w:p w14:paraId="6F78D8AA">
            <w:pPr>
              <w:autoSpaceDE w:val="0"/>
              <w:autoSpaceDN w:val="0"/>
              <w:adjustRightInd w:val="0"/>
              <w:spacing w:line="360" w:lineRule="exact"/>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zh-CN"/>
              </w:rPr>
              <w:t>序号</w:t>
            </w:r>
          </w:p>
        </w:tc>
        <w:tc>
          <w:tcPr>
            <w:tcW w:w="1694" w:type="pct"/>
            <w:gridSpan w:val="2"/>
            <w:tcBorders>
              <w:top w:val="single" w:color="auto" w:sz="6" w:space="0"/>
              <w:left w:val="single" w:color="auto" w:sz="6" w:space="0"/>
              <w:bottom w:val="single" w:color="auto" w:sz="6" w:space="0"/>
              <w:right w:val="single" w:color="auto" w:sz="6" w:space="0"/>
            </w:tcBorders>
            <w:noWrap w:val="0"/>
            <w:vAlign w:val="center"/>
          </w:tcPr>
          <w:p w14:paraId="621E2867">
            <w:pPr>
              <w:autoSpaceDE w:val="0"/>
              <w:autoSpaceDN w:val="0"/>
              <w:adjustRightInd w:val="0"/>
              <w:spacing w:line="360" w:lineRule="exact"/>
              <w:jc w:val="center"/>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货物名称</w:t>
            </w:r>
          </w:p>
        </w:tc>
        <w:tc>
          <w:tcPr>
            <w:tcW w:w="675" w:type="pct"/>
            <w:tcBorders>
              <w:top w:val="single" w:color="auto" w:sz="6" w:space="0"/>
              <w:left w:val="single" w:color="auto" w:sz="6" w:space="0"/>
              <w:bottom w:val="single" w:color="auto" w:sz="6" w:space="0"/>
              <w:right w:val="single" w:color="auto" w:sz="6" w:space="0"/>
            </w:tcBorders>
            <w:noWrap w:val="0"/>
            <w:vAlign w:val="center"/>
          </w:tcPr>
          <w:p w14:paraId="1D1F484E">
            <w:pPr>
              <w:autoSpaceDE w:val="0"/>
              <w:autoSpaceDN w:val="0"/>
              <w:adjustRightInd w:val="0"/>
              <w:spacing w:line="360" w:lineRule="exact"/>
              <w:jc w:val="center"/>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数量</w:t>
            </w:r>
          </w:p>
        </w:tc>
        <w:tc>
          <w:tcPr>
            <w:tcW w:w="675" w:type="pct"/>
            <w:tcBorders>
              <w:top w:val="single" w:color="auto" w:sz="6" w:space="0"/>
              <w:left w:val="single" w:color="auto" w:sz="6" w:space="0"/>
              <w:bottom w:val="single" w:color="auto" w:sz="6" w:space="0"/>
              <w:right w:val="single" w:color="auto" w:sz="6" w:space="0"/>
            </w:tcBorders>
            <w:noWrap w:val="0"/>
            <w:vAlign w:val="center"/>
          </w:tcPr>
          <w:p w14:paraId="72B17943">
            <w:pPr>
              <w:autoSpaceDE w:val="0"/>
              <w:autoSpaceDN w:val="0"/>
              <w:adjustRightInd w:val="0"/>
              <w:spacing w:line="360" w:lineRule="exact"/>
              <w:jc w:val="center"/>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单价</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lang w:val="en-US" w:eastAsia="zh-CN"/>
              </w:rPr>
              <w:t>元</w:t>
            </w:r>
            <w:r>
              <w:rPr>
                <w:rFonts w:hint="eastAsia" w:ascii="宋体" w:hAnsi="宋体" w:eastAsia="宋体" w:cs="宋体"/>
                <w:b/>
                <w:bCs/>
                <w:sz w:val="18"/>
                <w:szCs w:val="18"/>
                <w:highlight w:val="none"/>
                <w:lang w:eastAsia="zh-CN"/>
              </w:rPr>
              <w:t>）</w:t>
            </w:r>
          </w:p>
        </w:tc>
        <w:tc>
          <w:tcPr>
            <w:tcW w:w="694" w:type="pct"/>
            <w:tcBorders>
              <w:top w:val="single" w:color="auto" w:sz="6" w:space="0"/>
              <w:left w:val="single" w:color="auto" w:sz="6" w:space="0"/>
              <w:bottom w:val="single" w:color="auto" w:sz="6" w:space="0"/>
              <w:right w:val="single" w:color="auto" w:sz="6" w:space="0"/>
            </w:tcBorders>
            <w:noWrap w:val="0"/>
            <w:vAlign w:val="center"/>
          </w:tcPr>
          <w:p w14:paraId="6DE1C8D5">
            <w:pPr>
              <w:autoSpaceDE w:val="0"/>
              <w:autoSpaceDN w:val="0"/>
              <w:adjustRightInd w:val="0"/>
              <w:spacing w:line="360" w:lineRule="exact"/>
              <w:jc w:val="center"/>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合计</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lang w:val="en-US" w:eastAsia="zh-CN"/>
              </w:rPr>
              <w:t>元</w:t>
            </w:r>
            <w:r>
              <w:rPr>
                <w:rFonts w:hint="eastAsia" w:ascii="宋体" w:hAnsi="宋体" w:eastAsia="宋体" w:cs="宋体"/>
                <w:b/>
                <w:bCs/>
                <w:sz w:val="18"/>
                <w:szCs w:val="18"/>
                <w:highlight w:val="none"/>
                <w:lang w:eastAsia="zh-CN"/>
              </w:rPr>
              <w:t>）</w:t>
            </w:r>
          </w:p>
        </w:tc>
        <w:tc>
          <w:tcPr>
            <w:tcW w:w="837" w:type="pct"/>
            <w:tcBorders>
              <w:top w:val="single" w:color="auto" w:sz="6" w:space="0"/>
              <w:left w:val="single" w:color="auto" w:sz="6" w:space="0"/>
              <w:bottom w:val="single" w:color="auto" w:sz="6" w:space="0"/>
              <w:right w:val="single" w:color="auto" w:sz="6" w:space="0"/>
            </w:tcBorders>
            <w:noWrap w:val="0"/>
            <w:vAlign w:val="center"/>
          </w:tcPr>
          <w:p w14:paraId="4DC35E9D">
            <w:pPr>
              <w:autoSpaceDE w:val="0"/>
              <w:autoSpaceDN w:val="0"/>
              <w:adjustRightInd w:val="0"/>
              <w:spacing w:line="360" w:lineRule="exact"/>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zh-CN"/>
              </w:rPr>
              <w:t>备注</w:t>
            </w:r>
          </w:p>
        </w:tc>
      </w:tr>
      <w:tr w14:paraId="0ADBDD18">
        <w:tblPrEx>
          <w:tblCellMar>
            <w:top w:w="0" w:type="dxa"/>
            <w:left w:w="108" w:type="dxa"/>
            <w:bottom w:w="0" w:type="dxa"/>
            <w:right w:w="108" w:type="dxa"/>
          </w:tblCellMar>
        </w:tblPrEx>
        <w:trPr>
          <w:trHeight w:val="1018" w:hRule="atLeast"/>
        </w:trPr>
        <w:tc>
          <w:tcPr>
            <w:tcW w:w="423" w:type="pct"/>
            <w:tcBorders>
              <w:top w:val="single" w:color="auto" w:sz="6" w:space="0"/>
              <w:left w:val="single" w:color="auto" w:sz="6" w:space="0"/>
              <w:bottom w:val="single" w:color="auto" w:sz="6" w:space="0"/>
              <w:right w:val="single" w:color="auto" w:sz="6" w:space="0"/>
            </w:tcBorders>
            <w:noWrap w:val="0"/>
            <w:vAlign w:val="center"/>
          </w:tcPr>
          <w:p w14:paraId="3AD1C970">
            <w:pPr>
              <w:autoSpaceDE w:val="0"/>
              <w:autoSpaceDN w:val="0"/>
              <w:adjustRightInd w:val="0"/>
              <w:spacing w:line="36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694" w:type="pct"/>
            <w:gridSpan w:val="2"/>
            <w:tcBorders>
              <w:top w:val="single" w:color="auto" w:sz="6" w:space="0"/>
              <w:left w:val="single" w:color="auto" w:sz="6" w:space="0"/>
              <w:bottom w:val="single" w:color="auto" w:sz="6" w:space="0"/>
              <w:right w:val="single" w:color="auto" w:sz="6" w:space="0"/>
            </w:tcBorders>
            <w:noWrap w:val="0"/>
            <w:vAlign w:val="center"/>
          </w:tcPr>
          <w:p w14:paraId="7DDB8AFB">
            <w:pPr>
              <w:spacing w:line="360" w:lineRule="auto"/>
              <w:jc w:val="left"/>
              <w:rPr>
                <w:rFonts w:hint="eastAsia" w:ascii="宋体" w:hAnsi="宋体" w:eastAsia="宋体" w:cs="宋体"/>
                <w:sz w:val="18"/>
                <w:szCs w:val="18"/>
                <w:highlight w:val="none"/>
              </w:rPr>
            </w:pPr>
          </w:p>
        </w:tc>
        <w:tc>
          <w:tcPr>
            <w:tcW w:w="675" w:type="pct"/>
            <w:tcBorders>
              <w:top w:val="single" w:color="auto" w:sz="6" w:space="0"/>
              <w:left w:val="single" w:color="auto" w:sz="6" w:space="0"/>
              <w:bottom w:val="single" w:color="auto" w:sz="6" w:space="0"/>
              <w:right w:val="single" w:color="auto" w:sz="6" w:space="0"/>
            </w:tcBorders>
            <w:noWrap w:val="0"/>
            <w:vAlign w:val="center"/>
          </w:tcPr>
          <w:p w14:paraId="1824127D">
            <w:pPr>
              <w:autoSpaceDE w:val="0"/>
              <w:autoSpaceDN w:val="0"/>
              <w:adjustRightInd w:val="0"/>
              <w:spacing w:line="360" w:lineRule="exact"/>
              <w:jc w:val="center"/>
              <w:rPr>
                <w:rFonts w:hint="eastAsia" w:ascii="宋体" w:hAnsi="宋体" w:eastAsia="宋体" w:cs="宋体"/>
                <w:sz w:val="18"/>
                <w:szCs w:val="18"/>
                <w:highlight w:val="none"/>
              </w:rPr>
            </w:pPr>
          </w:p>
        </w:tc>
        <w:tc>
          <w:tcPr>
            <w:tcW w:w="675" w:type="pct"/>
            <w:tcBorders>
              <w:top w:val="single" w:color="auto" w:sz="6" w:space="0"/>
              <w:left w:val="single" w:color="auto" w:sz="6" w:space="0"/>
              <w:bottom w:val="single" w:color="auto" w:sz="6" w:space="0"/>
              <w:right w:val="single" w:color="auto" w:sz="6" w:space="0"/>
            </w:tcBorders>
            <w:noWrap w:val="0"/>
            <w:vAlign w:val="center"/>
          </w:tcPr>
          <w:p w14:paraId="7A8647BD">
            <w:pPr>
              <w:autoSpaceDE w:val="0"/>
              <w:autoSpaceDN w:val="0"/>
              <w:adjustRightInd w:val="0"/>
              <w:spacing w:line="360" w:lineRule="exact"/>
              <w:jc w:val="center"/>
              <w:rPr>
                <w:rFonts w:hint="eastAsia" w:ascii="宋体" w:hAnsi="宋体" w:eastAsia="宋体" w:cs="宋体"/>
                <w:sz w:val="18"/>
                <w:szCs w:val="18"/>
                <w:highlight w:val="none"/>
              </w:rPr>
            </w:pPr>
          </w:p>
        </w:tc>
        <w:tc>
          <w:tcPr>
            <w:tcW w:w="694" w:type="pct"/>
            <w:tcBorders>
              <w:top w:val="single" w:color="auto" w:sz="6" w:space="0"/>
              <w:left w:val="single" w:color="auto" w:sz="6" w:space="0"/>
              <w:bottom w:val="single" w:color="auto" w:sz="6" w:space="0"/>
              <w:right w:val="single" w:color="auto" w:sz="6" w:space="0"/>
            </w:tcBorders>
            <w:noWrap w:val="0"/>
            <w:vAlign w:val="center"/>
          </w:tcPr>
          <w:p w14:paraId="34A224A9">
            <w:pPr>
              <w:autoSpaceDE w:val="0"/>
              <w:autoSpaceDN w:val="0"/>
              <w:adjustRightInd w:val="0"/>
              <w:spacing w:line="360" w:lineRule="exact"/>
              <w:jc w:val="center"/>
              <w:rPr>
                <w:rFonts w:hint="eastAsia" w:ascii="宋体" w:hAnsi="宋体" w:eastAsia="宋体" w:cs="宋体"/>
                <w:sz w:val="18"/>
                <w:szCs w:val="18"/>
                <w:highlight w:val="none"/>
              </w:rPr>
            </w:pPr>
          </w:p>
        </w:tc>
        <w:tc>
          <w:tcPr>
            <w:tcW w:w="837" w:type="pct"/>
            <w:tcBorders>
              <w:top w:val="single" w:color="auto" w:sz="6" w:space="0"/>
              <w:left w:val="single" w:color="auto" w:sz="6" w:space="0"/>
              <w:bottom w:val="single" w:color="auto" w:sz="6" w:space="0"/>
              <w:right w:val="single" w:color="auto" w:sz="6" w:space="0"/>
            </w:tcBorders>
            <w:noWrap w:val="0"/>
            <w:vAlign w:val="center"/>
          </w:tcPr>
          <w:p w14:paraId="64CE6C74">
            <w:pPr>
              <w:autoSpaceDE w:val="0"/>
              <w:autoSpaceDN w:val="0"/>
              <w:adjustRightInd w:val="0"/>
              <w:spacing w:line="340" w:lineRule="exact"/>
              <w:rPr>
                <w:rFonts w:hint="eastAsia" w:ascii="宋体" w:hAnsi="宋体" w:eastAsia="宋体" w:cs="宋体"/>
                <w:sz w:val="18"/>
                <w:szCs w:val="18"/>
                <w:highlight w:val="none"/>
              </w:rPr>
            </w:pPr>
          </w:p>
        </w:tc>
      </w:tr>
      <w:tr w14:paraId="37CAA0CD">
        <w:tblPrEx>
          <w:tblCellMar>
            <w:top w:w="0" w:type="dxa"/>
            <w:left w:w="108" w:type="dxa"/>
            <w:bottom w:w="0" w:type="dxa"/>
            <w:right w:w="108" w:type="dxa"/>
          </w:tblCellMar>
        </w:tblPrEx>
        <w:trPr>
          <w:trHeight w:val="1018" w:hRule="atLeast"/>
        </w:trPr>
        <w:tc>
          <w:tcPr>
            <w:tcW w:w="423" w:type="pct"/>
            <w:tcBorders>
              <w:top w:val="single" w:color="auto" w:sz="6" w:space="0"/>
              <w:left w:val="single" w:color="auto" w:sz="6" w:space="0"/>
              <w:bottom w:val="single" w:color="auto" w:sz="6" w:space="0"/>
              <w:right w:val="single" w:color="auto" w:sz="6" w:space="0"/>
            </w:tcBorders>
            <w:noWrap w:val="0"/>
            <w:vAlign w:val="center"/>
          </w:tcPr>
          <w:p w14:paraId="3DA0C60F">
            <w:pPr>
              <w:autoSpaceDE w:val="0"/>
              <w:autoSpaceDN w:val="0"/>
              <w:adjustRightInd w:val="0"/>
              <w:spacing w:line="36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694" w:type="pct"/>
            <w:gridSpan w:val="2"/>
            <w:tcBorders>
              <w:top w:val="single" w:color="auto" w:sz="6" w:space="0"/>
              <w:left w:val="single" w:color="auto" w:sz="6" w:space="0"/>
              <w:bottom w:val="single" w:color="auto" w:sz="6" w:space="0"/>
              <w:right w:val="single" w:color="auto" w:sz="6" w:space="0"/>
            </w:tcBorders>
            <w:noWrap w:val="0"/>
            <w:vAlign w:val="center"/>
          </w:tcPr>
          <w:p w14:paraId="21393503">
            <w:pPr>
              <w:spacing w:line="360" w:lineRule="auto"/>
              <w:jc w:val="left"/>
              <w:rPr>
                <w:rFonts w:hint="eastAsia" w:ascii="宋体" w:hAnsi="宋体" w:eastAsia="宋体" w:cs="宋体"/>
                <w:sz w:val="18"/>
                <w:szCs w:val="18"/>
                <w:highlight w:val="none"/>
              </w:rPr>
            </w:pPr>
          </w:p>
        </w:tc>
        <w:tc>
          <w:tcPr>
            <w:tcW w:w="675" w:type="pct"/>
            <w:tcBorders>
              <w:top w:val="single" w:color="auto" w:sz="6" w:space="0"/>
              <w:left w:val="single" w:color="auto" w:sz="6" w:space="0"/>
              <w:bottom w:val="single" w:color="auto" w:sz="6" w:space="0"/>
              <w:right w:val="single" w:color="auto" w:sz="6" w:space="0"/>
            </w:tcBorders>
            <w:noWrap w:val="0"/>
            <w:vAlign w:val="center"/>
          </w:tcPr>
          <w:p w14:paraId="732780C9">
            <w:pPr>
              <w:autoSpaceDE w:val="0"/>
              <w:autoSpaceDN w:val="0"/>
              <w:adjustRightInd w:val="0"/>
              <w:spacing w:line="360" w:lineRule="exact"/>
              <w:jc w:val="center"/>
              <w:rPr>
                <w:rFonts w:hint="eastAsia" w:ascii="宋体" w:hAnsi="宋体" w:eastAsia="宋体" w:cs="宋体"/>
                <w:sz w:val="18"/>
                <w:szCs w:val="18"/>
                <w:highlight w:val="none"/>
              </w:rPr>
            </w:pPr>
          </w:p>
        </w:tc>
        <w:tc>
          <w:tcPr>
            <w:tcW w:w="675" w:type="pct"/>
            <w:tcBorders>
              <w:top w:val="single" w:color="auto" w:sz="6" w:space="0"/>
              <w:left w:val="single" w:color="auto" w:sz="6" w:space="0"/>
              <w:bottom w:val="single" w:color="auto" w:sz="6" w:space="0"/>
              <w:right w:val="single" w:color="auto" w:sz="6" w:space="0"/>
            </w:tcBorders>
            <w:noWrap w:val="0"/>
            <w:vAlign w:val="center"/>
          </w:tcPr>
          <w:p w14:paraId="13364319">
            <w:pPr>
              <w:autoSpaceDE w:val="0"/>
              <w:autoSpaceDN w:val="0"/>
              <w:adjustRightInd w:val="0"/>
              <w:spacing w:line="360" w:lineRule="exact"/>
              <w:jc w:val="center"/>
              <w:rPr>
                <w:rFonts w:hint="eastAsia" w:ascii="宋体" w:hAnsi="宋体" w:eastAsia="宋体" w:cs="宋体"/>
                <w:sz w:val="18"/>
                <w:szCs w:val="18"/>
                <w:highlight w:val="none"/>
              </w:rPr>
            </w:pPr>
          </w:p>
        </w:tc>
        <w:tc>
          <w:tcPr>
            <w:tcW w:w="694" w:type="pct"/>
            <w:tcBorders>
              <w:top w:val="single" w:color="auto" w:sz="6" w:space="0"/>
              <w:left w:val="single" w:color="auto" w:sz="6" w:space="0"/>
              <w:bottom w:val="single" w:color="auto" w:sz="6" w:space="0"/>
              <w:right w:val="single" w:color="auto" w:sz="6" w:space="0"/>
            </w:tcBorders>
            <w:noWrap w:val="0"/>
            <w:vAlign w:val="center"/>
          </w:tcPr>
          <w:p w14:paraId="321B6445">
            <w:pPr>
              <w:autoSpaceDE w:val="0"/>
              <w:autoSpaceDN w:val="0"/>
              <w:adjustRightInd w:val="0"/>
              <w:spacing w:line="360" w:lineRule="exact"/>
              <w:jc w:val="center"/>
              <w:rPr>
                <w:rFonts w:hint="eastAsia" w:ascii="宋体" w:hAnsi="宋体" w:eastAsia="宋体" w:cs="宋体"/>
                <w:sz w:val="18"/>
                <w:szCs w:val="18"/>
                <w:highlight w:val="none"/>
              </w:rPr>
            </w:pPr>
          </w:p>
        </w:tc>
        <w:tc>
          <w:tcPr>
            <w:tcW w:w="837" w:type="pct"/>
            <w:tcBorders>
              <w:top w:val="single" w:color="auto" w:sz="6" w:space="0"/>
              <w:left w:val="single" w:color="auto" w:sz="6" w:space="0"/>
              <w:bottom w:val="single" w:color="auto" w:sz="6" w:space="0"/>
              <w:right w:val="single" w:color="auto" w:sz="6" w:space="0"/>
            </w:tcBorders>
            <w:noWrap w:val="0"/>
            <w:vAlign w:val="center"/>
          </w:tcPr>
          <w:p w14:paraId="78B332E6">
            <w:pPr>
              <w:autoSpaceDE w:val="0"/>
              <w:autoSpaceDN w:val="0"/>
              <w:adjustRightInd w:val="0"/>
              <w:spacing w:line="340" w:lineRule="exact"/>
              <w:rPr>
                <w:rFonts w:hint="eastAsia" w:ascii="宋体" w:hAnsi="宋体" w:eastAsia="宋体" w:cs="宋体"/>
                <w:sz w:val="18"/>
                <w:szCs w:val="18"/>
                <w:highlight w:val="none"/>
              </w:rPr>
            </w:pPr>
          </w:p>
        </w:tc>
      </w:tr>
      <w:tr w14:paraId="79F52AB5">
        <w:tblPrEx>
          <w:tblCellMar>
            <w:top w:w="0" w:type="dxa"/>
            <w:left w:w="108" w:type="dxa"/>
            <w:bottom w:w="0" w:type="dxa"/>
            <w:right w:w="108" w:type="dxa"/>
          </w:tblCellMar>
        </w:tblPrEx>
        <w:trPr>
          <w:trHeight w:val="1018" w:hRule="atLeast"/>
        </w:trPr>
        <w:tc>
          <w:tcPr>
            <w:tcW w:w="423" w:type="pct"/>
            <w:tcBorders>
              <w:top w:val="single" w:color="auto" w:sz="6" w:space="0"/>
              <w:left w:val="single" w:color="auto" w:sz="6" w:space="0"/>
              <w:bottom w:val="single" w:color="auto" w:sz="6" w:space="0"/>
              <w:right w:val="single" w:color="auto" w:sz="6" w:space="0"/>
            </w:tcBorders>
            <w:noWrap w:val="0"/>
            <w:vAlign w:val="center"/>
          </w:tcPr>
          <w:p w14:paraId="050F0829">
            <w:pPr>
              <w:autoSpaceDE w:val="0"/>
              <w:autoSpaceDN w:val="0"/>
              <w:adjustRightInd w:val="0"/>
              <w:spacing w:line="36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c>
          <w:tcPr>
            <w:tcW w:w="1694" w:type="pct"/>
            <w:gridSpan w:val="2"/>
            <w:tcBorders>
              <w:top w:val="single" w:color="auto" w:sz="6" w:space="0"/>
              <w:left w:val="single" w:color="auto" w:sz="6" w:space="0"/>
              <w:bottom w:val="single" w:color="auto" w:sz="6" w:space="0"/>
              <w:right w:val="single" w:color="auto" w:sz="6" w:space="0"/>
            </w:tcBorders>
            <w:noWrap w:val="0"/>
            <w:vAlign w:val="center"/>
          </w:tcPr>
          <w:p w14:paraId="4EC2D807">
            <w:pPr>
              <w:spacing w:line="360" w:lineRule="auto"/>
              <w:jc w:val="left"/>
              <w:rPr>
                <w:rFonts w:hint="eastAsia" w:ascii="宋体" w:hAnsi="宋体" w:eastAsia="宋体" w:cs="宋体"/>
                <w:sz w:val="18"/>
                <w:szCs w:val="18"/>
                <w:highlight w:val="none"/>
              </w:rPr>
            </w:pPr>
          </w:p>
        </w:tc>
        <w:tc>
          <w:tcPr>
            <w:tcW w:w="675" w:type="pct"/>
            <w:tcBorders>
              <w:top w:val="single" w:color="auto" w:sz="6" w:space="0"/>
              <w:left w:val="single" w:color="auto" w:sz="6" w:space="0"/>
              <w:bottom w:val="single" w:color="auto" w:sz="6" w:space="0"/>
              <w:right w:val="single" w:color="auto" w:sz="6" w:space="0"/>
            </w:tcBorders>
            <w:noWrap w:val="0"/>
            <w:vAlign w:val="center"/>
          </w:tcPr>
          <w:p w14:paraId="4EBAAD64">
            <w:pPr>
              <w:autoSpaceDE w:val="0"/>
              <w:autoSpaceDN w:val="0"/>
              <w:adjustRightInd w:val="0"/>
              <w:spacing w:line="360" w:lineRule="exact"/>
              <w:jc w:val="center"/>
              <w:rPr>
                <w:rFonts w:hint="eastAsia" w:ascii="宋体" w:hAnsi="宋体" w:eastAsia="宋体" w:cs="宋体"/>
                <w:sz w:val="18"/>
                <w:szCs w:val="18"/>
                <w:highlight w:val="none"/>
              </w:rPr>
            </w:pPr>
          </w:p>
        </w:tc>
        <w:tc>
          <w:tcPr>
            <w:tcW w:w="675" w:type="pct"/>
            <w:tcBorders>
              <w:top w:val="single" w:color="auto" w:sz="6" w:space="0"/>
              <w:left w:val="single" w:color="auto" w:sz="6" w:space="0"/>
              <w:bottom w:val="single" w:color="auto" w:sz="6" w:space="0"/>
              <w:right w:val="single" w:color="auto" w:sz="6" w:space="0"/>
            </w:tcBorders>
            <w:noWrap w:val="0"/>
            <w:vAlign w:val="center"/>
          </w:tcPr>
          <w:p w14:paraId="5E68F150">
            <w:pPr>
              <w:autoSpaceDE w:val="0"/>
              <w:autoSpaceDN w:val="0"/>
              <w:adjustRightInd w:val="0"/>
              <w:spacing w:line="360" w:lineRule="exact"/>
              <w:jc w:val="center"/>
              <w:rPr>
                <w:rFonts w:hint="eastAsia" w:ascii="宋体" w:hAnsi="宋体" w:eastAsia="宋体" w:cs="宋体"/>
                <w:sz w:val="18"/>
                <w:szCs w:val="18"/>
                <w:highlight w:val="none"/>
              </w:rPr>
            </w:pPr>
          </w:p>
        </w:tc>
        <w:tc>
          <w:tcPr>
            <w:tcW w:w="694" w:type="pct"/>
            <w:tcBorders>
              <w:top w:val="single" w:color="auto" w:sz="6" w:space="0"/>
              <w:left w:val="single" w:color="auto" w:sz="6" w:space="0"/>
              <w:bottom w:val="single" w:color="auto" w:sz="6" w:space="0"/>
              <w:right w:val="single" w:color="auto" w:sz="6" w:space="0"/>
            </w:tcBorders>
            <w:noWrap w:val="0"/>
            <w:vAlign w:val="center"/>
          </w:tcPr>
          <w:p w14:paraId="74095367">
            <w:pPr>
              <w:autoSpaceDE w:val="0"/>
              <w:autoSpaceDN w:val="0"/>
              <w:adjustRightInd w:val="0"/>
              <w:spacing w:line="360" w:lineRule="exact"/>
              <w:jc w:val="center"/>
              <w:rPr>
                <w:rFonts w:hint="eastAsia" w:ascii="宋体" w:hAnsi="宋体" w:eastAsia="宋体" w:cs="宋体"/>
                <w:sz w:val="18"/>
                <w:szCs w:val="18"/>
                <w:highlight w:val="none"/>
              </w:rPr>
            </w:pPr>
          </w:p>
        </w:tc>
        <w:tc>
          <w:tcPr>
            <w:tcW w:w="837" w:type="pct"/>
            <w:tcBorders>
              <w:top w:val="single" w:color="auto" w:sz="6" w:space="0"/>
              <w:left w:val="single" w:color="auto" w:sz="6" w:space="0"/>
              <w:bottom w:val="single" w:color="auto" w:sz="6" w:space="0"/>
              <w:right w:val="single" w:color="auto" w:sz="6" w:space="0"/>
            </w:tcBorders>
            <w:noWrap w:val="0"/>
            <w:vAlign w:val="center"/>
          </w:tcPr>
          <w:p w14:paraId="2D9DC76C">
            <w:pPr>
              <w:autoSpaceDE w:val="0"/>
              <w:autoSpaceDN w:val="0"/>
              <w:adjustRightInd w:val="0"/>
              <w:spacing w:line="340" w:lineRule="exact"/>
              <w:rPr>
                <w:rFonts w:hint="eastAsia" w:ascii="宋体" w:hAnsi="宋体" w:eastAsia="宋体" w:cs="宋体"/>
                <w:sz w:val="18"/>
                <w:szCs w:val="18"/>
                <w:highlight w:val="none"/>
              </w:rPr>
            </w:pPr>
          </w:p>
        </w:tc>
      </w:tr>
      <w:tr w14:paraId="22491C90">
        <w:tblPrEx>
          <w:tblCellMar>
            <w:top w:w="0" w:type="dxa"/>
            <w:left w:w="108" w:type="dxa"/>
            <w:bottom w:w="0" w:type="dxa"/>
            <w:right w:w="108" w:type="dxa"/>
          </w:tblCellMar>
        </w:tblPrEx>
        <w:trPr>
          <w:trHeight w:val="772" w:hRule="atLeast"/>
        </w:trPr>
        <w:tc>
          <w:tcPr>
            <w:tcW w:w="1039" w:type="pct"/>
            <w:gridSpan w:val="2"/>
            <w:tcBorders>
              <w:top w:val="single" w:color="auto" w:sz="6" w:space="0"/>
              <w:left w:val="single" w:color="auto" w:sz="6" w:space="0"/>
              <w:bottom w:val="single" w:color="auto" w:sz="6" w:space="0"/>
              <w:right w:val="single" w:color="auto" w:sz="4" w:space="0"/>
            </w:tcBorders>
            <w:noWrap w:val="0"/>
            <w:vAlign w:val="center"/>
          </w:tcPr>
          <w:p w14:paraId="63BBDA0B">
            <w:pPr>
              <w:autoSpaceDE w:val="0"/>
              <w:autoSpaceDN w:val="0"/>
              <w:adjustRightInd w:val="0"/>
              <w:spacing w:line="360" w:lineRule="auto"/>
              <w:jc w:val="center"/>
              <w:rPr>
                <w:rFonts w:hint="eastAsia" w:ascii="宋体" w:hAnsi="宋体" w:eastAsia="宋体" w:cs="宋体"/>
                <w:sz w:val="18"/>
                <w:szCs w:val="18"/>
                <w:highlight w:val="none"/>
                <w:lang w:val="zh-CN"/>
              </w:rPr>
            </w:pPr>
            <w:r>
              <w:rPr>
                <w:rFonts w:hint="eastAsia" w:ascii="宋体" w:hAnsi="宋体" w:eastAsia="宋体" w:cs="宋体"/>
                <w:sz w:val="18"/>
                <w:szCs w:val="18"/>
                <w:highlight w:val="none"/>
              </w:rPr>
              <w:t>总报价（小写）</w:t>
            </w:r>
          </w:p>
        </w:tc>
        <w:tc>
          <w:tcPr>
            <w:tcW w:w="3960" w:type="pct"/>
            <w:gridSpan w:val="5"/>
            <w:tcBorders>
              <w:top w:val="single" w:color="auto" w:sz="6" w:space="0"/>
              <w:left w:val="single" w:color="auto" w:sz="4" w:space="0"/>
              <w:bottom w:val="single" w:color="auto" w:sz="6" w:space="0"/>
              <w:right w:val="single" w:color="auto" w:sz="6" w:space="0"/>
            </w:tcBorders>
            <w:noWrap w:val="0"/>
            <w:vAlign w:val="center"/>
          </w:tcPr>
          <w:p w14:paraId="22FAD9C3">
            <w:pPr>
              <w:autoSpaceDE w:val="0"/>
              <w:autoSpaceDN w:val="0"/>
              <w:adjustRightInd w:val="0"/>
              <w:spacing w:line="360" w:lineRule="auto"/>
              <w:rPr>
                <w:rFonts w:hint="eastAsia" w:ascii="宋体" w:hAnsi="宋体" w:eastAsia="宋体" w:cs="宋体"/>
                <w:sz w:val="18"/>
                <w:szCs w:val="18"/>
                <w:highlight w:val="none"/>
                <w:lang w:val="zh-CN"/>
              </w:rPr>
            </w:pPr>
          </w:p>
        </w:tc>
      </w:tr>
      <w:tr w14:paraId="1688C721">
        <w:tblPrEx>
          <w:tblCellMar>
            <w:top w:w="0" w:type="dxa"/>
            <w:left w:w="108" w:type="dxa"/>
            <w:bottom w:w="0" w:type="dxa"/>
            <w:right w:w="108" w:type="dxa"/>
          </w:tblCellMar>
        </w:tblPrEx>
        <w:trPr>
          <w:trHeight w:val="787" w:hRule="atLeast"/>
        </w:trPr>
        <w:tc>
          <w:tcPr>
            <w:tcW w:w="1039" w:type="pct"/>
            <w:gridSpan w:val="2"/>
            <w:tcBorders>
              <w:top w:val="single" w:color="auto" w:sz="6" w:space="0"/>
              <w:left w:val="single" w:color="auto" w:sz="6" w:space="0"/>
              <w:bottom w:val="single" w:color="auto" w:sz="6" w:space="0"/>
              <w:right w:val="single" w:color="auto" w:sz="4" w:space="0"/>
            </w:tcBorders>
            <w:noWrap w:val="0"/>
            <w:vAlign w:val="center"/>
          </w:tcPr>
          <w:p w14:paraId="1DC6AFB9">
            <w:pPr>
              <w:autoSpaceDE w:val="0"/>
              <w:autoSpaceDN w:val="0"/>
              <w:adjustRightInd w:val="0"/>
              <w:spacing w:line="36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总报价（大写）</w:t>
            </w:r>
          </w:p>
        </w:tc>
        <w:tc>
          <w:tcPr>
            <w:tcW w:w="3960" w:type="pct"/>
            <w:gridSpan w:val="5"/>
            <w:tcBorders>
              <w:top w:val="single" w:color="auto" w:sz="6" w:space="0"/>
              <w:left w:val="single" w:color="auto" w:sz="4" w:space="0"/>
              <w:bottom w:val="single" w:color="auto" w:sz="6" w:space="0"/>
              <w:right w:val="single" w:color="auto" w:sz="6" w:space="0"/>
            </w:tcBorders>
            <w:noWrap w:val="0"/>
            <w:vAlign w:val="center"/>
          </w:tcPr>
          <w:p w14:paraId="78AA2E25">
            <w:pPr>
              <w:autoSpaceDE w:val="0"/>
              <w:autoSpaceDN w:val="0"/>
              <w:adjustRightInd w:val="0"/>
              <w:spacing w:line="360" w:lineRule="exact"/>
              <w:rPr>
                <w:rFonts w:hint="eastAsia" w:ascii="宋体" w:hAnsi="宋体" w:eastAsia="宋体" w:cs="宋体"/>
                <w:sz w:val="18"/>
                <w:szCs w:val="18"/>
                <w:highlight w:val="none"/>
              </w:rPr>
            </w:pPr>
          </w:p>
        </w:tc>
      </w:tr>
    </w:tbl>
    <w:p w14:paraId="2A65EBB5">
      <w:pPr>
        <w:autoSpaceDE w:val="0"/>
        <w:autoSpaceDN w:val="0"/>
        <w:adjustRightInd w:val="0"/>
        <w:spacing w:line="360" w:lineRule="auto"/>
        <w:jc w:val="left"/>
        <w:rPr>
          <w:rFonts w:hint="eastAsia" w:ascii="宋体" w:hAnsi="宋体" w:eastAsia="宋体" w:cs="宋体"/>
          <w:sz w:val="18"/>
          <w:szCs w:val="18"/>
          <w:highlight w:val="none"/>
          <w:lang w:val="en-US" w:eastAsia="zh-CN"/>
        </w:rPr>
      </w:pPr>
      <w:r>
        <w:rPr>
          <w:rFonts w:hint="eastAsia" w:ascii="汉仪中楷简" w:hAnsi="汉仪中楷简" w:eastAsia="汉仪中楷简" w:cs="汉仪中楷简"/>
          <w:sz w:val="28"/>
          <w:highlight w:val="none"/>
          <w:lang w:val="en-US" w:eastAsia="zh-CN"/>
        </w:rPr>
        <w:t xml:space="preserve"> </w:t>
      </w:r>
      <w:r>
        <w:rPr>
          <w:rFonts w:hint="eastAsia" w:ascii="宋体" w:hAnsi="宋体" w:eastAsia="宋体" w:cs="宋体"/>
          <w:sz w:val="18"/>
          <w:szCs w:val="18"/>
          <w:highlight w:val="none"/>
          <w:lang w:val="en-US" w:eastAsia="zh-CN"/>
        </w:rPr>
        <w:t xml:space="preserve"> 注： </w:t>
      </w:r>
    </w:p>
    <w:p w14:paraId="7C798845">
      <w:pPr>
        <w:autoSpaceDE w:val="0"/>
        <w:autoSpaceDN w:val="0"/>
        <w:adjustRightInd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1.供应商的报价表必须加盖供应商公章并由法定代表人或者委托代理人签字，否则其响应文件按无效响应处理。</w:t>
      </w:r>
    </w:p>
    <w:p w14:paraId="137C8F80">
      <w:pPr>
        <w:autoSpaceDE w:val="0"/>
        <w:autoSpaceDN w:val="0"/>
        <w:adjustRightInd w:val="0"/>
        <w:spacing w:line="360"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2.报价一经涂改，应在涂改处加盖供应商公章或者由法定代表人或者委托代理人签字或者盖章，否则其响应文件按无效响应处理。</w:t>
      </w:r>
    </w:p>
    <w:p w14:paraId="4B5F8143">
      <w:pPr>
        <w:spacing w:line="600" w:lineRule="exact"/>
        <w:ind w:firstLine="3360" w:firstLineChars="1200"/>
        <w:rPr>
          <w:rFonts w:hint="eastAsia" w:ascii="汉仪中楷简" w:hAnsi="汉仪中楷简" w:eastAsia="汉仪中楷简" w:cs="汉仪中楷简"/>
          <w:sz w:val="28"/>
          <w:highlight w:val="none"/>
        </w:rPr>
      </w:pPr>
    </w:p>
    <w:p w14:paraId="6D3BEEFE">
      <w:pPr>
        <w:spacing w:line="360" w:lineRule="auto"/>
        <w:ind w:firstLine="3600" w:firstLineChars="1500"/>
        <w:rPr>
          <w:rFonts w:hint="eastAsia" w:ascii="汉仪中楷简" w:hAnsi="汉仪中楷简" w:eastAsia="汉仪中楷简" w:cs="汉仪中楷简"/>
          <w:sz w:val="24"/>
          <w:highlight w:val="none"/>
        </w:rPr>
      </w:pPr>
      <w:r>
        <w:rPr>
          <w:rFonts w:hint="eastAsia" w:ascii="汉仪中楷简" w:hAnsi="汉仪中楷简" w:eastAsia="汉仪中楷简" w:cs="汉仪中楷简"/>
          <w:sz w:val="24"/>
          <w:highlight w:val="none"/>
        </w:rPr>
        <w:t xml:space="preserve">供应商（盖章）：                </w:t>
      </w:r>
    </w:p>
    <w:p w14:paraId="2327D2D3">
      <w:pPr>
        <w:spacing w:line="360" w:lineRule="auto"/>
        <w:ind w:firstLine="3600" w:firstLineChars="1500"/>
        <w:rPr>
          <w:rFonts w:hint="eastAsia" w:ascii="汉仪中楷简" w:hAnsi="汉仪中楷简" w:eastAsia="汉仪中楷简" w:cs="汉仪中楷简"/>
          <w:sz w:val="24"/>
          <w:highlight w:val="none"/>
        </w:rPr>
      </w:pPr>
      <w:r>
        <w:rPr>
          <w:rFonts w:hint="eastAsia" w:ascii="汉仪中楷简" w:hAnsi="汉仪中楷简" w:eastAsia="汉仪中楷简" w:cs="汉仪中楷简"/>
          <w:sz w:val="24"/>
          <w:highlight w:val="none"/>
        </w:rPr>
        <w:t>法定代表人或其委托代理人（签字或盖章）：</w:t>
      </w:r>
    </w:p>
    <w:p w14:paraId="6DCE01E3">
      <w:pPr>
        <w:spacing w:line="360" w:lineRule="auto"/>
        <w:ind w:firstLine="3600" w:firstLineChars="1500"/>
        <w:jc w:val="both"/>
        <w:rPr>
          <w:rFonts w:hint="eastAsia" w:ascii="汉仪中楷简" w:hAnsi="汉仪中楷简" w:eastAsia="汉仪中楷简" w:cs="汉仪中楷简"/>
          <w:kern w:val="0"/>
          <w:sz w:val="24"/>
          <w:highlight w:val="none"/>
        </w:rPr>
      </w:pPr>
      <w:r>
        <w:rPr>
          <w:rFonts w:hint="eastAsia" w:ascii="汉仪中楷简" w:hAnsi="汉仪中楷简" w:eastAsia="汉仪中楷简" w:cs="汉仪中楷简"/>
          <w:sz w:val="24"/>
          <w:highlight w:val="none"/>
        </w:rPr>
        <w:t>年   月   日</w:t>
      </w:r>
    </w:p>
    <w:p w14:paraId="7D51848A">
      <w:pPr>
        <w:pStyle w:val="21"/>
        <w:keepNext w:val="0"/>
        <w:keepLines w:val="0"/>
        <w:widowControl/>
        <w:suppressLineNumbers w:val="0"/>
        <w:rPr>
          <w:rFonts w:hint="eastAsia" w:ascii="汉仪中宋简" w:hAnsi="汉仪中宋简" w:eastAsia="汉仪中宋简" w:cs="汉仪中宋简"/>
          <w:sz w:val="21"/>
          <w:szCs w:val="21"/>
          <w:highlight w:val="none"/>
        </w:rPr>
      </w:pPr>
    </w:p>
    <w:p w14:paraId="6C9240EF">
      <w:pPr>
        <w:pStyle w:val="23"/>
        <w:rPr>
          <w:rFonts w:hint="eastAsia"/>
          <w:highlight w:val="none"/>
          <w:lang w:eastAsia="zh-CN"/>
        </w:rPr>
      </w:pPr>
    </w:p>
    <w:p w14:paraId="29735AAA">
      <w:pPr>
        <w:pStyle w:val="19"/>
        <w:rPr>
          <w:rFonts w:hint="eastAsia"/>
          <w:highlight w:val="none"/>
          <w:lang w:eastAsia="zh-CN"/>
        </w:rPr>
      </w:pPr>
    </w:p>
    <w:p w14:paraId="635671D3">
      <w:pPr>
        <w:widowControl/>
        <w:jc w:val="left"/>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服务</w:t>
      </w:r>
      <w:r>
        <w:rPr>
          <w:rFonts w:hint="eastAsia" w:ascii="仿宋" w:hAnsi="仿宋" w:eastAsia="仿宋" w:cs="仿宋"/>
          <w:bCs/>
          <w:sz w:val="28"/>
          <w:szCs w:val="28"/>
          <w:highlight w:val="none"/>
          <w:lang w:eastAsia="zh-CN"/>
        </w:rPr>
        <w:t>项目报价</w:t>
      </w:r>
      <w:r>
        <w:rPr>
          <w:rFonts w:hint="eastAsia" w:ascii="仿宋" w:hAnsi="仿宋" w:eastAsia="仿宋" w:cs="仿宋"/>
          <w:bCs/>
          <w:sz w:val="28"/>
          <w:szCs w:val="28"/>
          <w:highlight w:val="none"/>
          <w:lang w:val="en-US" w:eastAsia="zh-CN"/>
        </w:rPr>
        <w:t>表格式</w:t>
      </w:r>
    </w:p>
    <w:p w14:paraId="4F66CEA7">
      <w:pPr>
        <w:widowControl/>
        <w:jc w:val="left"/>
        <w:rPr>
          <w:rFonts w:hint="default" w:ascii="仿宋" w:hAnsi="仿宋" w:eastAsia="仿宋" w:cs="仿宋"/>
          <w:bCs/>
          <w:sz w:val="28"/>
          <w:szCs w:val="28"/>
          <w:highlight w:val="none"/>
          <w:lang w:val="en-US" w:eastAsia="zh-CN"/>
        </w:rPr>
      </w:pPr>
    </w:p>
    <w:p w14:paraId="08E93FD7">
      <w:pPr>
        <w:pStyle w:val="19"/>
        <w:rPr>
          <w:rFonts w:hint="default"/>
          <w:highlight w:val="none"/>
          <w:lang w:val="en-US" w:eastAsia="zh-CN"/>
        </w:rPr>
      </w:pPr>
    </w:p>
    <w:p w14:paraId="3EF37BB5">
      <w:pPr>
        <w:spacing w:line="520" w:lineRule="exact"/>
        <w:jc w:val="center"/>
        <w:rPr>
          <w:rFonts w:hint="eastAsia" w:ascii="仿宋" w:eastAsia="仿宋" w:cs="仿宋"/>
          <w:bCs/>
          <w:color w:val="auto"/>
          <w:sz w:val="32"/>
          <w:szCs w:val="32"/>
          <w:highlight w:val="none"/>
          <w:lang w:eastAsia="zh-CN"/>
        </w:rPr>
      </w:pPr>
      <w:r>
        <w:rPr>
          <w:rFonts w:hint="eastAsia" w:ascii="仿宋" w:eastAsia="仿宋" w:cs="仿宋"/>
          <w:bCs/>
          <w:color w:val="auto"/>
          <w:sz w:val="44"/>
          <w:szCs w:val="44"/>
          <w:highlight w:val="none"/>
        </w:rPr>
        <w:t>报  价  表</w:t>
      </w:r>
      <w:r>
        <w:rPr>
          <w:rFonts w:hint="eastAsia" w:ascii="仿宋" w:eastAsia="仿宋" w:cs="仿宋"/>
          <w:bCs/>
          <w:color w:val="auto"/>
          <w:sz w:val="44"/>
          <w:szCs w:val="44"/>
          <w:highlight w:val="none"/>
          <w:lang w:eastAsia="zh-CN"/>
        </w:rPr>
        <w:t>（服务项目）</w:t>
      </w:r>
    </w:p>
    <w:p w14:paraId="387E1F02">
      <w:pPr>
        <w:spacing w:line="440" w:lineRule="exact"/>
        <w:jc w:val="center"/>
        <w:rPr>
          <w:rFonts w:hint="eastAsia" w:ascii="仿宋" w:eastAsia="仿宋" w:cs="仿宋"/>
          <w:bCs/>
          <w:color w:val="auto"/>
          <w:sz w:val="32"/>
          <w:szCs w:val="32"/>
          <w:highlight w:val="none"/>
        </w:rPr>
      </w:pPr>
    </w:p>
    <w:p w14:paraId="27C9E48F">
      <w:pPr>
        <w:spacing w:line="360" w:lineRule="auto"/>
        <w:contextualSpacing/>
        <w:rPr>
          <w:rFonts w:hint="eastAsia" w:ascii="仿宋" w:eastAsia="仿宋" w:cs="仿宋"/>
          <w:color w:val="auto"/>
          <w:sz w:val="24"/>
          <w:highlight w:val="none"/>
        </w:rPr>
      </w:pPr>
      <w:r>
        <w:rPr>
          <w:rFonts w:hint="eastAsia" w:ascii="仿宋" w:eastAsia="仿宋" w:cs="仿宋"/>
          <w:color w:val="auto"/>
          <w:sz w:val="24"/>
          <w:highlight w:val="none"/>
        </w:rPr>
        <w:t xml:space="preserve">                                                单位：元</w:t>
      </w:r>
    </w:p>
    <w:p w14:paraId="215D1527">
      <w:pPr>
        <w:spacing w:line="360" w:lineRule="auto"/>
        <w:contextualSpacing/>
        <w:rPr>
          <w:rFonts w:hint="eastAsia" w:ascii="仿宋" w:eastAsia="仿宋" w:cs="仿宋"/>
          <w:color w:val="auto"/>
          <w:sz w:val="24"/>
          <w:highlight w:val="none"/>
        </w:rPr>
      </w:pPr>
    </w:p>
    <w:tbl>
      <w:tblPr>
        <w:tblStyle w:val="25"/>
        <w:tblW w:w="4998" w:type="pct"/>
        <w:tblInd w:w="0" w:type="dxa"/>
        <w:tblLayout w:type="autofit"/>
        <w:tblCellMar>
          <w:top w:w="0" w:type="dxa"/>
          <w:left w:w="0" w:type="dxa"/>
          <w:bottom w:w="0" w:type="dxa"/>
          <w:right w:w="0" w:type="dxa"/>
        </w:tblCellMar>
      </w:tblPr>
      <w:tblGrid>
        <w:gridCol w:w="686"/>
        <w:gridCol w:w="2337"/>
        <w:gridCol w:w="1181"/>
        <w:gridCol w:w="1631"/>
        <w:gridCol w:w="1865"/>
        <w:gridCol w:w="1332"/>
      </w:tblGrid>
      <w:tr w14:paraId="6CEBC698">
        <w:tblPrEx>
          <w:tblCellMar>
            <w:top w:w="0" w:type="dxa"/>
            <w:left w:w="0" w:type="dxa"/>
            <w:bottom w:w="0" w:type="dxa"/>
            <w:right w:w="0" w:type="dxa"/>
          </w:tblCellMar>
        </w:tblPrEx>
        <w:tc>
          <w:tcPr>
            <w:tcW w:w="38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978044">
            <w:pPr>
              <w:spacing w:before="156" w:after="156"/>
              <w:jc w:val="center"/>
              <w:rPr>
                <w:rFonts w:hint="eastAsia" w:ascii="宋体"/>
                <w:color w:val="auto"/>
                <w:sz w:val="24"/>
                <w:highlight w:val="none"/>
              </w:rPr>
            </w:pPr>
            <w:r>
              <w:rPr>
                <w:rFonts w:hint="eastAsia" w:ascii="宋体"/>
                <w:color w:val="auto"/>
                <w:sz w:val="24"/>
                <w:highlight w:val="none"/>
              </w:rPr>
              <w:t>项号</w:t>
            </w:r>
          </w:p>
        </w:tc>
        <w:tc>
          <w:tcPr>
            <w:tcW w:w="129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4CC80E">
            <w:pPr>
              <w:spacing w:before="156" w:after="156"/>
              <w:jc w:val="center"/>
              <w:rPr>
                <w:rFonts w:hint="eastAsia" w:ascii="宋体"/>
                <w:color w:val="auto"/>
                <w:sz w:val="24"/>
                <w:highlight w:val="none"/>
              </w:rPr>
            </w:pPr>
            <w:r>
              <w:rPr>
                <w:rFonts w:hint="eastAsia" w:ascii="宋体"/>
                <w:color w:val="auto"/>
                <w:sz w:val="24"/>
                <w:highlight w:val="none"/>
              </w:rPr>
              <w:t>服务项目名称</w:t>
            </w:r>
          </w:p>
        </w:tc>
        <w:tc>
          <w:tcPr>
            <w:tcW w:w="65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C35197">
            <w:pPr>
              <w:spacing w:before="156" w:after="156"/>
              <w:jc w:val="center"/>
              <w:rPr>
                <w:rFonts w:hint="eastAsia" w:ascii="宋体"/>
                <w:color w:val="auto"/>
                <w:sz w:val="24"/>
                <w:highlight w:val="none"/>
              </w:rPr>
            </w:pPr>
            <w:r>
              <w:rPr>
                <w:rFonts w:hint="eastAsia" w:ascii="宋体"/>
                <w:color w:val="auto"/>
                <w:sz w:val="24"/>
                <w:highlight w:val="none"/>
              </w:rPr>
              <w:t>数量</w:t>
            </w:r>
          </w:p>
          <w:p w14:paraId="69CF0E6F">
            <w:pPr>
              <w:spacing w:before="156" w:after="156"/>
              <w:jc w:val="center"/>
              <w:rPr>
                <w:rFonts w:hint="eastAsia" w:ascii="宋体"/>
                <w:color w:val="auto"/>
                <w:sz w:val="24"/>
                <w:highlight w:val="none"/>
              </w:rPr>
            </w:pPr>
            <w:r>
              <w:rPr>
                <w:rFonts w:hint="eastAsia" w:ascii="宋体"/>
                <w:color w:val="auto"/>
                <w:sz w:val="24"/>
                <w:highlight w:val="none"/>
              </w:rPr>
              <w:t>①</w:t>
            </w:r>
          </w:p>
        </w:tc>
        <w:tc>
          <w:tcPr>
            <w:tcW w:w="90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6CFA20">
            <w:pPr>
              <w:spacing w:before="156" w:after="156"/>
              <w:jc w:val="center"/>
              <w:rPr>
                <w:rFonts w:hint="eastAsia" w:ascii="宋体"/>
                <w:color w:val="auto"/>
                <w:sz w:val="24"/>
                <w:highlight w:val="none"/>
              </w:rPr>
            </w:pPr>
            <w:r>
              <w:rPr>
                <w:rFonts w:hint="eastAsia" w:ascii="宋体"/>
                <w:color w:val="auto"/>
                <w:sz w:val="24"/>
                <w:highlight w:val="none"/>
              </w:rPr>
              <w:t>单价（元）</w:t>
            </w:r>
          </w:p>
          <w:p w14:paraId="4192CF45">
            <w:pPr>
              <w:spacing w:before="156" w:after="156"/>
              <w:jc w:val="center"/>
              <w:rPr>
                <w:rFonts w:hint="eastAsia" w:ascii="宋体"/>
                <w:color w:val="auto"/>
                <w:sz w:val="24"/>
                <w:highlight w:val="none"/>
              </w:rPr>
            </w:pPr>
            <w:r>
              <w:rPr>
                <w:rFonts w:hint="eastAsia" w:ascii="宋体"/>
                <w:color w:val="auto"/>
                <w:sz w:val="24"/>
                <w:highlight w:val="none"/>
              </w:rPr>
              <w:t>②</w:t>
            </w:r>
          </w:p>
        </w:tc>
        <w:tc>
          <w:tcPr>
            <w:tcW w:w="103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FBA0EC">
            <w:pPr>
              <w:spacing w:before="156" w:after="156"/>
              <w:jc w:val="center"/>
              <w:rPr>
                <w:rFonts w:hint="eastAsia" w:ascii="宋体"/>
                <w:color w:val="auto"/>
                <w:sz w:val="24"/>
                <w:highlight w:val="none"/>
              </w:rPr>
            </w:pPr>
            <w:r>
              <w:rPr>
                <w:rFonts w:hint="eastAsia" w:ascii="宋体"/>
                <w:color w:val="auto"/>
                <w:sz w:val="24"/>
                <w:highlight w:val="none"/>
              </w:rPr>
              <w:t>单项合价（元）</w:t>
            </w:r>
          </w:p>
          <w:p w14:paraId="3068006E">
            <w:pPr>
              <w:spacing w:before="156" w:after="156"/>
              <w:jc w:val="center"/>
              <w:rPr>
                <w:rFonts w:hint="eastAsia" w:ascii="宋体"/>
                <w:color w:val="auto"/>
                <w:sz w:val="24"/>
                <w:highlight w:val="none"/>
              </w:rPr>
            </w:pPr>
            <w:r>
              <w:rPr>
                <w:rFonts w:hint="eastAsia" w:ascii="宋体"/>
                <w:color w:val="auto"/>
                <w:sz w:val="24"/>
                <w:highlight w:val="none"/>
              </w:rPr>
              <w:t>③=①×②</w:t>
            </w:r>
          </w:p>
        </w:tc>
        <w:tc>
          <w:tcPr>
            <w:tcW w:w="7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F74C6">
            <w:pPr>
              <w:spacing w:before="156" w:after="156"/>
              <w:jc w:val="center"/>
              <w:rPr>
                <w:rFonts w:hint="eastAsia" w:ascii="宋体"/>
                <w:color w:val="auto"/>
                <w:sz w:val="24"/>
                <w:highlight w:val="none"/>
              </w:rPr>
            </w:pPr>
            <w:r>
              <w:rPr>
                <w:rFonts w:hint="eastAsia" w:ascii="宋体"/>
                <w:color w:val="auto"/>
                <w:sz w:val="24"/>
                <w:highlight w:val="none"/>
              </w:rPr>
              <w:t>备注</w:t>
            </w:r>
          </w:p>
        </w:tc>
      </w:tr>
      <w:tr w14:paraId="4943D1AE">
        <w:tblPrEx>
          <w:tblCellMar>
            <w:top w:w="0" w:type="dxa"/>
            <w:left w:w="0" w:type="dxa"/>
            <w:bottom w:w="0" w:type="dxa"/>
            <w:right w:w="0" w:type="dxa"/>
          </w:tblCellMar>
        </w:tblPrEx>
        <w:trPr>
          <w:trHeight w:val="1725" w:hRule="atLeast"/>
        </w:trPr>
        <w:tc>
          <w:tcPr>
            <w:tcW w:w="38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5A6172">
            <w:pPr>
              <w:spacing w:line="400" w:lineRule="exact"/>
              <w:jc w:val="center"/>
              <w:rPr>
                <w:rFonts w:hint="eastAsia" w:ascii="宋体"/>
                <w:color w:val="auto"/>
                <w:sz w:val="24"/>
                <w:highlight w:val="none"/>
              </w:rPr>
            </w:pPr>
            <w:r>
              <w:rPr>
                <w:rFonts w:hint="eastAsia" w:ascii="宋体"/>
                <w:color w:val="auto"/>
                <w:sz w:val="24"/>
                <w:highlight w:val="none"/>
              </w:rPr>
              <w:t>1</w:t>
            </w:r>
          </w:p>
        </w:tc>
        <w:tc>
          <w:tcPr>
            <w:tcW w:w="129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FAA9A9">
            <w:pPr>
              <w:spacing w:line="370" w:lineRule="exact"/>
              <w:jc w:val="center"/>
              <w:rPr>
                <w:rFonts w:hint="eastAsia" w:ascii="宋体" w:eastAsia="宋体"/>
                <w:color w:val="auto"/>
                <w:sz w:val="24"/>
                <w:highlight w:val="none"/>
                <w:lang w:eastAsia="zh-CN"/>
              </w:rPr>
            </w:pPr>
          </w:p>
        </w:tc>
        <w:tc>
          <w:tcPr>
            <w:tcW w:w="65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D5F65">
            <w:pPr>
              <w:spacing w:line="370" w:lineRule="exact"/>
              <w:jc w:val="center"/>
              <w:rPr>
                <w:rFonts w:hint="eastAsia" w:ascii="宋体"/>
                <w:color w:val="auto"/>
                <w:sz w:val="24"/>
                <w:highlight w:val="none"/>
              </w:rPr>
            </w:pPr>
          </w:p>
        </w:tc>
        <w:tc>
          <w:tcPr>
            <w:tcW w:w="90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4357A1">
            <w:pPr>
              <w:spacing w:before="156" w:after="156"/>
              <w:rPr>
                <w:rFonts w:hint="eastAsia" w:ascii="宋体"/>
                <w:color w:val="auto"/>
                <w:sz w:val="24"/>
                <w:highlight w:val="none"/>
              </w:rPr>
            </w:pPr>
          </w:p>
        </w:tc>
        <w:tc>
          <w:tcPr>
            <w:tcW w:w="103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623923">
            <w:pPr>
              <w:spacing w:before="156" w:after="156"/>
              <w:rPr>
                <w:rFonts w:hint="eastAsia" w:ascii="宋体"/>
                <w:color w:val="auto"/>
                <w:sz w:val="24"/>
                <w:highlight w:val="none"/>
              </w:rPr>
            </w:pPr>
          </w:p>
        </w:tc>
        <w:tc>
          <w:tcPr>
            <w:tcW w:w="73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9C8CE7">
            <w:pPr>
              <w:spacing w:before="156" w:after="156"/>
              <w:rPr>
                <w:rFonts w:hint="eastAsia" w:ascii="宋体"/>
                <w:color w:val="auto"/>
                <w:sz w:val="24"/>
                <w:highlight w:val="none"/>
              </w:rPr>
            </w:pPr>
          </w:p>
        </w:tc>
      </w:tr>
      <w:tr w14:paraId="6942249D">
        <w:tblPrEx>
          <w:tblCellMar>
            <w:top w:w="0" w:type="dxa"/>
            <w:left w:w="0" w:type="dxa"/>
            <w:bottom w:w="0" w:type="dxa"/>
            <w:right w:w="0" w:type="dxa"/>
          </w:tblCellMar>
        </w:tblPrEx>
        <w:trPr>
          <w:trHeight w:val="905" w:hRule="atLeast"/>
        </w:trPr>
        <w:tc>
          <w:tcPr>
            <w:tcW w:w="5000" w:type="pct"/>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14:paraId="109F3200">
            <w:pPr>
              <w:spacing w:before="156" w:after="156"/>
              <w:rPr>
                <w:rFonts w:hint="eastAsia" w:ascii="宋体"/>
                <w:color w:val="auto"/>
                <w:sz w:val="24"/>
                <w:highlight w:val="none"/>
              </w:rPr>
            </w:pPr>
            <w:r>
              <w:rPr>
                <w:rFonts w:hint="eastAsia" w:ascii="宋体"/>
                <w:color w:val="auto"/>
                <w:sz w:val="24"/>
                <w:highlight w:val="none"/>
              </w:rPr>
              <w:t>总报价（人民币大写）：                          （￥             元）</w:t>
            </w:r>
          </w:p>
        </w:tc>
      </w:tr>
    </w:tbl>
    <w:p w14:paraId="4648E73E">
      <w:pPr>
        <w:spacing w:line="360" w:lineRule="auto"/>
        <w:contextualSpacing/>
        <w:jc w:val="left"/>
        <w:rPr>
          <w:rFonts w:hint="eastAsia" w:ascii="仿宋" w:eastAsia="仿宋" w:cs="仿宋"/>
          <w:color w:val="auto"/>
          <w:sz w:val="24"/>
          <w:highlight w:val="none"/>
        </w:rPr>
      </w:pPr>
    </w:p>
    <w:p w14:paraId="54FCC278">
      <w:pPr>
        <w:spacing w:line="360" w:lineRule="auto"/>
        <w:contextualSpacing/>
        <w:jc w:val="left"/>
        <w:rPr>
          <w:rFonts w:hint="eastAsia" w:ascii="仿宋" w:eastAsia="仿宋" w:cs="仿宋"/>
          <w:color w:val="auto"/>
          <w:sz w:val="24"/>
          <w:highlight w:val="none"/>
        </w:rPr>
      </w:pPr>
      <w:r>
        <w:rPr>
          <w:rFonts w:hint="eastAsia" w:ascii="仿宋" w:eastAsia="仿宋" w:cs="仿宋"/>
          <w:color w:val="auto"/>
          <w:sz w:val="24"/>
          <w:highlight w:val="none"/>
        </w:rPr>
        <w:t xml:space="preserve">注： </w:t>
      </w:r>
    </w:p>
    <w:p w14:paraId="0DC38F59">
      <w:pPr>
        <w:spacing w:line="360" w:lineRule="auto"/>
        <w:ind w:firstLine="480" w:firstLineChars="200"/>
        <w:contextualSpacing/>
        <w:jc w:val="left"/>
        <w:rPr>
          <w:rFonts w:hint="eastAsia" w:ascii="仿宋" w:eastAsia="仿宋" w:cs="仿宋"/>
          <w:color w:val="auto"/>
          <w:sz w:val="24"/>
          <w:highlight w:val="none"/>
        </w:rPr>
      </w:pPr>
      <w:r>
        <w:rPr>
          <w:rFonts w:hint="eastAsia" w:ascii="仿宋" w:eastAsia="仿宋" w:cs="仿宋"/>
          <w:color w:val="auto"/>
          <w:sz w:val="24"/>
          <w:highlight w:val="none"/>
        </w:rPr>
        <w:t>1.供应商的报价表必须加盖供应商公章并由法定代表人或者委托代理人签字，</w:t>
      </w:r>
      <w:r>
        <w:rPr>
          <w:rFonts w:hint="eastAsia" w:ascii="仿宋" w:eastAsia="仿宋" w:cs="仿宋"/>
          <w:b/>
          <w:color w:val="auto"/>
          <w:sz w:val="24"/>
          <w:highlight w:val="none"/>
        </w:rPr>
        <w:t>否则其响应文件按无效响应处理</w:t>
      </w:r>
      <w:r>
        <w:rPr>
          <w:rFonts w:hint="eastAsia" w:ascii="仿宋" w:eastAsia="仿宋" w:cs="仿宋"/>
          <w:color w:val="auto"/>
          <w:sz w:val="24"/>
          <w:highlight w:val="none"/>
        </w:rPr>
        <w:t>。</w:t>
      </w:r>
    </w:p>
    <w:p w14:paraId="26333666">
      <w:pPr>
        <w:spacing w:line="360" w:lineRule="auto"/>
        <w:ind w:firstLine="480" w:firstLineChars="200"/>
        <w:contextualSpacing/>
        <w:jc w:val="left"/>
        <w:rPr>
          <w:rFonts w:hint="eastAsia" w:ascii="仿宋" w:eastAsia="仿宋" w:cs="仿宋"/>
          <w:b/>
          <w:color w:val="auto"/>
          <w:sz w:val="24"/>
          <w:highlight w:val="none"/>
        </w:rPr>
      </w:pPr>
      <w:r>
        <w:rPr>
          <w:rFonts w:hint="eastAsia" w:ascii="仿宋" w:eastAsia="仿宋" w:cs="仿宋"/>
          <w:bCs/>
          <w:color w:val="auto"/>
          <w:sz w:val="24"/>
          <w:highlight w:val="none"/>
        </w:rPr>
        <w:t>2.</w:t>
      </w:r>
      <w:r>
        <w:rPr>
          <w:rFonts w:hint="eastAsia" w:ascii="仿宋" w:eastAsia="仿宋" w:cs="仿宋"/>
          <w:color w:val="auto"/>
          <w:sz w:val="24"/>
          <w:highlight w:val="none"/>
        </w:rPr>
        <w:t>报价一经涂改，应在涂改处加盖供应商公章或者由法定代表人或者委托代理人签字或者盖章</w:t>
      </w:r>
      <w:r>
        <w:rPr>
          <w:rFonts w:hint="eastAsia" w:ascii="仿宋" w:eastAsia="仿宋" w:cs="仿宋"/>
          <w:b/>
          <w:color w:val="auto"/>
          <w:sz w:val="24"/>
          <w:highlight w:val="none"/>
        </w:rPr>
        <w:t>，否则其响应文件按无效响应处理。</w:t>
      </w:r>
    </w:p>
    <w:p w14:paraId="4D5685B7">
      <w:pPr>
        <w:spacing w:line="360" w:lineRule="auto"/>
        <w:ind w:firstLine="480" w:firstLineChars="200"/>
        <w:contextualSpacing/>
        <w:rPr>
          <w:rFonts w:hint="eastAsia" w:ascii="仿宋" w:eastAsia="仿宋" w:cs="仿宋"/>
          <w:color w:val="auto"/>
          <w:sz w:val="24"/>
          <w:highlight w:val="none"/>
        </w:rPr>
      </w:pPr>
    </w:p>
    <w:p w14:paraId="5734DA88">
      <w:pPr>
        <w:spacing w:line="360" w:lineRule="auto"/>
        <w:ind w:right="-817" w:rightChars="-389"/>
        <w:contextualSpacing/>
        <w:rPr>
          <w:rFonts w:hint="eastAsia" w:ascii="仿宋" w:eastAsia="仿宋" w:cs="仿宋"/>
          <w:color w:val="auto"/>
          <w:sz w:val="24"/>
          <w:highlight w:val="none"/>
        </w:rPr>
      </w:pPr>
    </w:p>
    <w:p w14:paraId="73F0AFEA">
      <w:pPr>
        <w:spacing w:line="360" w:lineRule="auto"/>
        <w:ind w:right="-817" w:rightChars="-389" w:firstLine="2640" w:firstLineChars="1100"/>
        <w:contextualSpacing/>
        <w:rPr>
          <w:rFonts w:hint="eastAsia" w:ascii="仿宋" w:eastAsia="仿宋" w:cs="仿宋"/>
          <w:color w:val="auto"/>
          <w:sz w:val="24"/>
          <w:highlight w:val="none"/>
        </w:rPr>
      </w:pPr>
    </w:p>
    <w:p w14:paraId="5F9B25FC">
      <w:pPr>
        <w:spacing w:line="360" w:lineRule="auto"/>
        <w:ind w:right="-817" w:rightChars="-389" w:firstLine="2640" w:firstLineChars="1100"/>
        <w:contextualSpacing/>
        <w:rPr>
          <w:rFonts w:hint="eastAsia" w:ascii="仿宋" w:eastAsia="仿宋" w:cs="仿宋"/>
          <w:color w:val="auto"/>
          <w:sz w:val="24"/>
          <w:highlight w:val="none"/>
        </w:rPr>
      </w:pPr>
      <w:r>
        <w:rPr>
          <w:rFonts w:hint="eastAsia" w:ascii="仿宋" w:eastAsia="仿宋" w:cs="仿宋"/>
          <w:color w:val="auto"/>
          <w:sz w:val="24"/>
          <w:highlight w:val="none"/>
        </w:rPr>
        <w:t xml:space="preserve">法定代表人或者委托代理人（签字）：                    </w:t>
      </w:r>
    </w:p>
    <w:p w14:paraId="7C642158">
      <w:pPr>
        <w:spacing w:line="360" w:lineRule="auto"/>
        <w:ind w:right="-817" w:rightChars="-389" w:firstLine="2640" w:firstLineChars="1100"/>
        <w:contextualSpacing/>
        <w:rPr>
          <w:rFonts w:hint="eastAsia" w:ascii="仿宋" w:eastAsia="仿宋" w:cs="仿宋"/>
          <w:color w:val="auto"/>
          <w:sz w:val="24"/>
          <w:highlight w:val="none"/>
        </w:rPr>
      </w:pPr>
      <w:r>
        <w:rPr>
          <w:rFonts w:hint="eastAsia" w:ascii="仿宋" w:eastAsia="仿宋" w:cs="仿宋"/>
          <w:color w:val="auto"/>
          <w:sz w:val="24"/>
          <w:highlight w:val="none"/>
        </w:rPr>
        <w:t xml:space="preserve">供应商（盖公章）：      </w:t>
      </w:r>
    </w:p>
    <w:p w14:paraId="7168C6D0">
      <w:pPr>
        <w:spacing w:line="360" w:lineRule="auto"/>
        <w:ind w:right="-817" w:rightChars="-389" w:firstLine="2640" w:firstLineChars="1100"/>
        <w:contextualSpacing/>
        <w:rPr>
          <w:rFonts w:hint="eastAsia" w:ascii="仿宋" w:eastAsia="仿宋" w:cs="仿宋"/>
          <w:b/>
          <w:color w:val="auto"/>
          <w:sz w:val="24"/>
          <w:highlight w:val="none"/>
        </w:rPr>
      </w:pPr>
      <w:r>
        <w:rPr>
          <w:rFonts w:hint="eastAsia" w:ascii="仿宋" w:eastAsia="仿宋" w:cs="仿宋"/>
          <w:color w:val="auto"/>
          <w:sz w:val="24"/>
          <w:highlight w:val="none"/>
        </w:rPr>
        <w:t>日期：   年   月   日</w:t>
      </w:r>
    </w:p>
    <w:p w14:paraId="249AC5BC">
      <w:pPr>
        <w:widowControl/>
        <w:jc w:val="left"/>
        <w:rPr>
          <w:rFonts w:ascii="仿宋" w:hAnsi="仿宋" w:eastAsia="仿宋" w:cs="仿宋"/>
          <w:bCs/>
          <w:sz w:val="28"/>
          <w:szCs w:val="28"/>
          <w:highlight w:val="none"/>
        </w:rPr>
        <w:sectPr>
          <w:pgSz w:w="11906" w:h="16838"/>
          <w:pgMar w:top="1418" w:right="1555" w:bottom="1418" w:left="1531" w:header="851" w:footer="992" w:gutter="0"/>
          <w:pgNumType w:fmt="decimal"/>
          <w:cols w:space="720" w:num="1"/>
          <w:titlePg/>
          <w:docGrid w:type="lines" w:linePitch="312" w:charSpace="0"/>
        </w:sectPr>
      </w:pPr>
    </w:p>
    <w:p w14:paraId="7BD1EADF">
      <w:pPr>
        <w:widowControl/>
        <w:jc w:val="left"/>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eastAsia="zh-CN"/>
        </w:rPr>
        <w:t>参数响应表</w:t>
      </w:r>
      <w:r>
        <w:rPr>
          <w:rFonts w:hint="eastAsia" w:ascii="仿宋" w:hAnsi="仿宋" w:eastAsia="仿宋" w:cs="仿宋"/>
          <w:bCs/>
          <w:sz w:val="28"/>
          <w:szCs w:val="28"/>
          <w:highlight w:val="none"/>
          <w:lang w:val="en-US" w:eastAsia="zh-CN"/>
        </w:rPr>
        <w:t>格式</w:t>
      </w:r>
    </w:p>
    <w:p w14:paraId="67D7FE5A">
      <w:pPr>
        <w:widowControl/>
        <w:jc w:val="center"/>
        <w:rPr>
          <w:rFonts w:ascii="仿宋" w:hAnsi="仿宋" w:eastAsia="仿宋" w:cs="仿宋"/>
          <w:b/>
          <w:bCs w:val="0"/>
          <w:sz w:val="44"/>
          <w:szCs w:val="44"/>
          <w:highlight w:val="none"/>
        </w:rPr>
      </w:pPr>
      <w:r>
        <w:rPr>
          <w:rFonts w:hint="eastAsia" w:ascii="仿宋" w:hAnsi="仿宋" w:eastAsia="仿宋" w:cs="仿宋"/>
          <w:b/>
          <w:bCs w:val="0"/>
          <w:sz w:val="44"/>
          <w:szCs w:val="44"/>
          <w:highlight w:val="none"/>
          <w:lang w:val="en-US" w:eastAsia="zh-CN"/>
        </w:rPr>
        <w:t>参数响应表</w:t>
      </w:r>
    </w:p>
    <w:tbl>
      <w:tblPr>
        <w:tblStyle w:val="25"/>
        <w:tblW w:w="109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9"/>
        <w:gridCol w:w="1114"/>
        <w:gridCol w:w="808"/>
        <w:gridCol w:w="4040"/>
        <w:gridCol w:w="2307"/>
        <w:gridCol w:w="2307"/>
      </w:tblGrid>
      <w:tr w14:paraId="09EEE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341" w:type="dxa"/>
            <w:gridSpan w:val="4"/>
            <w:tcBorders>
              <w:top w:val="single" w:color="auto" w:sz="4" w:space="0"/>
              <w:left w:val="single" w:color="auto" w:sz="4" w:space="0"/>
              <w:bottom w:val="single" w:color="auto" w:sz="4" w:space="0"/>
              <w:right w:val="single" w:color="auto" w:sz="4" w:space="0"/>
            </w:tcBorders>
            <w:noWrap w:val="0"/>
            <w:vAlign w:val="top"/>
          </w:tcPr>
          <w:p w14:paraId="73412A07">
            <w:pPr>
              <w:shd w:val="clear" w:color="auto" w:fill="auto"/>
              <w:snapToGrid w:val="0"/>
              <w:spacing w:line="400" w:lineRule="exact"/>
              <w:outlineLvl w:val="0"/>
              <w:rPr>
                <w:rFonts w:hint="eastAsia" w:ascii="宋体" w:hAnsi="宋体" w:eastAsia="宋体" w:cs="宋体"/>
                <w:b/>
                <w:color w:val="000000"/>
                <w:highlight w:val="none"/>
                <w:lang w:eastAsia="zh-CN"/>
              </w:rPr>
            </w:pPr>
            <w:r>
              <w:rPr>
                <w:rFonts w:hint="eastAsia" w:ascii="宋体" w:hAnsi="宋体" w:cs="宋体"/>
                <w:b/>
                <w:color w:val="000000"/>
                <w:highlight w:val="none"/>
              </w:rPr>
              <w:t>一、项目</w:t>
            </w:r>
            <w:r>
              <w:rPr>
                <w:rFonts w:hint="eastAsia" w:ascii="宋体" w:hAnsi="宋体" w:cs="宋体"/>
                <w:b/>
                <w:color w:val="000000"/>
                <w:highlight w:val="none"/>
                <w:lang w:val="en-US" w:eastAsia="zh-CN"/>
              </w:rPr>
              <w:t>需求</w:t>
            </w:r>
          </w:p>
        </w:tc>
        <w:tc>
          <w:tcPr>
            <w:tcW w:w="2307" w:type="dxa"/>
            <w:tcBorders>
              <w:top w:val="single" w:color="auto" w:sz="4" w:space="0"/>
              <w:left w:val="single" w:color="auto" w:sz="4" w:space="0"/>
              <w:bottom w:val="single" w:color="auto" w:sz="4" w:space="0"/>
              <w:right w:val="single" w:color="auto" w:sz="4" w:space="0"/>
            </w:tcBorders>
            <w:noWrap w:val="0"/>
            <w:vAlign w:val="top"/>
          </w:tcPr>
          <w:p w14:paraId="39C3F0F6">
            <w:pPr>
              <w:shd w:val="clear" w:color="auto" w:fill="auto"/>
              <w:snapToGrid w:val="0"/>
              <w:spacing w:line="400" w:lineRule="exact"/>
              <w:outlineLvl w:val="0"/>
              <w:rPr>
                <w:rFonts w:hint="default" w:ascii="宋体" w:hAnsi="宋体" w:eastAsia="宋体" w:cs="宋体"/>
                <w:b/>
                <w:color w:val="000000"/>
                <w:highlight w:val="none"/>
                <w:lang w:val="en-US" w:eastAsia="zh-CN"/>
              </w:rPr>
            </w:pPr>
            <w:r>
              <w:rPr>
                <w:rFonts w:hint="eastAsia" w:ascii="宋体" w:hAnsi="宋体" w:cs="宋体"/>
                <w:b/>
                <w:color w:val="000000"/>
                <w:highlight w:val="none"/>
                <w:lang w:val="en-US" w:eastAsia="zh-CN"/>
              </w:rPr>
              <w:t>是否响应</w:t>
            </w:r>
          </w:p>
        </w:tc>
        <w:tc>
          <w:tcPr>
            <w:tcW w:w="2307" w:type="dxa"/>
            <w:tcBorders>
              <w:top w:val="single" w:color="auto" w:sz="4" w:space="0"/>
              <w:left w:val="single" w:color="auto" w:sz="4" w:space="0"/>
              <w:bottom w:val="single" w:color="auto" w:sz="4" w:space="0"/>
              <w:right w:val="single" w:color="auto" w:sz="4" w:space="0"/>
            </w:tcBorders>
            <w:noWrap w:val="0"/>
            <w:vAlign w:val="top"/>
          </w:tcPr>
          <w:p w14:paraId="1E94EB18">
            <w:pPr>
              <w:shd w:val="clear" w:color="auto" w:fill="auto"/>
              <w:snapToGrid w:val="0"/>
              <w:spacing w:line="400" w:lineRule="exact"/>
              <w:outlineLvl w:val="0"/>
              <w:rPr>
                <w:rFonts w:hint="default" w:ascii="宋体" w:hAnsi="宋体" w:cs="宋体"/>
                <w:b/>
                <w:color w:val="000000"/>
                <w:highlight w:val="none"/>
                <w:lang w:val="en-US" w:eastAsia="zh-CN"/>
              </w:rPr>
            </w:pPr>
            <w:r>
              <w:rPr>
                <w:rFonts w:hint="eastAsia" w:ascii="宋体" w:hAnsi="宋体" w:cs="宋体"/>
                <w:b/>
                <w:color w:val="000000"/>
                <w:highlight w:val="none"/>
                <w:lang w:val="en-US" w:eastAsia="zh-CN"/>
              </w:rPr>
              <w:t>说明</w:t>
            </w:r>
          </w:p>
        </w:tc>
      </w:tr>
      <w:tr w14:paraId="441CA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79" w:type="dxa"/>
            <w:tcBorders>
              <w:top w:val="single" w:color="auto" w:sz="4" w:space="0"/>
              <w:left w:val="single" w:color="auto" w:sz="4" w:space="0"/>
              <w:bottom w:val="single" w:color="auto" w:sz="4" w:space="0"/>
              <w:right w:val="single" w:color="auto" w:sz="4" w:space="0"/>
            </w:tcBorders>
            <w:noWrap w:val="0"/>
            <w:vAlign w:val="center"/>
          </w:tcPr>
          <w:p w14:paraId="30DF79A8">
            <w:pPr>
              <w:shd w:val="clear" w:color="auto" w:fill="auto"/>
              <w:snapToGrid w:val="0"/>
              <w:spacing w:line="400" w:lineRule="exact"/>
              <w:jc w:val="center"/>
              <w:outlineLvl w:val="0"/>
              <w:rPr>
                <w:rFonts w:hint="eastAsia" w:ascii="宋体" w:hAnsi="宋体" w:cs="宋体"/>
                <w:color w:val="000000"/>
                <w:highlight w:val="none"/>
              </w:rPr>
            </w:pPr>
            <w:r>
              <w:rPr>
                <w:rFonts w:hint="eastAsia" w:ascii="宋体" w:hAnsi="宋体" w:cs="宋体"/>
                <w:color w:val="000000"/>
                <w:highlight w:val="none"/>
              </w:rPr>
              <w:t>序号</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7E9EF4D">
            <w:pPr>
              <w:shd w:val="clear" w:color="auto" w:fill="auto"/>
              <w:snapToGrid w:val="0"/>
              <w:spacing w:line="400" w:lineRule="exact"/>
              <w:jc w:val="center"/>
              <w:outlineLvl w:val="0"/>
              <w:rPr>
                <w:rFonts w:hint="eastAsia" w:ascii="宋体" w:hAnsi="宋体" w:cs="宋体"/>
                <w:color w:val="000000"/>
                <w:highlight w:val="none"/>
              </w:rPr>
            </w:pPr>
            <w:r>
              <w:rPr>
                <w:rFonts w:hint="eastAsia" w:ascii="宋体" w:hAnsi="宋体" w:cs="宋体"/>
                <w:color w:val="000000"/>
                <w:highlight w:val="none"/>
                <w:lang w:val="en-US" w:eastAsia="zh-CN"/>
              </w:rPr>
              <w:t>标的</w:t>
            </w:r>
            <w:r>
              <w:rPr>
                <w:rFonts w:hint="eastAsia" w:ascii="宋体" w:hAnsi="宋体" w:cs="宋体"/>
                <w:color w:val="000000"/>
                <w:highlight w:val="none"/>
              </w:rPr>
              <w:t>名称</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DB0EA69">
            <w:pPr>
              <w:shd w:val="clear" w:color="auto" w:fill="auto"/>
              <w:snapToGrid w:val="0"/>
              <w:spacing w:line="400" w:lineRule="exact"/>
              <w:jc w:val="center"/>
              <w:outlineLvl w:val="0"/>
              <w:rPr>
                <w:rFonts w:hint="eastAsia" w:ascii="宋体" w:hAnsi="宋体" w:cs="宋体"/>
                <w:color w:val="000000"/>
                <w:highlight w:val="none"/>
              </w:rPr>
            </w:pPr>
            <w:r>
              <w:rPr>
                <w:rFonts w:hint="eastAsia" w:ascii="宋体" w:hAnsi="宋体" w:cs="宋体"/>
                <w:color w:val="000000"/>
                <w:highlight w:val="none"/>
              </w:rPr>
              <w:t>数量</w:t>
            </w:r>
          </w:p>
        </w:tc>
        <w:tc>
          <w:tcPr>
            <w:tcW w:w="4040" w:type="dxa"/>
            <w:tcBorders>
              <w:top w:val="single" w:color="auto" w:sz="4" w:space="0"/>
              <w:left w:val="single" w:color="auto" w:sz="4" w:space="0"/>
              <w:bottom w:val="single" w:color="auto" w:sz="4" w:space="0"/>
              <w:right w:val="single" w:color="auto" w:sz="4" w:space="0"/>
            </w:tcBorders>
            <w:noWrap w:val="0"/>
            <w:vAlign w:val="center"/>
          </w:tcPr>
          <w:p w14:paraId="75C97D7B">
            <w:pPr>
              <w:shd w:val="clear" w:color="auto" w:fill="auto"/>
              <w:snapToGrid w:val="0"/>
              <w:spacing w:line="400" w:lineRule="exact"/>
              <w:jc w:val="center"/>
              <w:outlineLvl w:val="0"/>
              <w:rPr>
                <w:rFonts w:hint="eastAsia" w:ascii="宋体" w:hAnsi="宋体" w:cs="宋体"/>
                <w:color w:val="000000"/>
                <w:highlight w:val="none"/>
              </w:rPr>
            </w:pPr>
            <w:r>
              <w:rPr>
                <w:rFonts w:hint="eastAsia" w:ascii="宋体" w:hAnsi="宋体" w:cs="宋体"/>
                <w:color w:val="000000"/>
                <w:highlight w:val="none"/>
                <w:lang w:val="en-US" w:eastAsia="zh-CN"/>
              </w:rPr>
              <w:t>采购</w:t>
            </w:r>
            <w:r>
              <w:rPr>
                <w:rFonts w:hint="eastAsia" w:ascii="宋体" w:hAnsi="宋体" w:cs="宋体"/>
                <w:color w:val="000000"/>
                <w:highlight w:val="none"/>
              </w:rPr>
              <w:t>内容和要求（技术要求）</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8DC3A09">
            <w:pPr>
              <w:shd w:val="clear" w:color="auto" w:fill="auto"/>
              <w:snapToGrid w:val="0"/>
              <w:spacing w:line="400" w:lineRule="exact"/>
              <w:jc w:val="center"/>
              <w:outlineLvl w:val="0"/>
              <w:rPr>
                <w:rFonts w:hint="eastAsia" w:ascii="宋体" w:hAnsi="宋体" w:cs="宋体"/>
                <w:color w:val="000000"/>
                <w:highlight w:val="none"/>
                <w:lang w:val="en-US" w:eastAsia="zh-CN"/>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8FE44A3">
            <w:pPr>
              <w:shd w:val="clear" w:color="auto" w:fill="auto"/>
              <w:snapToGrid w:val="0"/>
              <w:spacing w:line="400" w:lineRule="exact"/>
              <w:jc w:val="center"/>
              <w:outlineLvl w:val="0"/>
              <w:rPr>
                <w:rFonts w:hint="eastAsia" w:ascii="宋体" w:hAnsi="宋体" w:cs="宋体"/>
                <w:color w:val="000000"/>
                <w:highlight w:val="none"/>
                <w:lang w:val="en-US" w:eastAsia="zh-CN"/>
              </w:rPr>
            </w:pPr>
          </w:p>
        </w:tc>
      </w:tr>
      <w:tr w14:paraId="68DCC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1E658D17">
            <w:pPr>
              <w:shd w:val="clear" w:color="auto" w:fill="auto"/>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114" w:type="dxa"/>
            <w:tcBorders>
              <w:left w:val="single" w:color="auto" w:sz="4" w:space="0"/>
              <w:bottom w:val="single" w:color="auto" w:sz="4" w:space="0"/>
              <w:right w:val="single" w:color="auto" w:sz="4" w:space="0"/>
            </w:tcBorders>
            <w:noWrap w:val="0"/>
            <w:vAlign w:val="center"/>
          </w:tcPr>
          <w:p w14:paraId="2253BC64">
            <w:pPr>
              <w:shd w:val="clear" w:color="auto" w:fill="auto"/>
              <w:spacing w:line="360" w:lineRule="exact"/>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w:t>
            </w:r>
          </w:p>
        </w:tc>
        <w:tc>
          <w:tcPr>
            <w:tcW w:w="808" w:type="dxa"/>
            <w:tcBorders>
              <w:left w:val="single" w:color="auto" w:sz="4" w:space="0"/>
              <w:bottom w:val="single" w:color="auto" w:sz="4" w:space="0"/>
              <w:right w:val="single" w:color="auto" w:sz="4" w:space="0"/>
            </w:tcBorders>
            <w:noWrap w:val="0"/>
            <w:vAlign w:val="center"/>
          </w:tcPr>
          <w:p w14:paraId="261D64CC">
            <w:pPr>
              <w:shd w:val="clear" w:color="auto" w:fill="auto"/>
              <w:snapToGrid w:val="0"/>
              <w:spacing w:line="360" w:lineRule="exact"/>
              <w:jc w:val="center"/>
              <w:outlineLvl w:val="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1项</w:t>
            </w:r>
          </w:p>
        </w:tc>
        <w:tc>
          <w:tcPr>
            <w:tcW w:w="4040" w:type="dxa"/>
            <w:tcBorders>
              <w:top w:val="single" w:color="auto" w:sz="4" w:space="0"/>
              <w:left w:val="single" w:color="auto" w:sz="4" w:space="0"/>
              <w:right w:val="single" w:color="auto" w:sz="4" w:space="0"/>
            </w:tcBorders>
            <w:noWrap w:val="0"/>
            <w:vAlign w:val="center"/>
          </w:tcPr>
          <w:p w14:paraId="19EED136">
            <w:pPr>
              <w:shd w:val="clear" w:color="auto" w:fill="auto"/>
              <w:rPr>
                <w:rFonts w:hint="default"/>
                <w:color w:val="000000"/>
                <w:highlight w:val="none"/>
                <w:lang w:val="en-US"/>
              </w:rPr>
            </w:pPr>
            <w:r>
              <w:rPr>
                <w:rFonts w:hint="eastAsia" w:ascii="宋体" w:hAnsi="宋体" w:eastAsia="宋体" w:cs="Times New Roman"/>
                <w:color w:val="000000"/>
                <w:kern w:val="2"/>
                <w:sz w:val="21"/>
                <w:szCs w:val="21"/>
                <w:highlight w:val="none"/>
                <w:lang w:val="en-US" w:eastAsia="zh-CN" w:bidi="ar-SA"/>
              </w:rPr>
              <w:t>....</w:t>
            </w:r>
          </w:p>
        </w:tc>
        <w:tc>
          <w:tcPr>
            <w:tcW w:w="2307" w:type="dxa"/>
            <w:tcBorders>
              <w:top w:val="single" w:color="auto" w:sz="4" w:space="0"/>
              <w:left w:val="single" w:color="auto" w:sz="4" w:space="0"/>
              <w:right w:val="single" w:color="auto" w:sz="4" w:space="0"/>
            </w:tcBorders>
            <w:noWrap w:val="0"/>
            <w:vAlign w:val="center"/>
          </w:tcPr>
          <w:p w14:paraId="1832F015">
            <w:pPr>
              <w:shd w:val="clear" w:color="auto" w:fill="auto"/>
              <w:rPr>
                <w:rFonts w:hint="eastAsia" w:ascii="宋体" w:hAnsi="宋体" w:eastAsia="宋体" w:cs="Times New Roman"/>
                <w:color w:val="000000"/>
                <w:kern w:val="2"/>
                <w:sz w:val="21"/>
                <w:szCs w:val="21"/>
                <w:highlight w:val="none"/>
                <w:lang w:val="en-US" w:eastAsia="zh-CN" w:bidi="ar-SA"/>
              </w:rPr>
            </w:pPr>
          </w:p>
        </w:tc>
        <w:tc>
          <w:tcPr>
            <w:tcW w:w="2307" w:type="dxa"/>
            <w:tcBorders>
              <w:top w:val="single" w:color="auto" w:sz="4" w:space="0"/>
              <w:left w:val="single" w:color="auto" w:sz="4" w:space="0"/>
              <w:right w:val="single" w:color="auto" w:sz="4" w:space="0"/>
            </w:tcBorders>
            <w:noWrap w:val="0"/>
            <w:vAlign w:val="center"/>
          </w:tcPr>
          <w:p w14:paraId="4326250F">
            <w:pPr>
              <w:shd w:val="clear" w:color="auto" w:fill="auto"/>
              <w:rPr>
                <w:rFonts w:hint="eastAsia" w:ascii="宋体" w:hAnsi="宋体" w:eastAsia="宋体" w:cs="Times New Roman"/>
                <w:color w:val="000000"/>
                <w:kern w:val="2"/>
                <w:sz w:val="21"/>
                <w:szCs w:val="21"/>
                <w:highlight w:val="none"/>
                <w:lang w:val="en-US" w:eastAsia="zh-CN" w:bidi="ar-SA"/>
              </w:rPr>
            </w:pPr>
          </w:p>
        </w:tc>
      </w:tr>
      <w:tr w14:paraId="6D60C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341" w:type="dxa"/>
            <w:gridSpan w:val="4"/>
            <w:tcBorders>
              <w:top w:val="single" w:color="auto" w:sz="4" w:space="0"/>
              <w:left w:val="single" w:color="auto" w:sz="4" w:space="0"/>
              <w:bottom w:val="single" w:color="auto" w:sz="4" w:space="0"/>
              <w:right w:val="single" w:color="auto" w:sz="4" w:space="0"/>
            </w:tcBorders>
            <w:noWrap w:val="0"/>
            <w:vAlign w:val="center"/>
          </w:tcPr>
          <w:p w14:paraId="4A9E1297">
            <w:pPr>
              <w:shd w:val="clear" w:color="auto" w:fill="auto"/>
              <w:snapToGrid w:val="0"/>
              <w:spacing w:line="400" w:lineRule="exact"/>
              <w:outlineLvl w:val="0"/>
              <w:rPr>
                <w:rFonts w:hint="eastAsia" w:ascii="宋体" w:hAnsi="宋体" w:cs="宋体"/>
                <w:b/>
                <w:color w:val="000000"/>
                <w:highlight w:val="none"/>
              </w:rPr>
            </w:pPr>
            <w:r>
              <w:rPr>
                <w:rFonts w:hint="eastAsia" w:ascii="宋体" w:hAnsi="宋体" w:cs="宋体"/>
                <w:b/>
                <w:color w:val="000000"/>
                <w:highlight w:val="none"/>
              </w:rPr>
              <w:t>二、商务要求表</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F3DDA14">
            <w:pPr>
              <w:shd w:val="clear" w:color="auto" w:fill="auto"/>
              <w:snapToGrid w:val="0"/>
              <w:spacing w:line="400" w:lineRule="exact"/>
              <w:outlineLvl w:val="0"/>
              <w:rPr>
                <w:rFonts w:hint="eastAsia" w:ascii="宋体" w:hAnsi="宋体" w:cs="宋体"/>
                <w:b/>
                <w:color w:val="000000"/>
                <w:highlight w:val="none"/>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18EC44C">
            <w:pPr>
              <w:shd w:val="clear" w:color="auto" w:fill="auto"/>
              <w:snapToGrid w:val="0"/>
              <w:spacing w:line="400" w:lineRule="exact"/>
              <w:outlineLvl w:val="0"/>
              <w:rPr>
                <w:rFonts w:hint="eastAsia" w:ascii="宋体" w:hAnsi="宋体" w:cs="宋体"/>
                <w:b/>
                <w:color w:val="000000"/>
                <w:highlight w:val="none"/>
              </w:rPr>
            </w:pPr>
          </w:p>
        </w:tc>
      </w:tr>
      <w:tr w14:paraId="08E8F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7743F6FD">
            <w:pPr>
              <w:shd w:val="clear" w:color="auto" w:fill="auto"/>
              <w:spacing w:line="360" w:lineRule="auto"/>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w:t>
            </w:r>
          </w:p>
        </w:tc>
        <w:tc>
          <w:tcPr>
            <w:tcW w:w="4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A53B5">
            <w:pPr>
              <w:numPr>
                <w:ilvl w:val="0"/>
                <w:numId w:val="0"/>
              </w:numPr>
              <w:shd w:val="clear" w:color="auto" w:fill="auto"/>
              <w:ind w:leftChars="0"/>
              <w:rPr>
                <w:rFonts w:hint="eastAsia" w:ascii="宋体" w:hAnsi="宋体" w:eastAsia="宋体" w:cs="宋体"/>
                <w:color w:val="000000"/>
                <w:kern w:val="2"/>
                <w:sz w:val="21"/>
                <w:szCs w:val="21"/>
                <w:highlight w:val="none"/>
                <w:lang w:val="en-US" w:eastAsia="zh-CN" w:bidi="ar-SA"/>
              </w:rPr>
            </w:pPr>
          </w:p>
        </w:tc>
        <w:tc>
          <w:tcPr>
            <w:tcW w:w="2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36C742">
            <w:pPr>
              <w:numPr>
                <w:ilvl w:val="0"/>
                <w:numId w:val="0"/>
              </w:numPr>
              <w:shd w:val="clear" w:color="auto" w:fill="auto"/>
              <w:ind w:leftChars="0"/>
              <w:rPr>
                <w:rFonts w:hint="default" w:ascii="Arial" w:hAnsi="Arial" w:eastAsia="宋体" w:cs="Arial"/>
                <w:color w:val="000000"/>
                <w:kern w:val="2"/>
                <w:sz w:val="21"/>
                <w:szCs w:val="21"/>
                <w:highlight w:val="none"/>
                <w:lang w:val="en-US" w:eastAsia="zh-CN" w:bidi="ar-SA"/>
              </w:rPr>
            </w:pPr>
          </w:p>
        </w:tc>
        <w:tc>
          <w:tcPr>
            <w:tcW w:w="2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07E6DC">
            <w:pPr>
              <w:numPr>
                <w:ilvl w:val="0"/>
                <w:numId w:val="0"/>
              </w:numPr>
              <w:shd w:val="clear" w:color="auto" w:fill="auto"/>
              <w:ind w:leftChars="0"/>
              <w:rPr>
                <w:rFonts w:hint="default" w:ascii="Arial" w:hAnsi="Arial" w:eastAsia="宋体" w:cs="Arial"/>
                <w:color w:val="000000"/>
                <w:kern w:val="2"/>
                <w:sz w:val="21"/>
                <w:szCs w:val="21"/>
                <w:highlight w:val="none"/>
                <w:lang w:val="en-US" w:eastAsia="zh-CN" w:bidi="ar-SA"/>
              </w:rPr>
            </w:pPr>
          </w:p>
        </w:tc>
      </w:tr>
    </w:tbl>
    <w:p w14:paraId="74035882">
      <w:pPr>
        <w:widowControl/>
        <w:jc w:val="left"/>
        <w:rPr>
          <w:rFonts w:hint="eastAsia" w:ascii="仿宋" w:hAnsi="仿宋" w:eastAsia="仿宋" w:cs="仿宋"/>
          <w:bCs/>
          <w:sz w:val="28"/>
          <w:szCs w:val="28"/>
          <w:highlight w:val="none"/>
          <w:lang w:eastAsia="zh-CN"/>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A2A37A6-0271-4743-A3CE-708F5E36796D}"/>
  </w:font>
  <w:font w:name="黑体">
    <w:panose1 w:val="02010609060101010101"/>
    <w:charset w:val="86"/>
    <w:family w:val="auto"/>
    <w:pitch w:val="default"/>
    <w:sig w:usb0="800002BF" w:usb1="38CF7CFA" w:usb2="00000016" w:usb3="00000000" w:csb0="00040001" w:csb1="00000000"/>
    <w:embedRegular r:id="rId2" w:fontKey="{3546B974-28C9-4BA2-BD96-4D7F773E62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3" w:fontKey="{92AE85F1-FBBD-4030-BE8A-E0639FC70AB8}"/>
  </w:font>
  <w:font w:name="仿宋_GB2312">
    <w:panose1 w:val="02010609030101010101"/>
    <w:charset w:val="86"/>
    <w:family w:val="modern"/>
    <w:pitch w:val="default"/>
    <w:sig w:usb0="00000001" w:usb1="080E0000" w:usb2="00000000" w:usb3="00000000" w:csb0="00040000" w:csb1="00000000"/>
    <w:embedRegular r:id="rId4" w:fontKey="{81AB9B58-8AB4-42B7-9E27-CF7AD1A3E8DA}"/>
  </w:font>
  <w:font w:name="新宋体">
    <w:panose1 w:val="02010609030101010101"/>
    <w:charset w:val="86"/>
    <w:family w:val="modern"/>
    <w:pitch w:val="default"/>
    <w:sig w:usb0="00000003" w:usb1="288F0000" w:usb2="00000006" w:usb3="00000000" w:csb0="00040001" w:csb1="00000000"/>
    <w:embedRegular r:id="rId5" w:fontKey="{A139F274-12BD-4E71-88CC-AF98F1BDE1F5}"/>
  </w:font>
  <w:font w:name="仿宋">
    <w:panose1 w:val="02010609060101010101"/>
    <w:charset w:val="86"/>
    <w:family w:val="modern"/>
    <w:pitch w:val="default"/>
    <w:sig w:usb0="800002BF" w:usb1="38CF7CFA" w:usb2="00000016" w:usb3="00000000" w:csb0="00040001" w:csb1="00000000"/>
    <w:embedRegular r:id="rId6" w:fontKey="{363765C3-0B2E-43E1-88A4-4155EEDC7938}"/>
  </w:font>
  <w:font w:name="汉仪中楷简">
    <w:panose1 w:val="02010600000101010101"/>
    <w:charset w:val="86"/>
    <w:family w:val="auto"/>
    <w:pitch w:val="default"/>
    <w:sig w:usb0="00000001" w:usb1="080E0800" w:usb2="00000002" w:usb3="00000000" w:csb0="00040000" w:csb1="00000000"/>
    <w:embedRegular r:id="rId7" w:fontKey="{7389935C-917A-4C32-9145-CF01CF7F6552}"/>
  </w:font>
  <w:font w:name="汉仪中宋简">
    <w:panose1 w:val="02010600000101010101"/>
    <w:charset w:val="80"/>
    <w:family w:val="auto"/>
    <w:pitch w:val="default"/>
    <w:sig w:usb0="800002BF" w:usb1="184F6CF8" w:usb2="00000012" w:usb3="00000000" w:csb0="00020001" w:csb1="00000000"/>
    <w:embedRegular r:id="rId8" w:fontKey="{A0580DBD-92CB-47FE-8AD0-52CBC3A5FC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BF395">
                          <w:pPr>
                            <w:pStyle w:val="1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09ABF395">
                    <w:pPr>
                      <w:pStyle w:val="17"/>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7"/>
      <w:tabs>
        <w:tab w:val="left" w:pos="5995"/>
        <w:tab w:val="clear" w:pos="4153"/>
      </w:tabs>
      <w:jc w:val="both"/>
      <w:rPr>
        <w:rFonts w:ascii="Times New Roman" w:hAnsi="Times New Roman"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A4A7F2">
                          <w:pPr>
                            <w:pStyle w:val="1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3CA4A7F2">
                    <w:pPr>
                      <w:pStyle w:val="1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6D951A">
                          <w:pPr>
                            <w:pStyle w:val="17"/>
                            <w:jc w:val="center"/>
                          </w:pP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0E6D951A">
                    <w:pPr>
                      <w:pStyle w:val="17"/>
                      <w:jc w:val="center"/>
                    </w:pPr>
                  </w:p>
                </w:txbxContent>
              </v:textbox>
            </v:shape>
          </w:pict>
        </mc:Fallback>
      </mc:AlternateContent>
    </w:r>
    <w:r>
      <w:rPr>
        <w:rFonts w:hint="eastAsia" w:ascii="Times New Roman" w:hAnsi="Times New Roman" w:eastAsia="仿宋_GB2312"/>
        <w:sz w:val="24"/>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6307B9">
                          <w:pPr>
                            <w:pStyle w:val="1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mtqc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05ranLAQAAnAMAAA4AAAAAAAAAAQAgAAAAHgEAAGRycy9lMm9E&#10;b2MueG1sUEsFBgAAAAAGAAYAWQEAAFsFAAAAAA==&#10;">
              <v:fill on="f" focussize="0,0"/>
              <v:stroke on="f"/>
              <v:imagedata o:title=""/>
              <o:lock v:ext="edit" aspectratio="f"/>
              <v:textbox inset="0mm,0mm,0mm,0mm" style="mso-fit-shape-to-text:t;">
                <w:txbxContent>
                  <w:p w14:paraId="686307B9">
                    <w:pPr>
                      <w:pStyle w:val="1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3E12D"/>
    <w:multiLevelType w:val="singleLevel"/>
    <w:tmpl w:val="9063E12D"/>
    <w:lvl w:ilvl="0" w:tentative="0">
      <w:start w:val="1"/>
      <w:numFmt w:val="decimal"/>
      <w:suff w:val="nothing"/>
      <w:lvlText w:val="%1、"/>
      <w:lvlJc w:val="left"/>
    </w:lvl>
  </w:abstractNum>
  <w:abstractNum w:abstractNumId="1">
    <w:nsid w:val="942F00B7"/>
    <w:multiLevelType w:val="singleLevel"/>
    <w:tmpl w:val="942F00B7"/>
    <w:lvl w:ilvl="0" w:tentative="0">
      <w:start w:val="10"/>
      <w:numFmt w:val="chineseCounting"/>
      <w:suff w:val="nothing"/>
      <w:lvlText w:val="%1、"/>
      <w:lvlJc w:val="left"/>
      <w:rPr>
        <w:rFonts w:hint="eastAsia"/>
      </w:rPr>
    </w:lvl>
  </w:abstractNum>
  <w:abstractNum w:abstractNumId="2">
    <w:nsid w:val="9EFBABA7"/>
    <w:multiLevelType w:val="singleLevel"/>
    <w:tmpl w:val="9EFBABA7"/>
    <w:lvl w:ilvl="0" w:tentative="0">
      <w:start w:val="1"/>
      <w:numFmt w:val="decimal"/>
      <w:suff w:val="nothing"/>
      <w:lvlText w:val="%1、"/>
      <w:lvlJc w:val="left"/>
    </w:lvl>
  </w:abstractNum>
  <w:abstractNum w:abstractNumId="3">
    <w:nsid w:val="68CE798F"/>
    <w:multiLevelType w:val="multilevel"/>
    <w:tmpl w:val="68CE798F"/>
    <w:lvl w:ilvl="0" w:tentative="0">
      <w:start w:val="1"/>
      <w:numFmt w:val="decimal"/>
      <w:lvlText w:val="%1"/>
      <w:lvlJc w:val="left"/>
      <w:pPr>
        <w:ind w:left="703" w:hanging="420"/>
      </w:pPr>
      <w:rPr>
        <w:rFonts w:hint="eastAsia"/>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YjRlNWU1MTNmNTNlNDQ0NGVhYTdmNzNlMjllYTEifQ=="/>
  </w:docVars>
  <w:rsids>
    <w:rsidRoot w:val="7DC52EA5"/>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B21C5"/>
    <w:rsid w:val="001C076D"/>
    <w:rsid w:val="001F37DE"/>
    <w:rsid w:val="00240444"/>
    <w:rsid w:val="00261511"/>
    <w:rsid w:val="002A3088"/>
    <w:rsid w:val="002D3B8F"/>
    <w:rsid w:val="002F487E"/>
    <w:rsid w:val="0030745F"/>
    <w:rsid w:val="00322F04"/>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638E0"/>
    <w:rsid w:val="0057666D"/>
    <w:rsid w:val="005A6ADD"/>
    <w:rsid w:val="005F1C0C"/>
    <w:rsid w:val="0061446B"/>
    <w:rsid w:val="006251E3"/>
    <w:rsid w:val="006356B5"/>
    <w:rsid w:val="00674576"/>
    <w:rsid w:val="0068704D"/>
    <w:rsid w:val="006930AF"/>
    <w:rsid w:val="00693A10"/>
    <w:rsid w:val="006978BC"/>
    <w:rsid w:val="006A23BB"/>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D30840"/>
    <w:rsid w:val="00D3288F"/>
    <w:rsid w:val="00D42FF9"/>
    <w:rsid w:val="00D566D7"/>
    <w:rsid w:val="00D57EB3"/>
    <w:rsid w:val="00D62EA4"/>
    <w:rsid w:val="00D709EE"/>
    <w:rsid w:val="00DB290D"/>
    <w:rsid w:val="00DD5202"/>
    <w:rsid w:val="00DD6948"/>
    <w:rsid w:val="00E03DBB"/>
    <w:rsid w:val="00E05796"/>
    <w:rsid w:val="00E20177"/>
    <w:rsid w:val="00E35AA4"/>
    <w:rsid w:val="00E37ECF"/>
    <w:rsid w:val="00E978CC"/>
    <w:rsid w:val="00EA014B"/>
    <w:rsid w:val="00F22A1E"/>
    <w:rsid w:val="00F26369"/>
    <w:rsid w:val="00F328CD"/>
    <w:rsid w:val="00F435E1"/>
    <w:rsid w:val="00F71BF6"/>
    <w:rsid w:val="00F82AAF"/>
    <w:rsid w:val="00F9168F"/>
    <w:rsid w:val="00FA460F"/>
    <w:rsid w:val="00FD06E9"/>
    <w:rsid w:val="00FD3B7D"/>
    <w:rsid w:val="00FD4BB4"/>
    <w:rsid w:val="00FE5CCE"/>
    <w:rsid w:val="00FF47F4"/>
    <w:rsid w:val="010F2C79"/>
    <w:rsid w:val="011E5EF4"/>
    <w:rsid w:val="017167A6"/>
    <w:rsid w:val="0180460C"/>
    <w:rsid w:val="018207C5"/>
    <w:rsid w:val="01A00C4B"/>
    <w:rsid w:val="01A31ABB"/>
    <w:rsid w:val="01A63B7F"/>
    <w:rsid w:val="02163CDD"/>
    <w:rsid w:val="023B042D"/>
    <w:rsid w:val="029307AF"/>
    <w:rsid w:val="029E4497"/>
    <w:rsid w:val="02AB78A7"/>
    <w:rsid w:val="02B04C50"/>
    <w:rsid w:val="02B56978"/>
    <w:rsid w:val="02D2724D"/>
    <w:rsid w:val="02F2197A"/>
    <w:rsid w:val="02FA082F"/>
    <w:rsid w:val="030B0B6F"/>
    <w:rsid w:val="033B2485"/>
    <w:rsid w:val="03593C27"/>
    <w:rsid w:val="03850F0A"/>
    <w:rsid w:val="03B810A8"/>
    <w:rsid w:val="03D60954"/>
    <w:rsid w:val="03F10EDE"/>
    <w:rsid w:val="03F139E0"/>
    <w:rsid w:val="043307A6"/>
    <w:rsid w:val="044F35F1"/>
    <w:rsid w:val="046D57E5"/>
    <w:rsid w:val="04814D63"/>
    <w:rsid w:val="04B70785"/>
    <w:rsid w:val="04D255BF"/>
    <w:rsid w:val="04DD7D0E"/>
    <w:rsid w:val="04EF0EBA"/>
    <w:rsid w:val="05146811"/>
    <w:rsid w:val="05177476"/>
    <w:rsid w:val="05483AD3"/>
    <w:rsid w:val="055A7363"/>
    <w:rsid w:val="05692B22"/>
    <w:rsid w:val="05706B86"/>
    <w:rsid w:val="057523EE"/>
    <w:rsid w:val="058332BF"/>
    <w:rsid w:val="058F6548"/>
    <w:rsid w:val="059D432A"/>
    <w:rsid w:val="05E07758"/>
    <w:rsid w:val="06456716"/>
    <w:rsid w:val="06606BFB"/>
    <w:rsid w:val="06671C33"/>
    <w:rsid w:val="067F6A05"/>
    <w:rsid w:val="069A035E"/>
    <w:rsid w:val="06BC6527"/>
    <w:rsid w:val="06BF03B5"/>
    <w:rsid w:val="06C13B3D"/>
    <w:rsid w:val="06C47189"/>
    <w:rsid w:val="07283BBC"/>
    <w:rsid w:val="073162F8"/>
    <w:rsid w:val="076E2CEA"/>
    <w:rsid w:val="0780250D"/>
    <w:rsid w:val="079228DD"/>
    <w:rsid w:val="07C531B9"/>
    <w:rsid w:val="07DE427B"/>
    <w:rsid w:val="08297BEC"/>
    <w:rsid w:val="085B1D6F"/>
    <w:rsid w:val="087658EC"/>
    <w:rsid w:val="08D710E1"/>
    <w:rsid w:val="09000221"/>
    <w:rsid w:val="0932260E"/>
    <w:rsid w:val="0946699E"/>
    <w:rsid w:val="09497E1A"/>
    <w:rsid w:val="09771111"/>
    <w:rsid w:val="099C263F"/>
    <w:rsid w:val="09CB082F"/>
    <w:rsid w:val="0A01263D"/>
    <w:rsid w:val="0A48692C"/>
    <w:rsid w:val="0A613847"/>
    <w:rsid w:val="0A667025"/>
    <w:rsid w:val="0A6C2705"/>
    <w:rsid w:val="0A7113D6"/>
    <w:rsid w:val="0ADB2CF4"/>
    <w:rsid w:val="0ADE0D1E"/>
    <w:rsid w:val="0B2B77D7"/>
    <w:rsid w:val="0B521208"/>
    <w:rsid w:val="0B662F05"/>
    <w:rsid w:val="0B7A250D"/>
    <w:rsid w:val="0B7A5D95"/>
    <w:rsid w:val="0B815649"/>
    <w:rsid w:val="0BDB58AE"/>
    <w:rsid w:val="0BE5207C"/>
    <w:rsid w:val="0C4A6383"/>
    <w:rsid w:val="0C580AA0"/>
    <w:rsid w:val="0C75118B"/>
    <w:rsid w:val="0C7C6B22"/>
    <w:rsid w:val="0C866740"/>
    <w:rsid w:val="0D192328"/>
    <w:rsid w:val="0D742DF1"/>
    <w:rsid w:val="0D811BCF"/>
    <w:rsid w:val="0DA35E00"/>
    <w:rsid w:val="0DB241E0"/>
    <w:rsid w:val="0DEF3C89"/>
    <w:rsid w:val="0E9F5658"/>
    <w:rsid w:val="0EE303C9"/>
    <w:rsid w:val="0F283D96"/>
    <w:rsid w:val="0F8B2784"/>
    <w:rsid w:val="0FA10631"/>
    <w:rsid w:val="0FAC4C5F"/>
    <w:rsid w:val="0FBA381F"/>
    <w:rsid w:val="0FC63F72"/>
    <w:rsid w:val="0FF52AA9"/>
    <w:rsid w:val="102748EC"/>
    <w:rsid w:val="105351A2"/>
    <w:rsid w:val="105567E3"/>
    <w:rsid w:val="10577F97"/>
    <w:rsid w:val="10991687"/>
    <w:rsid w:val="10C5298C"/>
    <w:rsid w:val="10CA51CE"/>
    <w:rsid w:val="11252F1A"/>
    <w:rsid w:val="1154173C"/>
    <w:rsid w:val="11847C41"/>
    <w:rsid w:val="11850FF5"/>
    <w:rsid w:val="11B00A36"/>
    <w:rsid w:val="11B85B3D"/>
    <w:rsid w:val="11C25632"/>
    <w:rsid w:val="11D96D94"/>
    <w:rsid w:val="120E7E53"/>
    <w:rsid w:val="121A2353"/>
    <w:rsid w:val="12217B86"/>
    <w:rsid w:val="122B3102"/>
    <w:rsid w:val="125860AD"/>
    <w:rsid w:val="1266498D"/>
    <w:rsid w:val="12705C37"/>
    <w:rsid w:val="12A14823"/>
    <w:rsid w:val="12EA61CA"/>
    <w:rsid w:val="12F069E9"/>
    <w:rsid w:val="12F11027"/>
    <w:rsid w:val="130E4CDF"/>
    <w:rsid w:val="13272F7A"/>
    <w:rsid w:val="13685340"/>
    <w:rsid w:val="13754D82"/>
    <w:rsid w:val="138F09C8"/>
    <w:rsid w:val="13AE1F3B"/>
    <w:rsid w:val="13B73411"/>
    <w:rsid w:val="13B80076"/>
    <w:rsid w:val="13BD743A"/>
    <w:rsid w:val="13C06F2A"/>
    <w:rsid w:val="13C20EF5"/>
    <w:rsid w:val="13CC3E1E"/>
    <w:rsid w:val="13DA4490"/>
    <w:rsid w:val="13E17686"/>
    <w:rsid w:val="14060DE1"/>
    <w:rsid w:val="14307C60"/>
    <w:rsid w:val="143C28F6"/>
    <w:rsid w:val="14436EA8"/>
    <w:rsid w:val="14445DAD"/>
    <w:rsid w:val="14515DD5"/>
    <w:rsid w:val="14591A0E"/>
    <w:rsid w:val="146F5D26"/>
    <w:rsid w:val="14860BF1"/>
    <w:rsid w:val="14922675"/>
    <w:rsid w:val="14C50C9C"/>
    <w:rsid w:val="14CA62B3"/>
    <w:rsid w:val="14CC5DB2"/>
    <w:rsid w:val="14E21351"/>
    <w:rsid w:val="156A6364"/>
    <w:rsid w:val="157E709D"/>
    <w:rsid w:val="1585042C"/>
    <w:rsid w:val="158F4E06"/>
    <w:rsid w:val="15AA3169"/>
    <w:rsid w:val="15BA3EE0"/>
    <w:rsid w:val="15EF58A5"/>
    <w:rsid w:val="15FF306C"/>
    <w:rsid w:val="16181C5D"/>
    <w:rsid w:val="162C6AF9"/>
    <w:rsid w:val="166D4CFC"/>
    <w:rsid w:val="17107B4D"/>
    <w:rsid w:val="1739327C"/>
    <w:rsid w:val="176463EC"/>
    <w:rsid w:val="1765105F"/>
    <w:rsid w:val="1767428D"/>
    <w:rsid w:val="17AE3C6A"/>
    <w:rsid w:val="17C70110"/>
    <w:rsid w:val="17E92EF4"/>
    <w:rsid w:val="180D7890"/>
    <w:rsid w:val="1811244B"/>
    <w:rsid w:val="18253800"/>
    <w:rsid w:val="18AE7C99"/>
    <w:rsid w:val="18C261C8"/>
    <w:rsid w:val="19294C0B"/>
    <w:rsid w:val="19A4072D"/>
    <w:rsid w:val="19CC487B"/>
    <w:rsid w:val="19E20B4E"/>
    <w:rsid w:val="1A2A2FFC"/>
    <w:rsid w:val="1A3A35B9"/>
    <w:rsid w:val="1A5403CD"/>
    <w:rsid w:val="1A8C7B66"/>
    <w:rsid w:val="1AA03612"/>
    <w:rsid w:val="1AA7482F"/>
    <w:rsid w:val="1AB62E35"/>
    <w:rsid w:val="1AB74248"/>
    <w:rsid w:val="1AEA05DF"/>
    <w:rsid w:val="1AED4AA9"/>
    <w:rsid w:val="1B0555B5"/>
    <w:rsid w:val="1B1C538E"/>
    <w:rsid w:val="1B3D7186"/>
    <w:rsid w:val="1B3E3B5F"/>
    <w:rsid w:val="1B4641B9"/>
    <w:rsid w:val="1B7768E6"/>
    <w:rsid w:val="1B7A20B5"/>
    <w:rsid w:val="1B8E0FA5"/>
    <w:rsid w:val="1BA710FC"/>
    <w:rsid w:val="1BA910D9"/>
    <w:rsid w:val="1BBA70EA"/>
    <w:rsid w:val="1BF51B32"/>
    <w:rsid w:val="1C1E0C92"/>
    <w:rsid w:val="1C406E5A"/>
    <w:rsid w:val="1C485D0F"/>
    <w:rsid w:val="1C534DE0"/>
    <w:rsid w:val="1C817B9F"/>
    <w:rsid w:val="1C910802"/>
    <w:rsid w:val="1CBB4733"/>
    <w:rsid w:val="1CEE1205"/>
    <w:rsid w:val="1D507571"/>
    <w:rsid w:val="1D552DD9"/>
    <w:rsid w:val="1DB80A1F"/>
    <w:rsid w:val="1DCD6828"/>
    <w:rsid w:val="1DDB32DF"/>
    <w:rsid w:val="1DF20628"/>
    <w:rsid w:val="1E0B5246"/>
    <w:rsid w:val="1E340C41"/>
    <w:rsid w:val="1E4E1D03"/>
    <w:rsid w:val="1E962E2C"/>
    <w:rsid w:val="1EAC07D7"/>
    <w:rsid w:val="1F0321A7"/>
    <w:rsid w:val="1F364065"/>
    <w:rsid w:val="1FC72E9A"/>
    <w:rsid w:val="1FD476E5"/>
    <w:rsid w:val="200F5F18"/>
    <w:rsid w:val="20144886"/>
    <w:rsid w:val="206218F3"/>
    <w:rsid w:val="206718C3"/>
    <w:rsid w:val="207E02D8"/>
    <w:rsid w:val="208D7F5E"/>
    <w:rsid w:val="20D14525"/>
    <w:rsid w:val="20FF1092"/>
    <w:rsid w:val="210D2CB1"/>
    <w:rsid w:val="212925B3"/>
    <w:rsid w:val="212A38FE"/>
    <w:rsid w:val="21395EDD"/>
    <w:rsid w:val="215A237F"/>
    <w:rsid w:val="216746B1"/>
    <w:rsid w:val="219C4485"/>
    <w:rsid w:val="21B77BBF"/>
    <w:rsid w:val="221A1EFC"/>
    <w:rsid w:val="22420EF6"/>
    <w:rsid w:val="2277565C"/>
    <w:rsid w:val="22993768"/>
    <w:rsid w:val="22B91715"/>
    <w:rsid w:val="23101BA9"/>
    <w:rsid w:val="231E77CA"/>
    <w:rsid w:val="23701704"/>
    <w:rsid w:val="23832C42"/>
    <w:rsid w:val="238C68D9"/>
    <w:rsid w:val="23A925E7"/>
    <w:rsid w:val="23D74548"/>
    <w:rsid w:val="2431059F"/>
    <w:rsid w:val="2431606C"/>
    <w:rsid w:val="243F3E9B"/>
    <w:rsid w:val="24651B54"/>
    <w:rsid w:val="246851A0"/>
    <w:rsid w:val="246F4781"/>
    <w:rsid w:val="247022A7"/>
    <w:rsid w:val="24B6415E"/>
    <w:rsid w:val="24BB1774"/>
    <w:rsid w:val="250F1AC0"/>
    <w:rsid w:val="25227EA9"/>
    <w:rsid w:val="25283D1B"/>
    <w:rsid w:val="25286BFC"/>
    <w:rsid w:val="252A3F57"/>
    <w:rsid w:val="25700B6C"/>
    <w:rsid w:val="25783B09"/>
    <w:rsid w:val="259721E1"/>
    <w:rsid w:val="25A779D5"/>
    <w:rsid w:val="25B54415"/>
    <w:rsid w:val="25CD4E9E"/>
    <w:rsid w:val="2610789E"/>
    <w:rsid w:val="26337076"/>
    <w:rsid w:val="263A1EA7"/>
    <w:rsid w:val="265A1BB4"/>
    <w:rsid w:val="266B278A"/>
    <w:rsid w:val="2673570E"/>
    <w:rsid w:val="26955FF5"/>
    <w:rsid w:val="26D11723"/>
    <w:rsid w:val="26DA3033"/>
    <w:rsid w:val="26EB2F83"/>
    <w:rsid w:val="27595274"/>
    <w:rsid w:val="276D77B5"/>
    <w:rsid w:val="277B168E"/>
    <w:rsid w:val="27A134E8"/>
    <w:rsid w:val="27C22E19"/>
    <w:rsid w:val="27D71703"/>
    <w:rsid w:val="2855665A"/>
    <w:rsid w:val="286914E7"/>
    <w:rsid w:val="288307FB"/>
    <w:rsid w:val="28AD40F4"/>
    <w:rsid w:val="28ED60D4"/>
    <w:rsid w:val="28F9175A"/>
    <w:rsid w:val="28FC7C1A"/>
    <w:rsid w:val="29015BC3"/>
    <w:rsid w:val="291A4E2F"/>
    <w:rsid w:val="29606D8E"/>
    <w:rsid w:val="296930F2"/>
    <w:rsid w:val="29906483"/>
    <w:rsid w:val="29AC526A"/>
    <w:rsid w:val="29BB2216"/>
    <w:rsid w:val="29CF4022"/>
    <w:rsid w:val="29E6703C"/>
    <w:rsid w:val="2A227790"/>
    <w:rsid w:val="2A2A6F99"/>
    <w:rsid w:val="2A4C3A21"/>
    <w:rsid w:val="2A580712"/>
    <w:rsid w:val="2A6F54DA"/>
    <w:rsid w:val="2A756869"/>
    <w:rsid w:val="2A832D34"/>
    <w:rsid w:val="2A8A31B3"/>
    <w:rsid w:val="2AB32EED"/>
    <w:rsid w:val="2AC754C9"/>
    <w:rsid w:val="2AD356E3"/>
    <w:rsid w:val="2AFE060C"/>
    <w:rsid w:val="2B0459C6"/>
    <w:rsid w:val="2B2F56A3"/>
    <w:rsid w:val="2B571086"/>
    <w:rsid w:val="2B575EA1"/>
    <w:rsid w:val="2B6B072A"/>
    <w:rsid w:val="2BA7612C"/>
    <w:rsid w:val="2BB331A5"/>
    <w:rsid w:val="2C2916B9"/>
    <w:rsid w:val="2C2D5207"/>
    <w:rsid w:val="2C520C10"/>
    <w:rsid w:val="2C770676"/>
    <w:rsid w:val="2C772839"/>
    <w:rsid w:val="2C9B4CBA"/>
    <w:rsid w:val="2CA50EF2"/>
    <w:rsid w:val="2CB216AE"/>
    <w:rsid w:val="2CDC2B8B"/>
    <w:rsid w:val="2CE6368C"/>
    <w:rsid w:val="2CED0939"/>
    <w:rsid w:val="2CF47F19"/>
    <w:rsid w:val="2D595FCE"/>
    <w:rsid w:val="2D74105A"/>
    <w:rsid w:val="2DC41EB4"/>
    <w:rsid w:val="2DDB7DBD"/>
    <w:rsid w:val="2E1D3A94"/>
    <w:rsid w:val="2E267112"/>
    <w:rsid w:val="2E594556"/>
    <w:rsid w:val="2EC568C9"/>
    <w:rsid w:val="2EC76F67"/>
    <w:rsid w:val="2ED33B5E"/>
    <w:rsid w:val="2EE930F3"/>
    <w:rsid w:val="2F0A3A24"/>
    <w:rsid w:val="2F363FD6"/>
    <w:rsid w:val="2F745341"/>
    <w:rsid w:val="2FA53695"/>
    <w:rsid w:val="2FE204FD"/>
    <w:rsid w:val="2FED67F0"/>
    <w:rsid w:val="30896BCA"/>
    <w:rsid w:val="30C3032E"/>
    <w:rsid w:val="30EA695A"/>
    <w:rsid w:val="30FD2F75"/>
    <w:rsid w:val="31086BD1"/>
    <w:rsid w:val="31307046"/>
    <w:rsid w:val="315D0ECD"/>
    <w:rsid w:val="318178A1"/>
    <w:rsid w:val="31BD2FCF"/>
    <w:rsid w:val="321A1044"/>
    <w:rsid w:val="32425B98"/>
    <w:rsid w:val="32917FB8"/>
    <w:rsid w:val="32FA1C32"/>
    <w:rsid w:val="330427FC"/>
    <w:rsid w:val="333D2711"/>
    <w:rsid w:val="33977850"/>
    <w:rsid w:val="33B94A5D"/>
    <w:rsid w:val="340A2EA8"/>
    <w:rsid w:val="341C5D39"/>
    <w:rsid w:val="342B17CD"/>
    <w:rsid w:val="343D58A1"/>
    <w:rsid w:val="3457130E"/>
    <w:rsid w:val="3458152F"/>
    <w:rsid w:val="346516FC"/>
    <w:rsid w:val="348F22D5"/>
    <w:rsid w:val="34A46413"/>
    <w:rsid w:val="34C53F49"/>
    <w:rsid w:val="34E40873"/>
    <w:rsid w:val="353F2D47"/>
    <w:rsid w:val="35861F2E"/>
    <w:rsid w:val="35CB53A7"/>
    <w:rsid w:val="35E55E0C"/>
    <w:rsid w:val="35ED7DE6"/>
    <w:rsid w:val="35FC7E3E"/>
    <w:rsid w:val="361E6007"/>
    <w:rsid w:val="36252772"/>
    <w:rsid w:val="362829E1"/>
    <w:rsid w:val="365437D6"/>
    <w:rsid w:val="36545AE5"/>
    <w:rsid w:val="369B1405"/>
    <w:rsid w:val="36AD05F9"/>
    <w:rsid w:val="36CE5337"/>
    <w:rsid w:val="37060F75"/>
    <w:rsid w:val="37137350"/>
    <w:rsid w:val="37142E18"/>
    <w:rsid w:val="372A4537"/>
    <w:rsid w:val="37357164"/>
    <w:rsid w:val="37732E50"/>
    <w:rsid w:val="37756AB3"/>
    <w:rsid w:val="37764CBD"/>
    <w:rsid w:val="378C30BB"/>
    <w:rsid w:val="37983B97"/>
    <w:rsid w:val="37E170D4"/>
    <w:rsid w:val="38174ADA"/>
    <w:rsid w:val="38413F2D"/>
    <w:rsid w:val="3841400E"/>
    <w:rsid w:val="384B7486"/>
    <w:rsid w:val="389F5BCA"/>
    <w:rsid w:val="394F0490"/>
    <w:rsid w:val="396957EB"/>
    <w:rsid w:val="397A17A6"/>
    <w:rsid w:val="39987E7E"/>
    <w:rsid w:val="39C35667"/>
    <w:rsid w:val="39DA2245"/>
    <w:rsid w:val="39DA3FF3"/>
    <w:rsid w:val="39E9692C"/>
    <w:rsid w:val="3A0073A2"/>
    <w:rsid w:val="3A3C784F"/>
    <w:rsid w:val="3A7C154E"/>
    <w:rsid w:val="3ABC7B9C"/>
    <w:rsid w:val="3AE710BD"/>
    <w:rsid w:val="3B2229CC"/>
    <w:rsid w:val="3B567FF1"/>
    <w:rsid w:val="3B6A75F8"/>
    <w:rsid w:val="3BB571BF"/>
    <w:rsid w:val="3BC56053"/>
    <w:rsid w:val="3BD80A06"/>
    <w:rsid w:val="3BE42036"/>
    <w:rsid w:val="3BF55114"/>
    <w:rsid w:val="3C30228F"/>
    <w:rsid w:val="3C6957BF"/>
    <w:rsid w:val="3CA50EEA"/>
    <w:rsid w:val="3CDE029E"/>
    <w:rsid w:val="3CDE7BB8"/>
    <w:rsid w:val="3CF47533"/>
    <w:rsid w:val="3D605157"/>
    <w:rsid w:val="3D6C7658"/>
    <w:rsid w:val="3D6E6BA4"/>
    <w:rsid w:val="3D6F7148"/>
    <w:rsid w:val="3DAD3FBE"/>
    <w:rsid w:val="3DD142BB"/>
    <w:rsid w:val="3DD1570D"/>
    <w:rsid w:val="3E6D7B0C"/>
    <w:rsid w:val="3E950E30"/>
    <w:rsid w:val="3F0B4C4E"/>
    <w:rsid w:val="3F0E7575"/>
    <w:rsid w:val="3F23541F"/>
    <w:rsid w:val="3F2C7B93"/>
    <w:rsid w:val="3F5E2DF9"/>
    <w:rsid w:val="3F815008"/>
    <w:rsid w:val="3F9D1D4A"/>
    <w:rsid w:val="3FFD6C8D"/>
    <w:rsid w:val="40147B22"/>
    <w:rsid w:val="403703F1"/>
    <w:rsid w:val="408353E4"/>
    <w:rsid w:val="409B1A96"/>
    <w:rsid w:val="415B1B90"/>
    <w:rsid w:val="4168282C"/>
    <w:rsid w:val="41742367"/>
    <w:rsid w:val="41CE6B33"/>
    <w:rsid w:val="41D1217F"/>
    <w:rsid w:val="421D2F00"/>
    <w:rsid w:val="42254279"/>
    <w:rsid w:val="4235270E"/>
    <w:rsid w:val="424566C9"/>
    <w:rsid w:val="425B0980"/>
    <w:rsid w:val="4283791D"/>
    <w:rsid w:val="42BE5066"/>
    <w:rsid w:val="42F36125"/>
    <w:rsid w:val="43115D2A"/>
    <w:rsid w:val="43394480"/>
    <w:rsid w:val="433D7A78"/>
    <w:rsid w:val="4349216B"/>
    <w:rsid w:val="435757B2"/>
    <w:rsid w:val="438C790B"/>
    <w:rsid w:val="43B64C47"/>
    <w:rsid w:val="43BB4E95"/>
    <w:rsid w:val="43CE2297"/>
    <w:rsid w:val="4413082D"/>
    <w:rsid w:val="445D419E"/>
    <w:rsid w:val="446217B4"/>
    <w:rsid w:val="447B4624"/>
    <w:rsid w:val="44BF09B5"/>
    <w:rsid w:val="44C07D0F"/>
    <w:rsid w:val="44D97CC8"/>
    <w:rsid w:val="4504461A"/>
    <w:rsid w:val="45D16BF2"/>
    <w:rsid w:val="45EE5B52"/>
    <w:rsid w:val="460D4257"/>
    <w:rsid w:val="463336E0"/>
    <w:rsid w:val="46A240EA"/>
    <w:rsid w:val="46C16C66"/>
    <w:rsid w:val="46D04693"/>
    <w:rsid w:val="478D6A3C"/>
    <w:rsid w:val="47E744AA"/>
    <w:rsid w:val="48086415"/>
    <w:rsid w:val="482336B0"/>
    <w:rsid w:val="482A4397"/>
    <w:rsid w:val="482B4558"/>
    <w:rsid w:val="487526CC"/>
    <w:rsid w:val="487E46E3"/>
    <w:rsid w:val="48B545A9"/>
    <w:rsid w:val="48B84099"/>
    <w:rsid w:val="48D00B1A"/>
    <w:rsid w:val="48F13107"/>
    <w:rsid w:val="48F650FE"/>
    <w:rsid w:val="49521DF7"/>
    <w:rsid w:val="495F27A1"/>
    <w:rsid w:val="496B5F14"/>
    <w:rsid w:val="49AD1724"/>
    <w:rsid w:val="49C34D17"/>
    <w:rsid w:val="49D81443"/>
    <w:rsid w:val="4A5E518A"/>
    <w:rsid w:val="4A791C54"/>
    <w:rsid w:val="4A805944"/>
    <w:rsid w:val="4A8915B8"/>
    <w:rsid w:val="4A944A26"/>
    <w:rsid w:val="4A995804"/>
    <w:rsid w:val="4AB64F82"/>
    <w:rsid w:val="4AC76815"/>
    <w:rsid w:val="4AD7378C"/>
    <w:rsid w:val="4AEC627C"/>
    <w:rsid w:val="4AF018C8"/>
    <w:rsid w:val="4B101774"/>
    <w:rsid w:val="4B3C0F42"/>
    <w:rsid w:val="4B5C5D43"/>
    <w:rsid w:val="4B975426"/>
    <w:rsid w:val="4BDA4326"/>
    <w:rsid w:val="4C312198"/>
    <w:rsid w:val="4C343A36"/>
    <w:rsid w:val="4C397865"/>
    <w:rsid w:val="4C473333"/>
    <w:rsid w:val="4C5C608F"/>
    <w:rsid w:val="4CCC3B4A"/>
    <w:rsid w:val="4CD71EDE"/>
    <w:rsid w:val="4CE40F83"/>
    <w:rsid w:val="4D0B43D0"/>
    <w:rsid w:val="4D3D4B6D"/>
    <w:rsid w:val="4D622825"/>
    <w:rsid w:val="4D81330C"/>
    <w:rsid w:val="4DAD6D49"/>
    <w:rsid w:val="4DB043E9"/>
    <w:rsid w:val="4DDD4E6D"/>
    <w:rsid w:val="4E2A50F1"/>
    <w:rsid w:val="4E594465"/>
    <w:rsid w:val="4E5B79A0"/>
    <w:rsid w:val="4E93713A"/>
    <w:rsid w:val="4EDD6607"/>
    <w:rsid w:val="4EEE34EC"/>
    <w:rsid w:val="4F464194"/>
    <w:rsid w:val="4F4E4E0F"/>
    <w:rsid w:val="4F510757"/>
    <w:rsid w:val="4F946E6D"/>
    <w:rsid w:val="4FBA6948"/>
    <w:rsid w:val="4FC13833"/>
    <w:rsid w:val="4FDB37F4"/>
    <w:rsid w:val="50141B8D"/>
    <w:rsid w:val="502649D0"/>
    <w:rsid w:val="502D4D98"/>
    <w:rsid w:val="50940112"/>
    <w:rsid w:val="50B603AB"/>
    <w:rsid w:val="50BC5616"/>
    <w:rsid w:val="50FA67BE"/>
    <w:rsid w:val="511144D8"/>
    <w:rsid w:val="519A399A"/>
    <w:rsid w:val="51AC0513"/>
    <w:rsid w:val="51FF6894"/>
    <w:rsid w:val="5215447D"/>
    <w:rsid w:val="522474FD"/>
    <w:rsid w:val="52592449"/>
    <w:rsid w:val="52956034"/>
    <w:rsid w:val="529E60AD"/>
    <w:rsid w:val="53204D14"/>
    <w:rsid w:val="537E0443"/>
    <w:rsid w:val="53AE0572"/>
    <w:rsid w:val="53C33A31"/>
    <w:rsid w:val="53E72A96"/>
    <w:rsid w:val="545D5AF4"/>
    <w:rsid w:val="548A4B3B"/>
    <w:rsid w:val="54A232F5"/>
    <w:rsid w:val="555B0286"/>
    <w:rsid w:val="55844554"/>
    <w:rsid w:val="55C37BD9"/>
    <w:rsid w:val="56206DD9"/>
    <w:rsid w:val="564C7BCE"/>
    <w:rsid w:val="56633896"/>
    <w:rsid w:val="56A833F9"/>
    <w:rsid w:val="56E542AB"/>
    <w:rsid w:val="57016C0B"/>
    <w:rsid w:val="5704203A"/>
    <w:rsid w:val="575104C8"/>
    <w:rsid w:val="577B4C0F"/>
    <w:rsid w:val="57B554F4"/>
    <w:rsid w:val="57DD5F63"/>
    <w:rsid w:val="57E04A72"/>
    <w:rsid w:val="57FF75EE"/>
    <w:rsid w:val="58354DBE"/>
    <w:rsid w:val="58490869"/>
    <w:rsid w:val="5870229A"/>
    <w:rsid w:val="58715890"/>
    <w:rsid w:val="590F5D95"/>
    <w:rsid w:val="59126EAD"/>
    <w:rsid w:val="59297084"/>
    <w:rsid w:val="59453815"/>
    <w:rsid w:val="59653940"/>
    <w:rsid w:val="5987789B"/>
    <w:rsid w:val="59A33A0D"/>
    <w:rsid w:val="59A93A45"/>
    <w:rsid w:val="59AA4DF7"/>
    <w:rsid w:val="5A0507C0"/>
    <w:rsid w:val="5A136594"/>
    <w:rsid w:val="5A43263C"/>
    <w:rsid w:val="5A76346C"/>
    <w:rsid w:val="5AB77983"/>
    <w:rsid w:val="5ABB5323"/>
    <w:rsid w:val="5B2335F4"/>
    <w:rsid w:val="5B567B2B"/>
    <w:rsid w:val="5B694D7F"/>
    <w:rsid w:val="5B745BFD"/>
    <w:rsid w:val="5B9A4115"/>
    <w:rsid w:val="5B9F1982"/>
    <w:rsid w:val="5BBD57F6"/>
    <w:rsid w:val="5BE72873"/>
    <w:rsid w:val="5BFB1E7B"/>
    <w:rsid w:val="5C003935"/>
    <w:rsid w:val="5C1473E0"/>
    <w:rsid w:val="5C3435DF"/>
    <w:rsid w:val="5CB12E81"/>
    <w:rsid w:val="5CDA5F34"/>
    <w:rsid w:val="5D0B4EFB"/>
    <w:rsid w:val="5D0B52F3"/>
    <w:rsid w:val="5D1C0BD9"/>
    <w:rsid w:val="5D373C4B"/>
    <w:rsid w:val="5D447903"/>
    <w:rsid w:val="5D75771C"/>
    <w:rsid w:val="5D9702C9"/>
    <w:rsid w:val="5DAB1E3A"/>
    <w:rsid w:val="5DC336B3"/>
    <w:rsid w:val="5DD115DD"/>
    <w:rsid w:val="5DD24E5D"/>
    <w:rsid w:val="5E070FAB"/>
    <w:rsid w:val="5E135B5A"/>
    <w:rsid w:val="5E3A1468"/>
    <w:rsid w:val="5E421FE3"/>
    <w:rsid w:val="5E4F4700"/>
    <w:rsid w:val="5E68756F"/>
    <w:rsid w:val="5EA8533D"/>
    <w:rsid w:val="5EAF3268"/>
    <w:rsid w:val="5F257D99"/>
    <w:rsid w:val="5F805BD9"/>
    <w:rsid w:val="5F8454CE"/>
    <w:rsid w:val="5FC07EA8"/>
    <w:rsid w:val="5FE115EF"/>
    <w:rsid w:val="5FE22548"/>
    <w:rsid w:val="602216B9"/>
    <w:rsid w:val="60367B2B"/>
    <w:rsid w:val="603D5D3E"/>
    <w:rsid w:val="603F34D8"/>
    <w:rsid w:val="604F14EC"/>
    <w:rsid w:val="60870181"/>
    <w:rsid w:val="60A70B88"/>
    <w:rsid w:val="61090336"/>
    <w:rsid w:val="61181721"/>
    <w:rsid w:val="61500960"/>
    <w:rsid w:val="6157680D"/>
    <w:rsid w:val="61840B64"/>
    <w:rsid w:val="618621F4"/>
    <w:rsid w:val="61B722C3"/>
    <w:rsid w:val="61D01DD2"/>
    <w:rsid w:val="62031A89"/>
    <w:rsid w:val="62046A6B"/>
    <w:rsid w:val="620A41C9"/>
    <w:rsid w:val="62257D7B"/>
    <w:rsid w:val="62500A46"/>
    <w:rsid w:val="62715DB3"/>
    <w:rsid w:val="627604AD"/>
    <w:rsid w:val="627B4EDA"/>
    <w:rsid w:val="62886CB8"/>
    <w:rsid w:val="629923ED"/>
    <w:rsid w:val="62B64D4D"/>
    <w:rsid w:val="62BC60DF"/>
    <w:rsid w:val="62C2643F"/>
    <w:rsid w:val="63181564"/>
    <w:rsid w:val="631A4D27"/>
    <w:rsid w:val="631D6B7A"/>
    <w:rsid w:val="63357922"/>
    <w:rsid w:val="634E142A"/>
    <w:rsid w:val="636C2D76"/>
    <w:rsid w:val="63DA020D"/>
    <w:rsid w:val="63E105CA"/>
    <w:rsid w:val="63FD6F73"/>
    <w:rsid w:val="64077B7B"/>
    <w:rsid w:val="6415590B"/>
    <w:rsid w:val="64371EBE"/>
    <w:rsid w:val="643C430D"/>
    <w:rsid w:val="6454612A"/>
    <w:rsid w:val="645A64FF"/>
    <w:rsid w:val="645F2960"/>
    <w:rsid w:val="64852C29"/>
    <w:rsid w:val="649D4417"/>
    <w:rsid w:val="64C74A05"/>
    <w:rsid w:val="64CD09EF"/>
    <w:rsid w:val="64DC699A"/>
    <w:rsid w:val="64F67EE8"/>
    <w:rsid w:val="653C15BA"/>
    <w:rsid w:val="653E2944"/>
    <w:rsid w:val="65402D12"/>
    <w:rsid w:val="658147AB"/>
    <w:rsid w:val="65A3702F"/>
    <w:rsid w:val="65A43583"/>
    <w:rsid w:val="65AA7E46"/>
    <w:rsid w:val="65D57BE0"/>
    <w:rsid w:val="65EE70DA"/>
    <w:rsid w:val="65FF4C5D"/>
    <w:rsid w:val="661A232A"/>
    <w:rsid w:val="6632293D"/>
    <w:rsid w:val="66763171"/>
    <w:rsid w:val="6686173D"/>
    <w:rsid w:val="669E7FD2"/>
    <w:rsid w:val="66D11982"/>
    <w:rsid w:val="66EA3218"/>
    <w:rsid w:val="67386806"/>
    <w:rsid w:val="675D094C"/>
    <w:rsid w:val="6776587D"/>
    <w:rsid w:val="678F223E"/>
    <w:rsid w:val="67904A66"/>
    <w:rsid w:val="67B61CC7"/>
    <w:rsid w:val="68142FE1"/>
    <w:rsid w:val="68792AA5"/>
    <w:rsid w:val="68B0655E"/>
    <w:rsid w:val="68B91D73"/>
    <w:rsid w:val="690B4321"/>
    <w:rsid w:val="690E31B6"/>
    <w:rsid w:val="692D388F"/>
    <w:rsid w:val="693115D2"/>
    <w:rsid w:val="696F50E8"/>
    <w:rsid w:val="69961435"/>
    <w:rsid w:val="699A7177"/>
    <w:rsid w:val="69AD6A82"/>
    <w:rsid w:val="69DC631F"/>
    <w:rsid w:val="6A162A44"/>
    <w:rsid w:val="6A243D68"/>
    <w:rsid w:val="6A282820"/>
    <w:rsid w:val="6A455DFD"/>
    <w:rsid w:val="6A48378D"/>
    <w:rsid w:val="6A6C4D68"/>
    <w:rsid w:val="6A820A74"/>
    <w:rsid w:val="6A8219B9"/>
    <w:rsid w:val="6AFF300A"/>
    <w:rsid w:val="6B091F05"/>
    <w:rsid w:val="6B0C7B33"/>
    <w:rsid w:val="6B1A1459"/>
    <w:rsid w:val="6B39435F"/>
    <w:rsid w:val="6B3E7FD6"/>
    <w:rsid w:val="6B6332CA"/>
    <w:rsid w:val="6B87372B"/>
    <w:rsid w:val="6BB81B36"/>
    <w:rsid w:val="6BD7028F"/>
    <w:rsid w:val="6BF80717"/>
    <w:rsid w:val="6BF85B87"/>
    <w:rsid w:val="6C1D55C6"/>
    <w:rsid w:val="6C4663A0"/>
    <w:rsid w:val="6C6E4D5C"/>
    <w:rsid w:val="6C8D2FC3"/>
    <w:rsid w:val="6C9652DB"/>
    <w:rsid w:val="6CCC5F78"/>
    <w:rsid w:val="6CF71342"/>
    <w:rsid w:val="6D26555E"/>
    <w:rsid w:val="6D33797F"/>
    <w:rsid w:val="6D697D36"/>
    <w:rsid w:val="6E1100A6"/>
    <w:rsid w:val="6E1D0376"/>
    <w:rsid w:val="6E2C2368"/>
    <w:rsid w:val="6E781A51"/>
    <w:rsid w:val="6E7D7067"/>
    <w:rsid w:val="6E8D052E"/>
    <w:rsid w:val="6E982293"/>
    <w:rsid w:val="6EA445F4"/>
    <w:rsid w:val="6EC54776"/>
    <w:rsid w:val="6EC66318"/>
    <w:rsid w:val="6EC97FDE"/>
    <w:rsid w:val="6ED66271"/>
    <w:rsid w:val="6EE1655E"/>
    <w:rsid w:val="6EF2535F"/>
    <w:rsid w:val="6F063E1D"/>
    <w:rsid w:val="6F2B4924"/>
    <w:rsid w:val="6F6A1399"/>
    <w:rsid w:val="6FBE3493"/>
    <w:rsid w:val="707301DF"/>
    <w:rsid w:val="70A27315"/>
    <w:rsid w:val="70AA1185"/>
    <w:rsid w:val="70B054D2"/>
    <w:rsid w:val="70D50A94"/>
    <w:rsid w:val="70E84C6C"/>
    <w:rsid w:val="70F040A8"/>
    <w:rsid w:val="711A294B"/>
    <w:rsid w:val="71706A0F"/>
    <w:rsid w:val="722001CA"/>
    <w:rsid w:val="724C2FD8"/>
    <w:rsid w:val="7251239D"/>
    <w:rsid w:val="729C4BB7"/>
    <w:rsid w:val="73921146"/>
    <w:rsid w:val="73DB4E1F"/>
    <w:rsid w:val="740B13C3"/>
    <w:rsid w:val="743B50B2"/>
    <w:rsid w:val="7443371B"/>
    <w:rsid w:val="745C422F"/>
    <w:rsid w:val="74A751D7"/>
    <w:rsid w:val="74A83D3F"/>
    <w:rsid w:val="74AE1D28"/>
    <w:rsid w:val="74B9039C"/>
    <w:rsid w:val="74D326E8"/>
    <w:rsid w:val="75497CA3"/>
    <w:rsid w:val="75705230"/>
    <w:rsid w:val="757575F0"/>
    <w:rsid w:val="757C43AA"/>
    <w:rsid w:val="75B66837"/>
    <w:rsid w:val="75FE4093"/>
    <w:rsid w:val="761A7171"/>
    <w:rsid w:val="762F4835"/>
    <w:rsid w:val="763D3A86"/>
    <w:rsid w:val="76780840"/>
    <w:rsid w:val="767F254D"/>
    <w:rsid w:val="768F00D0"/>
    <w:rsid w:val="76954F28"/>
    <w:rsid w:val="76E210CD"/>
    <w:rsid w:val="770519A8"/>
    <w:rsid w:val="770E2F52"/>
    <w:rsid w:val="771C1E27"/>
    <w:rsid w:val="77333B9D"/>
    <w:rsid w:val="773F4EBA"/>
    <w:rsid w:val="774E334F"/>
    <w:rsid w:val="777059BB"/>
    <w:rsid w:val="77737AF1"/>
    <w:rsid w:val="77923326"/>
    <w:rsid w:val="77F35E7A"/>
    <w:rsid w:val="781A3F3B"/>
    <w:rsid w:val="7863107C"/>
    <w:rsid w:val="78B418D7"/>
    <w:rsid w:val="78C132E5"/>
    <w:rsid w:val="78CD4747"/>
    <w:rsid w:val="78D13E8C"/>
    <w:rsid w:val="792E7917"/>
    <w:rsid w:val="793F363C"/>
    <w:rsid w:val="797252E7"/>
    <w:rsid w:val="79731FBB"/>
    <w:rsid w:val="79A90D10"/>
    <w:rsid w:val="79B86B21"/>
    <w:rsid w:val="79C46A79"/>
    <w:rsid w:val="79EC1FD7"/>
    <w:rsid w:val="7A2B12FD"/>
    <w:rsid w:val="7A2D7B93"/>
    <w:rsid w:val="7A3F3FD5"/>
    <w:rsid w:val="7A644B7F"/>
    <w:rsid w:val="7AF0727B"/>
    <w:rsid w:val="7AFD1314"/>
    <w:rsid w:val="7B0326A2"/>
    <w:rsid w:val="7B71585E"/>
    <w:rsid w:val="7B7208A2"/>
    <w:rsid w:val="7B900A0A"/>
    <w:rsid w:val="7BC167E5"/>
    <w:rsid w:val="7BC41E31"/>
    <w:rsid w:val="7C0526B8"/>
    <w:rsid w:val="7C4405BE"/>
    <w:rsid w:val="7C617072"/>
    <w:rsid w:val="7CE5463C"/>
    <w:rsid w:val="7CFE5817"/>
    <w:rsid w:val="7D0C5A4B"/>
    <w:rsid w:val="7D0C67CE"/>
    <w:rsid w:val="7D2124A7"/>
    <w:rsid w:val="7D2E53CE"/>
    <w:rsid w:val="7D450D50"/>
    <w:rsid w:val="7D627B54"/>
    <w:rsid w:val="7D6A4C5A"/>
    <w:rsid w:val="7D6F41A2"/>
    <w:rsid w:val="7D7653AD"/>
    <w:rsid w:val="7DA55C93"/>
    <w:rsid w:val="7DC52EA5"/>
    <w:rsid w:val="7DF02012"/>
    <w:rsid w:val="7DFD53BF"/>
    <w:rsid w:val="7E215319"/>
    <w:rsid w:val="7E4133DF"/>
    <w:rsid w:val="7E510534"/>
    <w:rsid w:val="7EDA196C"/>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qFormat="1" w:unhideWhenUsed="0" w:uiPriority="0" w:semiHidden="0"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9"/>
    <w:pPr>
      <w:keepNext/>
      <w:keepLines/>
      <w:spacing w:line="360" w:lineRule="auto"/>
      <w:outlineLvl w:val="0"/>
    </w:pPr>
    <w:rPr>
      <w:rFonts w:eastAsia="黑体"/>
      <w:b/>
      <w:bCs/>
      <w:kern w:val="44"/>
      <w:sz w:val="44"/>
      <w:szCs w:val="44"/>
      <w:lang w:val="zh-CN"/>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autoRedefine/>
    <w:qFormat/>
    <w:uiPriority w:val="0"/>
    <w:pPr>
      <w:spacing w:line="413" w:lineRule="auto"/>
      <w:ind w:firstLine="480" w:firstLineChars="200"/>
      <w:jc w:val="left"/>
      <w:outlineLvl w:val="2"/>
    </w:pPr>
    <w:rPr>
      <w:bCs/>
      <w:sz w:val="24"/>
      <w:szCs w:val="24"/>
    </w:rPr>
  </w:style>
  <w:style w:type="paragraph" w:styleId="5">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6">
    <w:name w:val="heading 5"/>
    <w:basedOn w:val="1"/>
    <w:autoRedefine/>
    <w:qFormat/>
    <w:uiPriority w:val="0"/>
    <w:pPr>
      <w:keepNext/>
      <w:keepLines/>
      <w:spacing w:line="372" w:lineRule="auto"/>
      <w:outlineLvl w:val="4"/>
    </w:pPr>
    <w:rPr>
      <w:b/>
      <w:bCs/>
      <w:sz w:val="28"/>
      <w:szCs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99"/>
    <w:pPr>
      <w:ind w:left="1400" w:leftChars="1400"/>
    </w:pPr>
  </w:style>
  <w:style w:type="paragraph" w:styleId="8">
    <w:name w:val="Normal Indent"/>
    <w:basedOn w:val="1"/>
    <w:next w:val="1"/>
    <w:qFormat/>
    <w:uiPriority w:val="0"/>
    <w:pPr>
      <w:ind w:firstLine="420"/>
    </w:pPr>
    <w:rPr>
      <w:szCs w:val="20"/>
    </w:rPr>
  </w:style>
  <w:style w:type="paragraph" w:styleId="9">
    <w:name w:val="annotation text"/>
    <w:basedOn w:val="1"/>
    <w:link w:val="35"/>
    <w:autoRedefine/>
    <w:qFormat/>
    <w:uiPriority w:val="0"/>
    <w:pPr>
      <w:jc w:val="left"/>
    </w:pPr>
  </w:style>
  <w:style w:type="paragraph" w:styleId="10">
    <w:name w:val="Body Text"/>
    <w:basedOn w:val="1"/>
    <w:next w:val="1"/>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11">
    <w:name w:val="Body Text Indent"/>
    <w:basedOn w:val="1"/>
    <w:link w:val="40"/>
    <w:autoRedefine/>
    <w:qFormat/>
    <w:uiPriority w:val="0"/>
    <w:pPr>
      <w:ind w:firstLine="830" w:firstLineChars="352"/>
    </w:pPr>
    <w:rPr>
      <w:rFonts w:ascii="仿宋_GB2312" w:eastAsia="仿宋_GB2312"/>
      <w:kern w:val="0"/>
      <w:sz w:val="32"/>
      <w:szCs w:val="20"/>
    </w:rPr>
  </w:style>
  <w:style w:type="paragraph" w:styleId="12">
    <w:name w:val="List 2"/>
    <w:basedOn w:val="1"/>
    <w:qFormat/>
    <w:uiPriority w:val="0"/>
    <w:pPr>
      <w:ind w:left="400" w:leftChars="200" w:hanging="200" w:hangingChars="200"/>
      <w:contextualSpacing/>
    </w:pPr>
  </w:style>
  <w:style w:type="paragraph" w:styleId="13">
    <w:name w:val="toc 5"/>
    <w:basedOn w:val="1"/>
    <w:autoRedefine/>
    <w:qFormat/>
    <w:uiPriority w:val="0"/>
    <w:pPr>
      <w:tabs>
        <w:tab w:val="right" w:leader="dot" w:pos="8296"/>
      </w:tabs>
      <w:ind w:left="1050" w:leftChars="500"/>
    </w:pPr>
  </w:style>
  <w:style w:type="paragraph" w:styleId="14">
    <w:name w:val="toc 3"/>
    <w:basedOn w:val="1"/>
    <w:autoRedefine/>
    <w:qFormat/>
    <w:uiPriority w:val="0"/>
    <w:pPr>
      <w:ind w:left="840" w:leftChars="400"/>
    </w:pPr>
  </w:style>
  <w:style w:type="paragraph" w:styleId="15">
    <w:name w:val="Plain Text"/>
    <w:basedOn w:val="1"/>
    <w:next w:val="5"/>
    <w:link w:val="43"/>
    <w:autoRedefine/>
    <w:qFormat/>
    <w:uiPriority w:val="99"/>
    <w:rPr>
      <w:rFonts w:ascii="宋体" w:hAnsi="Courier New" w:cs="Courier New"/>
      <w:szCs w:val="21"/>
    </w:rPr>
  </w:style>
  <w:style w:type="paragraph" w:styleId="16">
    <w:name w:val="Balloon Text"/>
    <w:basedOn w:val="1"/>
    <w:link w:val="3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autoRedefine/>
    <w:qFormat/>
    <w:uiPriority w:val="0"/>
    <w:pPr>
      <w:tabs>
        <w:tab w:val="left" w:pos="1890"/>
        <w:tab w:val="right" w:leader="dot" w:pos="8296"/>
      </w:tabs>
      <w:ind w:left="630" w:leftChars="300"/>
    </w:p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annotation subject"/>
    <w:basedOn w:val="9"/>
    <w:link w:val="36"/>
    <w:autoRedefine/>
    <w:qFormat/>
    <w:uiPriority w:val="0"/>
    <w:rPr>
      <w:b/>
      <w:bCs/>
    </w:rPr>
  </w:style>
  <w:style w:type="paragraph" w:styleId="23">
    <w:name w:val="Body Text First Indent"/>
    <w:basedOn w:val="10"/>
    <w:qFormat/>
    <w:uiPriority w:val="0"/>
    <w:pPr>
      <w:ind w:firstLine="420" w:firstLineChars="100"/>
    </w:pPr>
  </w:style>
  <w:style w:type="paragraph" w:styleId="24">
    <w:name w:val="Body Text First Indent 2"/>
    <w:basedOn w:val="11"/>
    <w:next w:val="1"/>
    <w:link w:val="41"/>
    <w:autoRedefine/>
    <w:qFormat/>
    <w:uiPriority w:val="0"/>
    <w:pPr>
      <w:spacing w:after="120"/>
      <w:ind w:left="420" w:leftChars="200" w:firstLine="210" w:firstLineChars="200"/>
    </w:pPr>
    <w:rPr>
      <w:rFonts w:ascii="宋体" w:hAnsi="宋体"/>
      <w:kern w:val="2"/>
      <w:sz w:val="28"/>
    </w:rPr>
  </w:style>
  <w:style w:type="character" w:styleId="27">
    <w:name w:val="Strong"/>
    <w:basedOn w:val="26"/>
    <w:qFormat/>
    <w:uiPriority w:val="99"/>
    <w:rPr>
      <w:b/>
    </w:rPr>
  </w:style>
  <w:style w:type="character" w:styleId="28">
    <w:name w:val="Hyperlink"/>
    <w:qFormat/>
    <w:uiPriority w:val="0"/>
    <w:rPr>
      <w:rFonts w:cs="Times New Roman"/>
      <w:color w:val="0000FF"/>
      <w:u w:val="single"/>
    </w:rPr>
  </w:style>
  <w:style w:type="character" w:styleId="29">
    <w:name w:val="annotation reference"/>
    <w:basedOn w:val="26"/>
    <w:qFormat/>
    <w:uiPriority w:val="0"/>
    <w:rPr>
      <w:sz w:val="21"/>
      <w:szCs w:val="21"/>
    </w:rPr>
  </w:style>
  <w:style w:type="paragraph" w:customStyle="1" w:styleId="30">
    <w:name w:val="正文1"/>
    <w:qFormat/>
    <w:uiPriority w:val="0"/>
    <w:rPr>
      <w:rFonts w:ascii="Times New Roman" w:hAnsi="Times New Roman" w:eastAsia="Times New Roman" w:cs="Times New Roman"/>
      <w:sz w:val="24"/>
      <w:szCs w:val="24"/>
      <w:lang w:val="en-US" w:eastAsia="zh-CN" w:bidi="ar-SA"/>
    </w:rPr>
  </w:style>
  <w:style w:type="paragraph" w:customStyle="1" w:styleId="31">
    <w:name w:val="Div_MsoNormal ParagraphIndent"/>
    <w:basedOn w:val="30"/>
    <w:qFormat/>
    <w:uiPriority w:val="0"/>
    <w:rPr>
      <w:rFonts w:ascii="宋体" w:hAnsi="宋体" w:eastAsia="宋体" w:cs="宋体"/>
      <w:sz w:val="21"/>
    </w:rPr>
  </w:style>
  <w:style w:type="paragraph" w:customStyle="1" w:styleId="32">
    <w:name w:val="Div_MsoNormal  ParagraphIndent"/>
    <w:basedOn w:val="30"/>
    <w:qFormat/>
    <w:uiPriority w:val="0"/>
    <w:rPr>
      <w:rFonts w:ascii="宋体" w:hAnsi="宋体" w:eastAsia="宋体" w:cs="宋体"/>
      <w:sz w:val="21"/>
    </w:rPr>
  </w:style>
  <w:style w:type="paragraph" w:customStyle="1" w:styleId="33">
    <w:name w:val="_Style 6"/>
    <w:basedOn w:val="2"/>
    <w:autoRedefine/>
    <w:qFormat/>
    <w:uiPriority w:val="0"/>
    <w:pPr>
      <w:outlineLvl w:val="9"/>
    </w:pPr>
  </w:style>
  <w:style w:type="paragraph" w:customStyle="1" w:styleId="34">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5">
    <w:name w:val="批注文字 Char"/>
    <w:basedOn w:val="26"/>
    <w:link w:val="9"/>
    <w:qFormat/>
    <w:uiPriority w:val="0"/>
    <w:rPr>
      <w:rFonts w:ascii="Calibri" w:hAnsi="Calibri"/>
      <w:kern w:val="2"/>
      <w:sz w:val="21"/>
      <w:szCs w:val="22"/>
    </w:rPr>
  </w:style>
  <w:style w:type="character" w:customStyle="1" w:styleId="36">
    <w:name w:val="批注主题 Char"/>
    <w:basedOn w:val="35"/>
    <w:link w:val="22"/>
    <w:qFormat/>
    <w:uiPriority w:val="0"/>
    <w:rPr>
      <w:rFonts w:ascii="Calibri" w:hAnsi="Calibri"/>
      <w:kern w:val="2"/>
      <w:sz w:val="21"/>
      <w:szCs w:val="22"/>
    </w:rPr>
  </w:style>
  <w:style w:type="character" w:customStyle="1" w:styleId="37">
    <w:name w:val="批注框文本 Char"/>
    <w:basedOn w:val="26"/>
    <w:link w:val="16"/>
    <w:qFormat/>
    <w:uiPriority w:val="0"/>
    <w:rPr>
      <w:rFonts w:ascii="Calibri" w:hAnsi="Calibri"/>
      <w:kern w:val="2"/>
      <w:sz w:val="18"/>
      <w:szCs w:val="18"/>
    </w:rPr>
  </w:style>
  <w:style w:type="paragraph" w:styleId="38">
    <w:name w:val="List Paragraph"/>
    <w:basedOn w:val="1"/>
    <w:unhideWhenUsed/>
    <w:qFormat/>
    <w:uiPriority w:val="99"/>
    <w:pPr>
      <w:ind w:firstLine="420" w:firstLineChars="200"/>
    </w:pPr>
  </w:style>
  <w:style w:type="paragraph" w:customStyle="1" w:styleId="39">
    <w:name w:val="表格文字"/>
    <w:basedOn w:val="1"/>
    <w:qFormat/>
    <w:uiPriority w:val="99"/>
    <w:pPr>
      <w:spacing w:before="25" w:after="25"/>
      <w:jc w:val="left"/>
    </w:pPr>
    <w:rPr>
      <w:bCs/>
      <w:spacing w:val="10"/>
      <w:kern w:val="0"/>
      <w:sz w:val="24"/>
    </w:rPr>
  </w:style>
  <w:style w:type="character" w:customStyle="1" w:styleId="40">
    <w:name w:val="正文文本缩进 Char"/>
    <w:basedOn w:val="26"/>
    <w:link w:val="11"/>
    <w:qFormat/>
    <w:uiPriority w:val="0"/>
    <w:rPr>
      <w:rFonts w:hint="default" w:ascii="Calibri" w:hAnsi="Calibri" w:cs="Calibri"/>
      <w:kern w:val="2"/>
      <w:sz w:val="21"/>
      <w:szCs w:val="22"/>
    </w:rPr>
  </w:style>
  <w:style w:type="character" w:customStyle="1" w:styleId="41">
    <w:name w:val="正文首行缩进 2 Char"/>
    <w:basedOn w:val="40"/>
    <w:link w:val="24"/>
    <w:qFormat/>
    <w:uiPriority w:val="0"/>
    <w:rPr>
      <w:rFonts w:hint="default" w:ascii="Calibri" w:hAnsi="Calibri" w:cs="Calibri"/>
      <w:kern w:val="2"/>
      <w:sz w:val="21"/>
      <w:szCs w:val="22"/>
    </w:rPr>
  </w:style>
  <w:style w:type="paragraph" w:customStyle="1" w:styleId="42">
    <w:name w:val="_Style 1"/>
    <w:basedOn w:val="1"/>
    <w:qFormat/>
    <w:uiPriority w:val="99"/>
    <w:pPr>
      <w:ind w:firstLine="420" w:firstLineChars="200"/>
    </w:pPr>
    <w:rPr>
      <w:rFonts w:ascii="Times New Roman" w:hAnsi="Times New Roman"/>
      <w:szCs w:val="20"/>
    </w:rPr>
  </w:style>
  <w:style w:type="character" w:customStyle="1" w:styleId="43">
    <w:name w:val="纯文本 Char"/>
    <w:link w:val="15"/>
    <w:qFormat/>
    <w:uiPriority w:val="99"/>
    <w:rPr>
      <w:rFonts w:ascii="宋体" w:hAnsi="Courier New" w:cs="Courier New"/>
      <w:kern w:val="2"/>
      <w:sz w:val="21"/>
      <w:szCs w:val="21"/>
    </w:rPr>
  </w:style>
  <w:style w:type="character" w:customStyle="1" w:styleId="44">
    <w:name w:val="font71"/>
    <w:basedOn w:val="26"/>
    <w:qFormat/>
    <w:uiPriority w:val="0"/>
    <w:rPr>
      <w:rFonts w:hint="eastAsia" w:ascii="宋体" w:hAnsi="宋体" w:eastAsia="宋体" w:cs="宋体"/>
      <w:color w:val="000000"/>
      <w:sz w:val="24"/>
      <w:szCs w:val="24"/>
      <w:u w:val="none"/>
    </w:rPr>
  </w:style>
  <w:style w:type="paragraph" w:customStyle="1" w:styleId="45">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6">
    <w:name w:val="font11"/>
    <w:basedOn w:val="26"/>
    <w:qFormat/>
    <w:uiPriority w:val="0"/>
    <w:rPr>
      <w:rFonts w:hint="eastAsia" w:ascii="宋体" w:hAnsi="宋体" w:eastAsia="宋体" w:cs="宋体"/>
      <w:color w:val="000000"/>
      <w:sz w:val="22"/>
      <w:szCs w:val="22"/>
      <w:u w:val="none"/>
    </w:rPr>
  </w:style>
  <w:style w:type="character" w:customStyle="1" w:styleId="47">
    <w:name w:val="NormalCharacter"/>
    <w:qFormat/>
    <w:uiPriority w:val="0"/>
  </w:style>
  <w:style w:type="character" w:customStyle="1" w:styleId="48">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17128</Words>
  <Characters>17847</Characters>
  <Lines>29</Lines>
  <Paragraphs>8</Paragraphs>
  <TotalTime>3</TotalTime>
  <ScaleCrop>false</ScaleCrop>
  <LinksUpToDate>false</LinksUpToDate>
  <CharactersWithSpaces>17962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可爱滴46</cp:lastModifiedBy>
  <dcterms:modified xsi:type="dcterms:W3CDTF">2026-03-23T03:59:35Z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AB19D9EEB5044ACCA44309A2F325D626_13</vt:lpwstr>
  </property>
  <property fmtid="{D5CDD505-2E9C-101B-9397-08002B2CF9AE}" pid="4" name="KSOTemplateDocerSaveRecord">
    <vt:lpwstr>eyJoZGlkIjoiNjg0YjRlNWU1MTNmNTNlNDQ0NGVhYTdmNzNlMjllYTEiLCJ1c2VySWQiOiI2MzkwMTA2NDYifQ==</vt:lpwstr>
  </property>
</Properties>
</file>