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55540">
      <w:pPr>
        <w:jc w:val="center"/>
        <w:rPr>
          <w:rFonts w:hint="eastAsia" w:ascii="宋体" w:hAnsi="宋体" w:eastAsia="宋体" w:cs="宋体"/>
          <w:b/>
          <w:bCs/>
          <w:sz w:val="48"/>
          <w:szCs w:val="48"/>
          <w:u w:val="none"/>
        </w:rPr>
      </w:pPr>
    </w:p>
    <w:p w14:paraId="08531DFB">
      <w:pPr>
        <w:jc w:val="center"/>
        <w:rPr>
          <w:rFonts w:hint="eastAsia" w:ascii="宋体" w:hAnsi="宋体" w:eastAsia="宋体" w:cs="宋体"/>
          <w:b/>
          <w:bCs/>
          <w:sz w:val="48"/>
          <w:szCs w:val="48"/>
          <w:u w:val="none"/>
        </w:rPr>
      </w:pPr>
    </w:p>
    <w:p w14:paraId="1E5B32BA">
      <w:pPr>
        <w:jc w:val="center"/>
        <w:rPr>
          <w:rFonts w:hint="eastAsia" w:ascii="宋体" w:hAnsi="宋体" w:eastAsia="宋体" w:cs="宋体"/>
          <w:b/>
          <w:bCs/>
          <w:sz w:val="48"/>
          <w:szCs w:val="48"/>
          <w:u w:val="none"/>
          <w:lang w:eastAsia="zh-CN"/>
        </w:rPr>
      </w:pPr>
      <w:r>
        <w:rPr>
          <w:rFonts w:hint="eastAsia" w:ascii="宋体" w:hAnsi="宋体" w:eastAsia="宋体" w:cs="宋体"/>
          <w:b/>
          <w:bCs/>
          <w:sz w:val="48"/>
          <w:szCs w:val="48"/>
          <w:u w:val="none"/>
          <w:lang w:eastAsia="zh-CN"/>
        </w:rPr>
        <w:t>广西医科大学第一附属医院</w:t>
      </w:r>
    </w:p>
    <w:p w14:paraId="6CCC53B5">
      <w:pPr>
        <w:jc w:val="center"/>
        <w:rPr>
          <w:rFonts w:hint="default" w:ascii="宋体" w:hAnsi="宋体" w:eastAsia="宋体" w:cs="宋体"/>
          <w:b/>
          <w:bCs/>
          <w:sz w:val="48"/>
          <w:szCs w:val="48"/>
          <w:u w:val="none"/>
          <w:lang w:val="en-US" w:eastAsia="zh-CN"/>
        </w:rPr>
      </w:pPr>
      <w:r>
        <w:rPr>
          <w:rFonts w:hint="eastAsia" w:ascii="宋体" w:hAnsi="宋体" w:eastAsia="宋体" w:cs="宋体"/>
          <w:b/>
          <w:bCs/>
          <w:sz w:val="48"/>
          <w:szCs w:val="48"/>
          <w:u w:val="none"/>
          <w:lang w:eastAsia="zh-CN"/>
        </w:rPr>
        <w:t>财产保险服务</w:t>
      </w:r>
      <w:r>
        <w:rPr>
          <w:rFonts w:hint="eastAsia" w:ascii="宋体" w:hAnsi="宋体" w:eastAsia="宋体" w:cs="宋体"/>
          <w:b/>
          <w:bCs/>
          <w:sz w:val="48"/>
          <w:szCs w:val="48"/>
          <w:u w:val="none"/>
          <w:lang w:val="en-US" w:eastAsia="zh-CN"/>
        </w:rPr>
        <w:t>市场调研调查问卷</w:t>
      </w:r>
    </w:p>
    <w:p w14:paraId="60B7FA84">
      <w:pPr>
        <w:jc w:val="center"/>
        <w:rPr>
          <w:rFonts w:hint="eastAsia" w:ascii="宋体" w:hAnsi="宋体" w:eastAsia="宋体" w:cs="宋体"/>
          <w:sz w:val="28"/>
          <w:szCs w:val="28"/>
        </w:rPr>
      </w:pPr>
    </w:p>
    <w:p w14:paraId="325429F2">
      <w:pPr>
        <w:jc w:val="center"/>
        <w:rPr>
          <w:rFonts w:hint="eastAsia" w:ascii="宋体" w:hAnsi="宋体" w:eastAsia="宋体" w:cs="宋体"/>
          <w:sz w:val="28"/>
          <w:szCs w:val="28"/>
        </w:rPr>
      </w:pPr>
    </w:p>
    <w:p w14:paraId="3EAD8258">
      <w:pPr>
        <w:jc w:val="center"/>
        <w:rPr>
          <w:rFonts w:hint="eastAsia" w:ascii="宋体" w:hAnsi="宋体" w:eastAsia="宋体" w:cs="宋体"/>
          <w:sz w:val="28"/>
          <w:szCs w:val="28"/>
        </w:rPr>
      </w:pPr>
    </w:p>
    <w:p w14:paraId="18A3D3D2">
      <w:pPr>
        <w:jc w:val="center"/>
        <w:rPr>
          <w:rFonts w:hint="eastAsia" w:ascii="宋体" w:hAnsi="宋体" w:eastAsia="宋体" w:cs="宋体"/>
          <w:sz w:val="28"/>
          <w:szCs w:val="28"/>
        </w:rPr>
      </w:pPr>
    </w:p>
    <w:p w14:paraId="5E0A157A">
      <w:pPr>
        <w:spacing w:line="360" w:lineRule="auto"/>
        <w:ind w:firstLine="1400" w:firstLineChars="500"/>
        <w:rPr>
          <w:rFonts w:hint="eastAsia" w:ascii="宋体" w:hAnsi="宋体" w:eastAsia="宋体" w:cs="宋体"/>
          <w:sz w:val="28"/>
          <w:szCs w:val="28"/>
        </w:rPr>
      </w:pPr>
    </w:p>
    <w:p w14:paraId="419C1802">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公司名称（盖章）：</w:t>
      </w:r>
    </w:p>
    <w:p w14:paraId="6C8D6D59">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联系人姓名：</w:t>
      </w:r>
    </w:p>
    <w:p w14:paraId="7B930DC4">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联系方式：</w:t>
      </w:r>
    </w:p>
    <w:p w14:paraId="29EC8873">
      <w:pPr>
        <w:spacing w:line="360" w:lineRule="auto"/>
        <w:ind w:firstLine="1400" w:firstLineChars="5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电子邮件：</w:t>
      </w:r>
    </w:p>
    <w:p w14:paraId="1B27F300">
      <w:pPr>
        <w:jc w:val="center"/>
        <w:rPr>
          <w:rFonts w:hint="eastAsia" w:ascii="宋体" w:hAnsi="宋体" w:eastAsia="宋体" w:cs="宋体"/>
          <w:sz w:val="28"/>
          <w:szCs w:val="28"/>
        </w:rPr>
      </w:pPr>
    </w:p>
    <w:p w14:paraId="3D4CF0CB">
      <w:pPr>
        <w:jc w:val="center"/>
        <w:rPr>
          <w:rFonts w:hint="eastAsia" w:ascii="宋体" w:hAnsi="宋体" w:eastAsia="宋体" w:cs="宋体"/>
          <w:sz w:val="28"/>
          <w:szCs w:val="28"/>
        </w:rPr>
      </w:pPr>
    </w:p>
    <w:p w14:paraId="106B2A66">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551322F">
      <w:pPr>
        <w:spacing w:before="240" w:beforeLines="100" w:after="240" w:afterLines="100"/>
        <w:rPr>
          <w:rFonts w:hint="eastAsia" w:ascii="宋体" w:hAnsi="宋体" w:eastAsia="宋体" w:cs="宋体"/>
          <w:sz w:val="28"/>
          <w:szCs w:val="28"/>
        </w:rPr>
      </w:pPr>
      <w:r>
        <w:rPr>
          <w:rFonts w:hint="eastAsia" w:ascii="宋体" w:hAnsi="宋体" w:eastAsia="宋体" w:cs="宋体"/>
          <w:sz w:val="28"/>
          <w:szCs w:val="28"/>
        </w:rPr>
        <w:t xml:space="preserve"> </w:t>
      </w:r>
    </w:p>
    <w:p w14:paraId="03F68124">
      <w:pPr>
        <w:widowControl w:val="0"/>
        <w:adjustRightInd/>
        <w:snapToGrid/>
        <w:spacing w:beforeLines="0" w:beforeAutospacing="0" w:afterLines="0" w:afterAutospacing="0" w:line="416" w:lineRule="auto"/>
        <w:jc w:val="center"/>
        <w:rPr>
          <w:rFonts w:hint="eastAsia" w:ascii="Calibri" w:hAnsi="Calibri" w:eastAsia="宋体" w:cs="Times New Roman"/>
          <w:b/>
          <w:bCs/>
          <w:kern w:val="2"/>
          <w:sz w:val="28"/>
          <w:szCs w:val="28"/>
          <w:lang w:eastAsia="zh-CN"/>
        </w:rPr>
      </w:pPr>
      <w:r>
        <w:rPr>
          <w:rFonts w:hint="eastAsia" w:ascii="宋体" w:hAnsi="宋体" w:eastAsia="宋体" w:cs="宋体"/>
          <w:sz w:val="28"/>
          <w:szCs w:val="28"/>
        </w:rPr>
        <w:br w:type="page"/>
      </w:r>
      <w:bookmarkStart w:id="0" w:name="_Toc163270989"/>
      <w:bookmarkStart w:id="1" w:name="_Toc158458008"/>
      <w:bookmarkStart w:id="2" w:name="_Toc173558684"/>
      <w:bookmarkStart w:id="3" w:name="_Toc349555831"/>
      <w:bookmarkStart w:id="4" w:name="_Toc349215544"/>
      <w:bookmarkStart w:id="5" w:name="_Toc251051976"/>
      <w:r>
        <w:rPr>
          <w:rFonts w:hint="eastAsia" w:ascii="Calibri" w:hAnsi="Calibri" w:eastAsia="宋体" w:cs="Times New Roman"/>
          <w:b/>
          <w:bCs/>
          <w:kern w:val="2"/>
          <w:sz w:val="28"/>
          <w:szCs w:val="28"/>
          <w:lang w:val="en-US" w:eastAsia="zh-CN"/>
        </w:rPr>
        <w:t>声明函</w:t>
      </w:r>
    </w:p>
    <w:p w14:paraId="6A88CDD9">
      <w:pPr>
        <w:widowControl w:val="0"/>
        <w:adjustRightInd/>
        <w:snapToGrid/>
        <w:spacing w:after="0" w:line="360" w:lineRule="auto"/>
        <w:jc w:val="left"/>
        <w:rPr>
          <w:rFonts w:ascii="宋体" w:hAnsi="宋体" w:eastAsia="宋体" w:cs="Times New Roman"/>
          <w:kern w:val="2"/>
          <w:sz w:val="24"/>
          <w:szCs w:val="24"/>
        </w:rPr>
      </w:pPr>
      <w:r>
        <w:rPr>
          <w:rFonts w:hint="eastAsia" w:ascii="宋体" w:hAnsi="宋体" w:eastAsia="宋体" w:cs="Times New Roman"/>
          <w:kern w:val="2"/>
          <w:sz w:val="24"/>
          <w:szCs w:val="24"/>
        </w:rPr>
        <w:t>致：</w:t>
      </w:r>
      <w:r>
        <w:rPr>
          <w:rFonts w:hint="eastAsia" w:ascii="宋体" w:hAnsi="宋体" w:eastAsia="宋体" w:cs="Times New Roman"/>
          <w:kern w:val="2"/>
          <w:sz w:val="24"/>
          <w:szCs w:val="24"/>
          <w:lang w:val="en-US" w:eastAsia="zh-CN"/>
        </w:rPr>
        <w:t>广西医科大学第一附属医院</w:t>
      </w:r>
      <w:r>
        <w:rPr>
          <w:rFonts w:hint="eastAsia" w:ascii="宋体" w:hAnsi="宋体" w:eastAsia="宋体" w:cs="Times New Roman"/>
          <w:kern w:val="2"/>
          <w:sz w:val="24"/>
          <w:szCs w:val="24"/>
        </w:rPr>
        <w:t>：</w:t>
      </w:r>
    </w:p>
    <w:p w14:paraId="1EDA6F14">
      <w:pPr>
        <w:widowControl w:val="0"/>
        <w:adjustRightInd/>
        <w:snapToGrid/>
        <w:spacing w:after="0" w:line="360" w:lineRule="auto"/>
        <w:ind w:firstLine="480" w:firstLineChars="200"/>
        <w:jc w:val="left"/>
        <w:rPr>
          <w:rFonts w:ascii="宋体" w:hAnsi="宋体" w:eastAsia="宋体" w:cs="Times New Roman"/>
          <w:kern w:val="2"/>
          <w:sz w:val="24"/>
          <w:szCs w:val="24"/>
        </w:rPr>
      </w:pPr>
      <w:r>
        <w:rPr>
          <w:rFonts w:hint="eastAsia" w:ascii="宋体" w:hAnsi="宋体" w:eastAsia="宋体" w:cs="Times New Roman"/>
          <w:kern w:val="2"/>
          <w:sz w:val="24"/>
          <w:szCs w:val="24"/>
        </w:rPr>
        <w:t>我公司已认真阅读了贵</w:t>
      </w:r>
      <w:r>
        <w:rPr>
          <w:rFonts w:hint="eastAsia" w:ascii="宋体" w:hAnsi="宋体" w:eastAsia="宋体" w:cs="Times New Roman"/>
          <w:kern w:val="2"/>
          <w:sz w:val="24"/>
          <w:szCs w:val="24"/>
          <w:lang w:val="en-US" w:eastAsia="zh-CN"/>
        </w:rPr>
        <w:t>单位发布</w:t>
      </w:r>
      <w:r>
        <w:rPr>
          <w:rFonts w:hint="eastAsia" w:ascii="宋体" w:hAnsi="宋体" w:eastAsia="宋体" w:cs="Times New Roman"/>
          <w:kern w:val="2"/>
          <w:sz w:val="24"/>
          <w:szCs w:val="24"/>
        </w:rPr>
        <w:t>的</w:t>
      </w:r>
      <w:r>
        <w:rPr>
          <w:rFonts w:hint="eastAsia" w:ascii="宋体" w:hAnsi="宋体" w:eastAsia="宋体" w:cs="Times New Roman"/>
          <w:kern w:val="2"/>
          <w:sz w:val="24"/>
          <w:szCs w:val="24"/>
          <w:lang w:val="en-US" w:eastAsia="zh-CN"/>
        </w:rPr>
        <w:t>市场调研公告</w:t>
      </w:r>
      <w:r>
        <w:rPr>
          <w:rFonts w:hint="eastAsia" w:ascii="宋体" w:hAnsi="宋体" w:eastAsia="宋体" w:cs="Times New Roman"/>
          <w:kern w:val="2"/>
          <w:sz w:val="24"/>
          <w:szCs w:val="24"/>
        </w:rPr>
        <w:t>，充分知悉并了解了贵</w:t>
      </w:r>
      <w:r>
        <w:rPr>
          <w:rFonts w:hint="eastAsia" w:ascii="宋体" w:hAnsi="宋体" w:cs="Times New Roman"/>
          <w:kern w:val="2"/>
          <w:sz w:val="24"/>
          <w:szCs w:val="24"/>
          <w:lang w:val="en-US" w:eastAsia="zh-CN"/>
        </w:rPr>
        <w:t>单位</w:t>
      </w:r>
      <w:r>
        <w:rPr>
          <w:rFonts w:hint="eastAsia" w:ascii="宋体" w:hAnsi="宋体" w:eastAsia="宋体" w:cs="Times New Roman"/>
          <w:kern w:val="2"/>
          <w:sz w:val="24"/>
          <w:szCs w:val="24"/>
        </w:rPr>
        <w:t>本次</w:t>
      </w:r>
      <w:r>
        <w:rPr>
          <w:rFonts w:hint="eastAsia" w:ascii="宋体" w:hAnsi="宋体" w:eastAsia="宋体" w:cs="Times New Roman"/>
          <w:kern w:val="2"/>
          <w:sz w:val="24"/>
          <w:szCs w:val="24"/>
          <w:lang w:val="en-US" w:eastAsia="zh-CN"/>
        </w:rPr>
        <w:t>市场调研</w:t>
      </w:r>
      <w:r>
        <w:rPr>
          <w:rFonts w:hint="eastAsia" w:ascii="宋体" w:hAnsi="宋体" w:eastAsia="宋体" w:cs="Times New Roman"/>
          <w:kern w:val="2"/>
          <w:sz w:val="24"/>
          <w:szCs w:val="24"/>
        </w:rPr>
        <w:t>内容，我方针对本次调查</w:t>
      </w:r>
      <w:r>
        <w:rPr>
          <w:rFonts w:hint="eastAsia" w:ascii="宋体" w:hAnsi="宋体" w:cs="Times New Roman"/>
          <w:kern w:val="2"/>
          <w:sz w:val="24"/>
          <w:szCs w:val="24"/>
          <w:lang w:val="en-US" w:eastAsia="zh-CN"/>
        </w:rPr>
        <w:t>材料</w:t>
      </w:r>
      <w:r>
        <w:rPr>
          <w:rFonts w:hint="eastAsia" w:ascii="宋体" w:hAnsi="宋体" w:eastAsia="宋体" w:cs="Times New Roman"/>
          <w:kern w:val="2"/>
          <w:sz w:val="24"/>
          <w:szCs w:val="24"/>
        </w:rPr>
        <w:t>的建议或者意见都已在本记录中进行了反映。</w:t>
      </w:r>
    </w:p>
    <w:p w14:paraId="1A018447">
      <w:pPr>
        <w:widowControl w:val="0"/>
        <w:adjustRightInd/>
        <w:snapToGrid/>
        <w:spacing w:after="0" w:line="360" w:lineRule="auto"/>
        <w:ind w:firstLine="480" w:firstLineChars="200"/>
        <w:jc w:val="left"/>
        <w:rPr>
          <w:rFonts w:ascii="宋体" w:hAnsi="宋体" w:eastAsia="宋体" w:cs="Times New Roman"/>
          <w:kern w:val="2"/>
          <w:sz w:val="24"/>
          <w:szCs w:val="24"/>
        </w:rPr>
      </w:pPr>
      <w:r>
        <w:rPr>
          <w:rFonts w:hint="eastAsia" w:ascii="宋体" w:hAnsi="宋体" w:eastAsia="宋体" w:cs="Times New Roman"/>
          <w:kern w:val="2"/>
          <w:sz w:val="24"/>
          <w:szCs w:val="24"/>
        </w:rPr>
        <w:t>我方同意贵方无偿采用我方提交的调查</w:t>
      </w:r>
      <w:r>
        <w:rPr>
          <w:rFonts w:hint="eastAsia" w:ascii="宋体" w:hAnsi="宋体" w:cs="Times New Roman"/>
          <w:kern w:val="2"/>
          <w:sz w:val="24"/>
          <w:szCs w:val="24"/>
          <w:lang w:val="en-US" w:eastAsia="zh-CN"/>
        </w:rPr>
        <w:t>材料</w:t>
      </w:r>
      <w:r>
        <w:rPr>
          <w:rFonts w:hint="eastAsia" w:ascii="宋体" w:hAnsi="宋体" w:eastAsia="宋体" w:cs="Times New Roman"/>
          <w:kern w:val="2"/>
          <w:sz w:val="24"/>
          <w:szCs w:val="24"/>
        </w:rPr>
        <w:t>全部或部分内容作为贵方采购需求的内容，</w:t>
      </w:r>
      <w:r>
        <w:rPr>
          <w:rFonts w:hint="eastAsia" w:ascii="宋体" w:hAnsi="宋体" w:cs="Times New Roman"/>
          <w:kern w:val="2"/>
          <w:sz w:val="24"/>
          <w:szCs w:val="24"/>
          <w:lang w:val="en-US" w:eastAsia="zh-CN"/>
        </w:rPr>
        <w:t>贵方</w:t>
      </w:r>
      <w:r>
        <w:rPr>
          <w:rFonts w:hint="eastAsia" w:ascii="宋体" w:hAnsi="宋体" w:eastAsia="宋体" w:cs="Times New Roman"/>
          <w:kern w:val="2"/>
          <w:sz w:val="24"/>
          <w:szCs w:val="24"/>
        </w:rPr>
        <w:t>无需承担任何责任。</w:t>
      </w:r>
    </w:p>
    <w:p w14:paraId="4F8E7997">
      <w:pPr>
        <w:widowControl w:val="0"/>
        <w:adjustRightInd/>
        <w:snapToGrid/>
        <w:spacing w:after="0" w:line="360" w:lineRule="auto"/>
        <w:jc w:val="left"/>
        <w:rPr>
          <w:rFonts w:ascii="宋体" w:hAnsi="宋体" w:eastAsia="宋体" w:cs="Times New Roman"/>
          <w:kern w:val="2"/>
          <w:sz w:val="24"/>
          <w:szCs w:val="24"/>
        </w:rPr>
      </w:pPr>
    </w:p>
    <w:p w14:paraId="36F4DCF5">
      <w:pPr>
        <w:widowControl w:val="0"/>
        <w:adjustRightInd/>
        <w:snapToGrid/>
        <w:spacing w:after="0" w:line="360" w:lineRule="auto"/>
        <w:ind w:firstLine="480" w:firstLineChars="200"/>
        <w:jc w:val="left"/>
        <w:rPr>
          <w:rFonts w:ascii="宋体" w:hAnsi="宋体" w:eastAsia="宋体" w:cs="Times New Roman"/>
          <w:kern w:val="2"/>
          <w:sz w:val="24"/>
          <w:szCs w:val="24"/>
        </w:rPr>
      </w:pPr>
      <w:r>
        <w:rPr>
          <w:rFonts w:hint="eastAsia" w:ascii="宋体" w:hAnsi="宋体" w:eastAsia="宋体" w:cs="Times New Roman"/>
          <w:kern w:val="2"/>
          <w:sz w:val="24"/>
          <w:szCs w:val="24"/>
        </w:rPr>
        <w:t>本公司将严格遵守上述事项，并对</w:t>
      </w:r>
      <w:r>
        <w:rPr>
          <w:rFonts w:hint="eastAsia" w:ascii="宋体" w:hAnsi="宋体" w:eastAsia="宋体" w:cs="Times New Roman"/>
          <w:kern w:val="2"/>
          <w:sz w:val="24"/>
          <w:szCs w:val="24"/>
          <w:lang w:val="en-US" w:eastAsia="zh-CN"/>
        </w:rPr>
        <w:t>本次提供的所有材料</w:t>
      </w:r>
      <w:r>
        <w:rPr>
          <w:rFonts w:hint="eastAsia" w:ascii="宋体" w:hAnsi="宋体" w:eastAsia="宋体" w:cs="Times New Roman"/>
          <w:kern w:val="2"/>
          <w:sz w:val="24"/>
          <w:szCs w:val="24"/>
        </w:rPr>
        <w:t>真实性负责。</w:t>
      </w:r>
    </w:p>
    <w:p w14:paraId="55430B5C">
      <w:pPr>
        <w:widowControl w:val="0"/>
        <w:adjustRightInd/>
        <w:snapToGrid/>
        <w:spacing w:after="0" w:line="360" w:lineRule="auto"/>
        <w:ind w:firstLine="241" w:firstLineChars="100"/>
        <w:jc w:val="both"/>
        <w:rPr>
          <w:rFonts w:ascii="宋体" w:hAnsi="宋体" w:eastAsia="宋体" w:cs="Times New Roman"/>
          <w:b/>
          <w:bCs/>
          <w:kern w:val="2"/>
          <w:sz w:val="24"/>
          <w:szCs w:val="24"/>
        </w:rPr>
      </w:pPr>
    </w:p>
    <w:p w14:paraId="7E4766FA">
      <w:pPr>
        <w:keepNext w:val="0"/>
        <w:keepLines w:val="0"/>
        <w:pageBreakBefore w:val="0"/>
        <w:widowControl w:val="0"/>
        <w:kinsoku/>
        <w:wordWrap w:val="0"/>
        <w:overflowPunct/>
        <w:topLinePunct w:val="0"/>
        <w:autoSpaceDE/>
        <w:autoSpaceDN/>
        <w:bidi w:val="0"/>
        <w:adjustRightInd/>
        <w:snapToGrid/>
        <w:spacing w:after="0"/>
        <w:ind w:firstLine="281" w:firstLineChars="100"/>
        <w:jc w:val="both"/>
        <w:textAlignment w:val="auto"/>
        <w:rPr>
          <w:rFonts w:ascii="宋体" w:hAnsi="宋体" w:eastAsia="宋体" w:cs="Times New Roman"/>
          <w:b/>
          <w:bCs/>
          <w:kern w:val="2"/>
          <w:sz w:val="28"/>
          <w:szCs w:val="28"/>
        </w:rPr>
      </w:pPr>
    </w:p>
    <w:p w14:paraId="765BB842">
      <w:pPr>
        <w:keepNext w:val="0"/>
        <w:keepLines w:val="0"/>
        <w:pageBreakBefore w:val="0"/>
        <w:widowControl w:val="0"/>
        <w:kinsoku/>
        <w:wordWrap/>
        <w:overflowPunct/>
        <w:topLinePunct w:val="0"/>
        <w:autoSpaceDE/>
        <w:autoSpaceDN/>
        <w:bidi w:val="0"/>
        <w:adjustRightInd/>
        <w:snapToGrid/>
        <w:spacing w:after="0" w:line="480" w:lineRule="auto"/>
        <w:ind w:right="0"/>
        <w:jc w:val="right"/>
        <w:textAlignment w:val="auto"/>
        <w:rPr>
          <w:rFonts w:hint="eastAsia" w:ascii="宋体" w:hAnsi="宋体" w:eastAsia="宋体" w:cs="Times New Roman"/>
          <w:b/>
          <w:bCs/>
          <w:kern w:val="2"/>
          <w:sz w:val="24"/>
          <w:szCs w:val="24"/>
          <w:u w:val="single"/>
        </w:rPr>
      </w:pPr>
      <w:r>
        <w:rPr>
          <w:rFonts w:hint="eastAsia" w:ascii="宋体" w:hAnsi="宋体" w:eastAsia="宋体" w:cs="Times New Roman"/>
          <w:b/>
          <w:bCs/>
          <w:kern w:val="2"/>
          <w:sz w:val="24"/>
          <w:szCs w:val="24"/>
        </w:rPr>
        <w:t>单位名称：</w:t>
      </w:r>
      <w:r>
        <w:rPr>
          <w:rFonts w:hint="eastAsia" w:ascii="宋体" w:hAnsi="宋体" w:eastAsia="宋体" w:cs="Times New Roman"/>
          <w:b/>
          <w:bCs/>
          <w:kern w:val="2"/>
          <w:sz w:val="24"/>
          <w:szCs w:val="24"/>
          <w:u w:val="single"/>
        </w:rPr>
        <w:t xml:space="preserve">         </w:t>
      </w:r>
      <w:r>
        <w:rPr>
          <w:rFonts w:hint="eastAsia" w:ascii="宋体" w:hAnsi="宋体" w:eastAsia="宋体" w:cs="Times New Roman"/>
          <w:b/>
          <w:bCs/>
          <w:kern w:val="2"/>
          <w:sz w:val="24"/>
          <w:szCs w:val="24"/>
          <w:u w:val="single"/>
          <w:lang w:val="en-US" w:eastAsia="zh-CN"/>
        </w:rPr>
        <w:t xml:space="preserve">          </w:t>
      </w:r>
      <w:r>
        <w:rPr>
          <w:rFonts w:hint="eastAsia" w:ascii="宋体" w:hAnsi="宋体" w:eastAsia="宋体" w:cs="Times New Roman"/>
          <w:b/>
          <w:bCs/>
          <w:kern w:val="2"/>
          <w:sz w:val="24"/>
          <w:szCs w:val="24"/>
          <w:u w:val="single"/>
        </w:rPr>
        <w:t xml:space="preserve"> （盖公章）</w:t>
      </w:r>
    </w:p>
    <w:p w14:paraId="5F739156">
      <w:pPr>
        <w:keepNext w:val="0"/>
        <w:keepLines w:val="0"/>
        <w:pageBreakBefore w:val="0"/>
        <w:widowControl w:val="0"/>
        <w:kinsoku/>
        <w:wordWrap/>
        <w:overflowPunct/>
        <w:topLinePunct w:val="0"/>
        <w:autoSpaceDE/>
        <w:autoSpaceDN/>
        <w:bidi w:val="0"/>
        <w:adjustRightInd/>
        <w:snapToGrid/>
        <w:spacing w:after="0" w:line="480" w:lineRule="auto"/>
        <w:ind w:right="0"/>
        <w:jc w:val="right"/>
        <w:textAlignment w:val="auto"/>
        <w:rPr>
          <w:rFonts w:hint="eastAsia" w:ascii="宋体" w:hAnsi="宋体" w:eastAsia="宋体" w:cs="Times New Roman"/>
          <w:b/>
          <w:bCs/>
          <w:kern w:val="2"/>
          <w:sz w:val="24"/>
          <w:szCs w:val="24"/>
        </w:rPr>
      </w:pPr>
      <w:r>
        <w:rPr>
          <w:rFonts w:hint="eastAsia" w:ascii="宋体" w:hAnsi="宋体" w:eastAsia="宋体" w:cs="Times New Roman"/>
          <w:b/>
          <w:bCs/>
          <w:kern w:val="2"/>
          <w:sz w:val="24"/>
          <w:szCs w:val="24"/>
        </w:rPr>
        <w:t>日    期：</w:t>
      </w:r>
      <w:r>
        <w:rPr>
          <w:rFonts w:hint="eastAsia" w:ascii="宋体" w:hAnsi="宋体" w:eastAsia="宋体" w:cs="Times New Roman"/>
          <w:b/>
          <w:bCs/>
          <w:kern w:val="2"/>
          <w:sz w:val="24"/>
          <w:szCs w:val="24"/>
          <w:lang w:eastAsia="zh-CN"/>
        </w:rPr>
        <w:t>2026年</w:t>
      </w:r>
      <w:r>
        <w:rPr>
          <w:rFonts w:hint="eastAsia" w:ascii="宋体" w:hAnsi="宋体" w:eastAsia="宋体" w:cs="Times New Roman"/>
          <w:b/>
          <w:bCs/>
          <w:kern w:val="2"/>
          <w:sz w:val="24"/>
          <w:szCs w:val="24"/>
        </w:rPr>
        <w:t xml:space="preserve"> </w:t>
      </w:r>
      <w:r>
        <w:rPr>
          <w:rFonts w:ascii="宋体" w:hAnsi="宋体" w:eastAsia="宋体" w:cs="Times New Roman"/>
          <w:b/>
          <w:bCs/>
          <w:kern w:val="2"/>
          <w:sz w:val="24"/>
          <w:szCs w:val="24"/>
        </w:rPr>
        <w:t xml:space="preserve"> </w:t>
      </w:r>
      <w:r>
        <w:rPr>
          <w:rFonts w:hint="eastAsia" w:ascii="宋体" w:hAnsi="宋体" w:eastAsia="宋体" w:cs="Times New Roman"/>
          <w:b/>
          <w:bCs/>
          <w:kern w:val="2"/>
          <w:sz w:val="24"/>
          <w:szCs w:val="24"/>
        </w:rPr>
        <w:t xml:space="preserve">月 </w:t>
      </w:r>
      <w:r>
        <w:rPr>
          <w:rFonts w:ascii="宋体" w:hAnsi="宋体" w:eastAsia="宋体" w:cs="Times New Roman"/>
          <w:b/>
          <w:bCs/>
          <w:kern w:val="2"/>
          <w:sz w:val="24"/>
          <w:szCs w:val="24"/>
        </w:rPr>
        <w:t xml:space="preserve"> </w:t>
      </w:r>
      <w:r>
        <w:rPr>
          <w:rFonts w:hint="eastAsia" w:ascii="宋体" w:hAnsi="宋体" w:eastAsia="宋体" w:cs="Times New Roman"/>
          <w:b/>
          <w:bCs/>
          <w:kern w:val="2"/>
          <w:sz w:val="24"/>
          <w:szCs w:val="24"/>
        </w:rPr>
        <w:t>日</w:t>
      </w:r>
    </w:p>
    <w:p w14:paraId="79E8406E">
      <w:pPr>
        <w:keepNext w:val="0"/>
        <w:keepLines w:val="0"/>
        <w:pageBreakBefore w:val="0"/>
        <w:widowControl w:val="0"/>
        <w:kinsoku/>
        <w:wordWrap/>
        <w:overflowPunct/>
        <w:topLinePunct w:val="0"/>
        <w:autoSpaceDE/>
        <w:autoSpaceDN/>
        <w:bidi w:val="0"/>
        <w:adjustRightInd/>
        <w:snapToGrid/>
        <w:spacing w:after="0" w:line="480" w:lineRule="auto"/>
        <w:ind w:right="0"/>
        <w:jc w:val="center"/>
        <w:textAlignment w:val="auto"/>
        <w:rPr>
          <w:rFonts w:hint="eastAsia" w:ascii="宋体" w:hAnsi="宋体" w:eastAsia="宋体" w:cs="宋体"/>
          <w:sz w:val="36"/>
          <w:szCs w:val="36"/>
        </w:rPr>
      </w:pPr>
      <w:r>
        <w:rPr>
          <w:rFonts w:hint="eastAsia" w:ascii="宋体" w:hAnsi="宋体" w:eastAsia="宋体" w:cs="宋体"/>
          <w:sz w:val="28"/>
          <w:szCs w:val="28"/>
        </w:rPr>
        <w:br w:type="page"/>
      </w:r>
      <w:r>
        <w:rPr>
          <w:rFonts w:hint="eastAsia" w:ascii="宋体" w:hAnsi="宋体" w:eastAsia="宋体" w:cs="宋体"/>
          <w:sz w:val="36"/>
          <w:szCs w:val="36"/>
        </w:rPr>
        <w:t>目    录</w:t>
      </w:r>
    </w:p>
    <w:p w14:paraId="7CD1BF52">
      <w:pPr>
        <w:keepNext w:val="0"/>
        <w:keepLines w:val="0"/>
        <w:pageBreakBefore w:val="0"/>
        <w:widowControl/>
        <w:kinsoku/>
        <w:wordWrap/>
        <w:overflowPunct/>
        <w:topLinePunct w:val="0"/>
        <w:autoSpaceDE/>
        <w:autoSpaceDN/>
        <w:bidi w:val="0"/>
        <w:adjustRightInd w:val="0"/>
        <w:snapToGrid w:val="0"/>
        <w:spacing w:before="240" w:beforeLines="100" w:after="240" w:afterLines="100" w:line="480" w:lineRule="auto"/>
        <w:jc w:val="center"/>
        <w:textAlignment w:val="auto"/>
        <w:rPr>
          <w:rFonts w:hint="eastAsia" w:ascii="宋体" w:hAnsi="宋体" w:eastAsia="宋体" w:cs="宋体"/>
          <w:strike/>
          <w:sz w:val="28"/>
          <w:szCs w:val="28"/>
        </w:rPr>
      </w:pPr>
      <w:r>
        <w:rPr>
          <w:rFonts w:hint="eastAsia" w:ascii="宋体" w:hAnsi="宋体" w:eastAsia="宋体" w:cs="宋体"/>
          <w:sz w:val="28"/>
          <w:szCs w:val="28"/>
        </w:rPr>
        <w:t>（应附有页码）</w:t>
      </w:r>
    </w:p>
    <w:p w14:paraId="346D8698">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sz w:val="28"/>
          <w:szCs w:val="28"/>
        </w:rPr>
      </w:pPr>
      <w:r>
        <w:rPr>
          <w:rFonts w:hint="eastAsia" w:ascii="宋体" w:hAnsi="宋体" w:eastAsia="宋体" w:cs="宋体"/>
          <w:sz w:val="28"/>
          <w:szCs w:val="28"/>
        </w:rPr>
        <w:t>1、具备独立承担民事责任的竞标人或具有独立承担民事责任竞标人授权的分支机构的营业执照、</w:t>
      </w:r>
      <w:r>
        <w:rPr>
          <w:rFonts w:hint="eastAsia" w:ascii="宋体" w:hAnsi="宋体" w:eastAsia="宋体" w:cs="宋体"/>
          <w:sz w:val="28"/>
          <w:szCs w:val="28"/>
          <w:lang w:val="en-US" w:eastAsia="zh-CN"/>
        </w:rPr>
        <w:t>有效的保险监督管理机构颁发的《中华人民共和国经营保险业务许可证》及其他</w:t>
      </w:r>
      <w:r>
        <w:rPr>
          <w:rFonts w:hint="eastAsia" w:ascii="宋体" w:hAnsi="宋体" w:eastAsia="宋体" w:cs="宋体"/>
          <w:sz w:val="28"/>
          <w:szCs w:val="28"/>
        </w:rPr>
        <w:t>相关资质证书复印件；</w:t>
      </w:r>
    </w:p>
    <w:p w14:paraId="27C0AFC7">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、参数调研表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详见附件2</w:t>
      </w:r>
      <w:r>
        <w:rPr>
          <w:rFonts w:hint="eastAsia" w:ascii="宋体" w:hAnsi="宋体" w:eastAsia="宋体" w:cs="宋体"/>
          <w:sz w:val="28"/>
          <w:szCs w:val="28"/>
          <w:lang w:eastAsia="zh-CN"/>
        </w:rPr>
        <w:t>）</w:t>
      </w:r>
      <w:r>
        <w:rPr>
          <w:rFonts w:hint="eastAsia" w:ascii="宋体" w:hAnsi="宋体" w:eastAsia="宋体" w:cs="宋体"/>
          <w:sz w:val="28"/>
          <w:szCs w:val="28"/>
        </w:rPr>
        <w:t>；</w:t>
      </w:r>
    </w:p>
    <w:p w14:paraId="3A2EF3D8">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、供应商简介资料</w:t>
      </w:r>
      <w:r>
        <w:rPr>
          <w:rFonts w:hint="eastAsia" w:ascii="宋体" w:hAnsi="宋体" w:eastAsia="宋体" w:cs="宋体"/>
          <w:sz w:val="28"/>
          <w:szCs w:val="28"/>
          <w:lang w:eastAsia="zh-CN"/>
        </w:rPr>
        <w:t>，供应商服务方案及服务承诺，须体现供应商对保险服务的总体方案、理赔流程、服务人员配备、应急预案等</w:t>
      </w:r>
      <w:r>
        <w:rPr>
          <w:rFonts w:hint="eastAsia" w:ascii="宋体" w:hAnsi="宋体" w:eastAsia="宋体" w:cs="宋体"/>
          <w:sz w:val="28"/>
          <w:szCs w:val="28"/>
        </w:rPr>
        <w:t>；</w:t>
      </w:r>
    </w:p>
    <w:p w14:paraId="7B79D420">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4、供应商总公司2024年度偿付能力报告复印件、2025年度（或最近一期）偿付能力报告复印件；</w:t>
      </w:r>
    </w:p>
    <w:p w14:paraId="68E51FB5">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、报价单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后附</w:t>
      </w:r>
      <w:r>
        <w:rPr>
          <w:rFonts w:hint="eastAsia" w:ascii="宋体" w:hAnsi="宋体" w:eastAsia="宋体" w:cs="宋体"/>
          <w:sz w:val="28"/>
          <w:szCs w:val="28"/>
          <w:lang w:eastAsia="zh-CN"/>
        </w:rPr>
        <w:t>）</w:t>
      </w:r>
      <w:r>
        <w:rPr>
          <w:rFonts w:hint="eastAsia" w:ascii="宋体" w:hAnsi="宋体" w:eastAsia="宋体" w:cs="宋体"/>
          <w:sz w:val="28"/>
          <w:szCs w:val="28"/>
        </w:rPr>
        <w:t>；</w:t>
      </w:r>
    </w:p>
    <w:p w14:paraId="2BFF23F0">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、供应商认为需要提交的其他意见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如有</w:t>
      </w:r>
      <w:r>
        <w:rPr>
          <w:rFonts w:hint="eastAsia" w:ascii="宋体" w:hAnsi="宋体" w:eastAsia="宋体" w:cs="宋体"/>
          <w:sz w:val="28"/>
          <w:szCs w:val="28"/>
          <w:lang w:eastAsia="zh-CN"/>
        </w:rPr>
        <w:t>）。</w:t>
      </w:r>
    </w:p>
    <w:p w14:paraId="1ACB637D">
      <w:pPr>
        <w:pStyle w:val="5"/>
        <w:keepNext w:val="0"/>
        <w:keepLines w:val="0"/>
        <w:pageBreakBefore w:val="0"/>
        <w:kinsoku/>
        <w:wordWrap/>
        <w:overflowPunct/>
        <w:topLinePunct w:val="0"/>
        <w:autoSpaceDE/>
        <w:autoSpaceDN/>
        <w:bidi w:val="0"/>
        <w:spacing w:after="0" w:line="360" w:lineRule="auto"/>
        <w:textAlignment w:val="auto"/>
        <w:rPr>
          <w:rFonts w:hint="eastAsia"/>
        </w:rPr>
      </w:pPr>
    </w:p>
    <w:p w14:paraId="79C6FD93">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sz w:val="28"/>
          <w:szCs w:val="28"/>
        </w:rPr>
      </w:pPr>
    </w:p>
    <w:bookmarkEnd w:id="0"/>
    <w:bookmarkEnd w:id="1"/>
    <w:bookmarkEnd w:id="2"/>
    <w:bookmarkEnd w:id="3"/>
    <w:bookmarkEnd w:id="4"/>
    <w:bookmarkEnd w:id="5"/>
    <w:p w14:paraId="2849E84F">
      <w:pPr>
        <w:spacing w:line="360" w:lineRule="auto"/>
        <w:ind w:left="-20" w:leftChars="-9" w:firstLine="16" w:firstLineChars="5"/>
        <w:jc w:val="both"/>
        <w:rPr>
          <w:rFonts w:hint="default" w:ascii="宋体" w:hAnsi="宋体" w:cs="宋体"/>
          <w:b/>
          <w:bCs/>
          <w:color w:val="000000"/>
          <w:sz w:val="32"/>
          <w:szCs w:val="32"/>
          <w:lang w:val="en-US" w:eastAsia="zh-CN"/>
        </w:rPr>
      </w:pPr>
      <w:r>
        <w:rPr>
          <w:rFonts w:hint="eastAsia" w:ascii="宋体" w:hAnsi="宋体" w:cs="宋体"/>
          <w:b/>
          <w:bCs/>
          <w:color w:val="000000"/>
          <w:sz w:val="32"/>
          <w:szCs w:val="32"/>
          <w:lang w:val="en-US" w:eastAsia="zh-CN"/>
        </w:rPr>
        <w:br w:type="page"/>
      </w:r>
    </w:p>
    <w:p w14:paraId="3A001C2D">
      <w:pPr>
        <w:spacing w:line="360" w:lineRule="auto"/>
        <w:ind w:left="-20" w:leftChars="-9" w:firstLine="16" w:firstLineChars="5"/>
        <w:jc w:val="center"/>
        <w:rPr>
          <w:rFonts w:hint="default" w:ascii="宋体" w:hAnsi="宋体" w:eastAsia="宋体" w:cs="宋体"/>
          <w:b/>
          <w:bCs/>
          <w:color w:val="000000"/>
          <w:sz w:val="32"/>
          <w:szCs w:val="32"/>
          <w:lang w:val="en-US" w:eastAsia="zh-CN"/>
        </w:rPr>
      </w:pPr>
      <w:r>
        <w:rPr>
          <w:rFonts w:hint="eastAsia" w:ascii="宋体" w:hAnsi="宋体" w:cs="宋体"/>
          <w:b/>
          <w:bCs/>
          <w:color w:val="000000"/>
          <w:sz w:val="32"/>
          <w:szCs w:val="32"/>
          <w:lang w:val="en-US" w:eastAsia="zh-CN"/>
        </w:rPr>
        <w:t>报价单</w:t>
      </w:r>
    </w:p>
    <w:tbl>
      <w:tblPr>
        <w:tblStyle w:val="14"/>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914"/>
        <w:gridCol w:w="2397"/>
        <w:gridCol w:w="2397"/>
      </w:tblGrid>
      <w:tr w14:paraId="5E36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14:paraId="6BE6A7C5">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center"/>
              <w:textAlignment w:val="auto"/>
              <w:rPr>
                <w:rFonts w:hint="eastAsia" w:ascii="宋体" w:hAnsi="宋体" w:eastAsia="宋体" w:cs="宋体"/>
                <w:b/>
                <w:snapToGrid w:val="0"/>
                <w:color w:val="000000"/>
                <w:sz w:val="21"/>
                <w:szCs w:val="21"/>
                <w:lang w:eastAsia="zh-CN"/>
              </w:rPr>
            </w:pPr>
            <w:r>
              <w:rPr>
                <w:rFonts w:hint="eastAsia" w:ascii="宋体" w:hAnsi="宋体" w:cs="宋体"/>
                <w:b/>
                <w:snapToGrid w:val="0"/>
                <w:color w:val="000000"/>
                <w:sz w:val="21"/>
                <w:szCs w:val="21"/>
                <w:lang w:val="en-US" w:eastAsia="zh-CN"/>
              </w:rPr>
              <w:t>序</w:t>
            </w:r>
            <w:r>
              <w:rPr>
                <w:rFonts w:hint="eastAsia" w:ascii="宋体" w:hAnsi="宋体" w:eastAsia="宋体" w:cs="宋体"/>
                <w:b/>
                <w:snapToGrid w:val="0"/>
                <w:color w:val="000000"/>
                <w:sz w:val="21"/>
                <w:szCs w:val="21"/>
                <w:lang w:val="en-US" w:eastAsia="zh-CN"/>
              </w:rPr>
              <w:t>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545494F">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center"/>
              <w:textAlignment w:val="auto"/>
              <w:rPr>
                <w:rFonts w:hint="default" w:ascii="宋体" w:hAnsi="宋体" w:eastAsia="宋体" w:cs="宋体"/>
                <w:b/>
                <w:snapToGrid w:val="0"/>
                <w:color w:val="000000"/>
                <w:sz w:val="21"/>
                <w:szCs w:val="21"/>
                <w:lang w:val="en-US" w:eastAsia="zh-CN"/>
              </w:rPr>
            </w:pPr>
            <w:r>
              <w:rPr>
                <w:rFonts w:hint="eastAsia" w:ascii="宋体" w:hAnsi="宋体" w:eastAsia="宋体" w:cs="宋体"/>
                <w:b/>
                <w:snapToGrid w:val="0"/>
                <w:color w:val="000000"/>
                <w:sz w:val="21"/>
                <w:szCs w:val="21"/>
                <w:lang w:val="en-US" w:eastAsia="zh-CN"/>
              </w:rPr>
              <w:t>服务名称</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6601976C">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center"/>
              <w:textAlignment w:val="auto"/>
              <w:rPr>
                <w:rFonts w:hint="eastAsia" w:ascii="宋体" w:hAnsi="宋体" w:eastAsia="宋体" w:cs="宋体"/>
                <w:b/>
                <w:snapToGrid w:val="0"/>
                <w:color w:val="000000"/>
                <w:sz w:val="21"/>
                <w:szCs w:val="21"/>
              </w:rPr>
            </w:pPr>
            <w:r>
              <w:rPr>
                <w:rFonts w:hint="eastAsia" w:ascii="宋体" w:hAnsi="宋体" w:eastAsia="宋体" w:cs="宋体"/>
                <w:b/>
                <w:snapToGrid w:val="0"/>
                <w:color w:val="000000"/>
                <w:sz w:val="21"/>
                <w:szCs w:val="21"/>
                <w:lang w:val="en-US" w:eastAsia="zh-CN"/>
              </w:rPr>
              <w:t>保费费率报价</w:t>
            </w:r>
            <w:r>
              <w:rPr>
                <w:rFonts w:hint="eastAsia" w:ascii="宋体" w:hAnsi="宋体" w:eastAsia="宋体" w:cs="宋体"/>
                <w:b/>
                <w:snapToGrid w:val="0"/>
                <w:color w:val="000000"/>
                <w:sz w:val="21"/>
                <w:szCs w:val="21"/>
              </w:rPr>
              <w:t>(</w:t>
            </w:r>
            <w:r>
              <w:rPr>
                <w:rFonts w:hint="eastAsia" w:ascii="宋体" w:hAnsi="宋体" w:eastAsia="宋体" w:cs="宋体"/>
                <w:b/>
                <w:snapToGrid w:val="0"/>
                <w:color w:val="000000"/>
                <w:sz w:val="21"/>
                <w:szCs w:val="21"/>
                <w:lang w:val="en-US" w:eastAsia="zh-CN"/>
              </w:rPr>
              <w:t>%</w:t>
            </w:r>
            <w:r>
              <w:rPr>
                <w:rFonts w:hint="eastAsia" w:ascii="宋体" w:hAnsi="宋体" w:eastAsia="宋体" w:cs="宋体"/>
                <w:b/>
                <w:snapToGrid w:val="0"/>
                <w:color w:val="000000"/>
                <w:sz w:val="21"/>
                <w:szCs w:val="21"/>
              </w:rPr>
              <w:t>)</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0561A88A">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center"/>
              <w:textAlignment w:val="auto"/>
              <w:rPr>
                <w:rFonts w:hint="default" w:ascii="宋体" w:hAnsi="宋体" w:eastAsia="宋体" w:cs="宋体"/>
                <w:b/>
                <w:snapToGrid w:val="0"/>
                <w:color w:val="000000"/>
                <w:sz w:val="21"/>
                <w:szCs w:val="21"/>
                <w:lang w:val="en-US" w:eastAsia="zh-CN"/>
              </w:rPr>
            </w:pPr>
            <w:r>
              <w:rPr>
                <w:rFonts w:hint="eastAsia" w:ascii="宋体" w:hAnsi="宋体" w:cs="宋体"/>
                <w:b/>
                <w:snapToGrid w:val="0"/>
                <w:color w:val="000000"/>
                <w:sz w:val="21"/>
                <w:szCs w:val="21"/>
                <w:lang w:val="en-US" w:eastAsia="zh-CN"/>
              </w:rPr>
              <w:t>2026</w:t>
            </w:r>
            <w:bookmarkStart w:id="6" w:name="_GoBack"/>
            <w:bookmarkEnd w:id="6"/>
            <w:r>
              <w:rPr>
                <w:rFonts w:hint="eastAsia" w:ascii="宋体" w:hAnsi="宋体" w:cs="宋体"/>
                <w:b/>
                <w:snapToGrid w:val="0"/>
                <w:color w:val="000000"/>
                <w:sz w:val="21"/>
                <w:szCs w:val="21"/>
                <w:lang w:val="en-US" w:eastAsia="zh-CN"/>
              </w:rPr>
              <w:t>年度保险费（元）</w:t>
            </w:r>
          </w:p>
        </w:tc>
      </w:tr>
      <w:tr w14:paraId="53E4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85" w:type="dxa"/>
            <w:tcBorders>
              <w:top w:val="single" w:color="auto" w:sz="4" w:space="0"/>
              <w:left w:val="single" w:color="auto" w:sz="4" w:space="0"/>
              <w:right w:val="single" w:color="auto" w:sz="4" w:space="0"/>
            </w:tcBorders>
            <w:noWrap w:val="0"/>
            <w:vAlign w:val="center"/>
          </w:tcPr>
          <w:p w14:paraId="5FF27326">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A8FBF3A">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rPr>
            </w:pPr>
            <w:r>
              <w:rPr>
                <w:rFonts w:hint="eastAsia" w:ascii="宋体" w:hAnsi="宋体" w:eastAsia="宋体" w:cs="宋体"/>
                <w:snapToGrid w:val="0"/>
                <w:color w:val="000000"/>
                <w:sz w:val="21"/>
                <w:szCs w:val="21"/>
                <w:lang w:val="en-US" w:eastAsia="zh-CN"/>
              </w:rPr>
              <w:t>财产保险服务</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1B98087D">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right"/>
              <w:textAlignment w:val="auto"/>
              <w:rPr>
                <w:rFonts w:hint="eastAsia" w:ascii="宋体" w:hAnsi="宋体" w:eastAsia="宋体" w:cs="宋体"/>
                <w:color w:val="000000"/>
                <w:sz w:val="21"/>
                <w:szCs w:val="21"/>
              </w:rPr>
            </w:pPr>
          </w:p>
        </w:tc>
        <w:tc>
          <w:tcPr>
            <w:tcW w:w="2397" w:type="dxa"/>
            <w:tcBorders>
              <w:top w:val="single" w:color="auto" w:sz="4" w:space="0"/>
              <w:left w:val="single" w:color="auto" w:sz="4" w:space="0"/>
              <w:bottom w:val="single" w:color="auto" w:sz="4" w:space="0"/>
              <w:right w:val="single" w:color="auto" w:sz="4" w:space="0"/>
            </w:tcBorders>
            <w:noWrap w:val="0"/>
            <w:vAlign w:val="center"/>
          </w:tcPr>
          <w:p w14:paraId="4159534C">
            <w:pPr>
              <w:keepNext w:val="0"/>
              <w:keepLines w:val="0"/>
              <w:pageBreakBefore w:val="0"/>
              <w:widowControl/>
              <w:kinsoku/>
              <w:wordWrap w:val="0"/>
              <w:overflowPunct/>
              <w:topLinePunct w:val="0"/>
              <w:autoSpaceDE/>
              <w:autoSpaceDN/>
              <w:bidi w:val="0"/>
              <w:adjustRightInd w:val="0"/>
              <w:snapToGrid w:val="0"/>
              <w:spacing w:after="0"/>
              <w:ind w:left="0" w:leftChars="0" w:right="0" w:rightChars="0" w:firstLine="0" w:firstLineChars="0"/>
              <w:jc w:val="right"/>
              <w:textAlignment w:val="auto"/>
              <w:rPr>
                <w:rFonts w:hint="eastAsia" w:ascii="宋体" w:hAnsi="宋体" w:eastAsia="宋体" w:cs="宋体"/>
                <w:color w:val="000000"/>
                <w:sz w:val="21"/>
                <w:szCs w:val="21"/>
              </w:rPr>
            </w:pPr>
          </w:p>
        </w:tc>
      </w:tr>
    </w:tbl>
    <w:p w14:paraId="55733759">
      <w:pPr>
        <w:spacing w:line="240" w:lineRule="auto"/>
        <w:rPr>
          <w:rFonts w:hint="eastAsia" w:ascii="宋体" w:hAnsi="宋体" w:eastAsia="宋体" w:cs="宋体"/>
          <w:color w:val="000000"/>
          <w:kern w:val="0"/>
          <w:sz w:val="21"/>
          <w:szCs w:val="21"/>
          <w:lang w:val="en-US" w:eastAsia="zh-CN"/>
        </w:rPr>
      </w:pPr>
    </w:p>
    <w:p w14:paraId="697593D1">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说明：</w:t>
      </w:r>
    </w:p>
    <w:p w14:paraId="317B5AA2">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一）本项目响应报价、利润及风险由供应商自行考虑。供应商对本项目报价须包含财产一切险保费、出险勘察器材和车辆、交通费、通讯费、管理费、税费等相关费用。服务内容涉及的所有费用由供应商自行承担。</w:t>
      </w:r>
    </w:p>
    <w:p w14:paraId="37A192D1">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（二）本项目以保费费率进行报价，供应商须就采购需求中的所有服务内容作完整唯一报价。年度保费=每年实际资产金额*供应商响应费率。</w:t>
      </w:r>
    </w:p>
    <w:p w14:paraId="080ED2E4">
      <w:pPr>
        <w:spacing w:line="240" w:lineRule="auto"/>
        <w:rPr>
          <w:rFonts w:hint="default" w:ascii="宋体" w:hAnsi="宋体" w:eastAsia="宋体" w:cs="宋体"/>
          <w:color w:val="000000"/>
          <w:kern w:val="0"/>
          <w:sz w:val="21"/>
          <w:szCs w:val="21"/>
          <w:lang w:val="en-US" w:eastAsia="zh-CN"/>
        </w:rPr>
      </w:pPr>
    </w:p>
    <w:p w14:paraId="387575DF">
      <w:pPr>
        <w:keepNext w:val="0"/>
        <w:keepLines w:val="0"/>
        <w:pageBreakBefore w:val="0"/>
        <w:widowControl/>
        <w:kinsoku/>
        <w:wordWrap w:val="0"/>
        <w:overflowPunct/>
        <w:topLinePunct w:val="0"/>
        <w:autoSpaceDE/>
        <w:autoSpaceDN/>
        <w:bidi w:val="0"/>
        <w:adjustRightInd w:val="0"/>
        <w:snapToGrid w:val="0"/>
        <w:spacing w:after="0" w:line="360" w:lineRule="auto"/>
        <w:jc w:val="righ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供应商</w:t>
      </w:r>
      <w:r>
        <w:rPr>
          <w:rFonts w:hint="eastAsia" w:ascii="宋体" w:hAnsi="宋体" w:eastAsia="宋体" w:cs="宋体"/>
          <w:color w:val="000000"/>
          <w:kern w:val="0"/>
          <w:sz w:val="21"/>
          <w:szCs w:val="21"/>
        </w:rPr>
        <w:t>公章：</w:t>
      </w:r>
      <w:r>
        <w:rPr>
          <w:rFonts w:hint="eastAsia" w:ascii="宋体" w:hAnsi="宋体" w:eastAsia="宋体" w:cs="宋体"/>
          <w:color w:val="000000"/>
          <w:kern w:val="0"/>
          <w:sz w:val="21"/>
          <w:szCs w:val="21"/>
          <w:lang w:val="en-US" w:eastAsia="zh-CN"/>
        </w:rPr>
        <w:t xml:space="preserve">         </w:t>
      </w:r>
    </w:p>
    <w:p w14:paraId="4F15DF7E">
      <w:pPr>
        <w:keepNext w:val="0"/>
        <w:keepLines w:val="0"/>
        <w:pageBreakBefore w:val="0"/>
        <w:widowControl/>
        <w:kinsoku/>
        <w:wordWrap w:val="0"/>
        <w:overflowPunct/>
        <w:topLinePunct w:val="0"/>
        <w:autoSpaceDE/>
        <w:autoSpaceDN/>
        <w:bidi w:val="0"/>
        <w:adjustRightInd w:val="0"/>
        <w:snapToGrid w:val="0"/>
        <w:spacing w:after="0" w:line="360" w:lineRule="auto"/>
        <w:jc w:val="righ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年  月   日</w:t>
      </w:r>
      <w:r>
        <w:rPr>
          <w:rFonts w:hint="eastAsia" w:ascii="宋体" w:hAnsi="宋体" w:eastAsia="宋体" w:cs="宋体"/>
          <w:color w:val="000000"/>
          <w:kern w:val="0"/>
          <w:sz w:val="21"/>
          <w:szCs w:val="21"/>
          <w:lang w:val="en-US" w:eastAsia="zh-CN"/>
        </w:rPr>
        <w:t xml:space="preserve">      </w:t>
      </w:r>
    </w:p>
    <w:p w14:paraId="37149FEA">
      <w:pPr>
        <w:rPr>
          <w:rFonts w:hint="default" w:ascii="宋体" w:hAnsi="宋体" w:eastAsia="宋体" w:cs="宋体"/>
          <w:szCs w:val="21"/>
          <w:u w:val="none"/>
          <w:lang w:val="en-US" w:eastAsia="zh-CN"/>
        </w:rPr>
      </w:pPr>
    </w:p>
    <w:sectPr>
      <w:pgSz w:w="11907" w:h="16840"/>
      <w:pgMar w:top="1440" w:right="1440" w:bottom="1440"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YTVkYTIwMWQwNDM0ZjdjNzk4ODZhNmJhNjk4NWQifQ=="/>
  </w:docVars>
  <w:rsids>
    <w:rsidRoot w:val="00172A27"/>
    <w:rsid w:val="00006163"/>
    <w:rsid w:val="00027DAC"/>
    <w:rsid w:val="00030F82"/>
    <w:rsid w:val="0003230C"/>
    <w:rsid w:val="00051D1B"/>
    <w:rsid w:val="00054823"/>
    <w:rsid w:val="00073B8F"/>
    <w:rsid w:val="00082686"/>
    <w:rsid w:val="00087D94"/>
    <w:rsid w:val="000A3AE2"/>
    <w:rsid w:val="001168FE"/>
    <w:rsid w:val="00145AD8"/>
    <w:rsid w:val="00172E62"/>
    <w:rsid w:val="001C3ACC"/>
    <w:rsid w:val="00244CB4"/>
    <w:rsid w:val="00250EF1"/>
    <w:rsid w:val="0027147A"/>
    <w:rsid w:val="002E7898"/>
    <w:rsid w:val="00304DD9"/>
    <w:rsid w:val="00323B43"/>
    <w:rsid w:val="00370A84"/>
    <w:rsid w:val="00382AE8"/>
    <w:rsid w:val="003B380D"/>
    <w:rsid w:val="003C01BB"/>
    <w:rsid w:val="003D37D8"/>
    <w:rsid w:val="0042054E"/>
    <w:rsid w:val="00426133"/>
    <w:rsid w:val="004358AB"/>
    <w:rsid w:val="004458A5"/>
    <w:rsid w:val="0045740B"/>
    <w:rsid w:val="00467C43"/>
    <w:rsid w:val="00496C2C"/>
    <w:rsid w:val="004B7647"/>
    <w:rsid w:val="004E680B"/>
    <w:rsid w:val="00513278"/>
    <w:rsid w:val="00541078"/>
    <w:rsid w:val="0054747A"/>
    <w:rsid w:val="005B2BDC"/>
    <w:rsid w:val="005C7577"/>
    <w:rsid w:val="00607189"/>
    <w:rsid w:val="00636161"/>
    <w:rsid w:val="00653446"/>
    <w:rsid w:val="00681874"/>
    <w:rsid w:val="00690235"/>
    <w:rsid w:val="006A6347"/>
    <w:rsid w:val="006B190C"/>
    <w:rsid w:val="00700E67"/>
    <w:rsid w:val="00735F9D"/>
    <w:rsid w:val="007F6807"/>
    <w:rsid w:val="00805452"/>
    <w:rsid w:val="0082349A"/>
    <w:rsid w:val="00862404"/>
    <w:rsid w:val="0086432D"/>
    <w:rsid w:val="00874008"/>
    <w:rsid w:val="00892975"/>
    <w:rsid w:val="008B3724"/>
    <w:rsid w:val="008B7726"/>
    <w:rsid w:val="008D1178"/>
    <w:rsid w:val="0092518D"/>
    <w:rsid w:val="00932B6A"/>
    <w:rsid w:val="009600E9"/>
    <w:rsid w:val="00986148"/>
    <w:rsid w:val="009925DF"/>
    <w:rsid w:val="009A56FF"/>
    <w:rsid w:val="009B2BDC"/>
    <w:rsid w:val="00A14C22"/>
    <w:rsid w:val="00A5175E"/>
    <w:rsid w:val="00A545F3"/>
    <w:rsid w:val="00AB46F8"/>
    <w:rsid w:val="00AE19A0"/>
    <w:rsid w:val="00AF08DF"/>
    <w:rsid w:val="00B4581F"/>
    <w:rsid w:val="00B47C28"/>
    <w:rsid w:val="00B56F1D"/>
    <w:rsid w:val="00B93FB8"/>
    <w:rsid w:val="00BB1429"/>
    <w:rsid w:val="00BC0678"/>
    <w:rsid w:val="00BC6CF6"/>
    <w:rsid w:val="00BE4D9A"/>
    <w:rsid w:val="00BF5EBE"/>
    <w:rsid w:val="00C00D6E"/>
    <w:rsid w:val="00C00F82"/>
    <w:rsid w:val="00C20230"/>
    <w:rsid w:val="00C40F9A"/>
    <w:rsid w:val="00C84DD3"/>
    <w:rsid w:val="00CA46C5"/>
    <w:rsid w:val="00D308CC"/>
    <w:rsid w:val="00D31D50"/>
    <w:rsid w:val="00D459B4"/>
    <w:rsid w:val="00D542A3"/>
    <w:rsid w:val="00D664F0"/>
    <w:rsid w:val="00D83326"/>
    <w:rsid w:val="00D91910"/>
    <w:rsid w:val="00DD75BF"/>
    <w:rsid w:val="00DF3300"/>
    <w:rsid w:val="00E13E05"/>
    <w:rsid w:val="00E95E92"/>
    <w:rsid w:val="00EF3C7B"/>
    <w:rsid w:val="00F65C3D"/>
    <w:rsid w:val="00F67C4E"/>
    <w:rsid w:val="00FB7E88"/>
    <w:rsid w:val="00FC02D7"/>
    <w:rsid w:val="00FF7344"/>
    <w:rsid w:val="011B6997"/>
    <w:rsid w:val="02325A8F"/>
    <w:rsid w:val="03340445"/>
    <w:rsid w:val="033861B8"/>
    <w:rsid w:val="05453FE3"/>
    <w:rsid w:val="05E76E48"/>
    <w:rsid w:val="062005AC"/>
    <w:rsid w:val="08DF1BCE"/>
    <w:rsid w:val="0A2543E3"/>
    <w:rsid w:val="0A7E4FF7"/>
    <w:rsid w:val="0D9A7FBF"/>
    <w:rsid w:val="0EAE0E4B"/>
    <w:rsid w:val="0EE52393"/>
    <w:rsid w:val="0FE75425"/>
    <w:rsid w:val="0FF31742"/>
    <w:rsid w:val="10DA61B0"/>
    <w:rsid w:val="11B76268"/>
    <w:rsid w:val="15DE18EA"/>
    <w:rsid w:val="15F03EF5"/>
    <w:rsid w:val="16157A01"/>
    <w:rsid w:val="16E61420"/>
    <w:rsid w:val="18F733EE"/>
    <w:rsid w:val="19DC0208"/>
    <w:rsid w:val="1A5959E3"/>
    <w:rsid w:val="1A682661"/>
    <w:rsid w:val="1B1C538E"/>
    <w:rsid w:val="1BCB2221"/>
    <w:rsid w:val="1D450EF0"/>
    <w:rsid w:val="20F90EDF"/>
    <w:rsid w:val="2142630A"/>
    <w:rsid w:val="21862A8E"/>
    <w:rsid w:val="22255B7C"/>
    <w:rsid w:val="23733FB9"/>
    <w:rsid w:val="23B26890"/>
    <w:rsid w:val="23FA7F94"/>
    <w:rsid w:val="241A2678"/>
    <w:rsid w:val="252002CD"/>
    <w:rsid w:val="253F1FC3"/>
    <w:rsid w:val="25C61809"/>
    <w:rsid w:val="25F018F1"/>
    <w:rsid w:val="260908A6"/>
    <w:rsid w:val="2651082C"/>
    <w:rsid w:val="266951E7"/>
    <w:rsid w:val="26773DC1"/>
    <w:rsid w:val="28060F58"/>
    <w:rsid w:val="280F1CAF"/>
    <w:rsid w:val="2884463C"/>
    <w:rsid w:val="29FF66AF"/>
    <w:rsid w:val="2AD27817"/>
    <w:rsid w:val="2B0D6AA1"/>
    <w:rsid w:val="2B361B54"/>
    <w:rsid w:val="2B8D373E"/>
    <w:rsid w:val="2E76670C"/>
    <w:rsid w:val="2EDF252C"/>
    <w:rsid w:val="2EEA0284"/>
    <w:rsid w:val="2EFF0D8B"/>
    <w:rsid w:val="30415520"/>
    <w:rsid w:val="30D57004"/>
    <w:rsid w:val="31221E95"/>
    <w:rsid w:val="317A6513"/>
    <w:rsid w:val="31F37E4E"/>
    <w:rsid w:val="335134EA"/>
    <w:rsid w:val="36D2198F"/>
    <w:rsid w:val="38704D49"/>
    <w:rsid w:val="396B3311"/>
    <w:rsid w:val="39BF365D"/>
    <w:rsid w:val="3A092B2A"/>
    <w:rsid w:val="3BE843F4"/>
    <w:rsid w:val="3C4F5748"/>
    <w:rsid w:val="3DF763B6"/>
    <w:rsid w:val="3E216694"/>
    <w:rsid w:val="3EA64DEB"/>
    <w:rsid w:val="3ED90D1D"/>
    <w:rsid w:val="3EF913BF"/>
    <w:rsid w:val="3FD95B8E"/>
    <w:rsid w:val="407F4BE6"/>
    <w:rsid w:val="4081166C"/>
    <w:rsid w:val="40B3559D"/>
    <w:rsid w:val="41CC7DDB"/>
    <w:rsid w:val="42892A5A"/>
    <w:rsid w:val="42AB0C22"/>
    <w:rsid w:val="43AA712C"/>
    <w:rsid w:val="4475773A"/>
    <w:rsid w:val="487D68E3"/>
    <w:rsid w:val="490E6D6F"/>
    <w:rsid w:val="49321B41"/>
    <w:rsid w:val="49997A26"/>
    <w:rsid w:val="49A30034"/>
    <w:rsid w:val="49A62143"/>
    <w:rsid w:val="49E14F29"/>
    <w:rsid w:val="4C3A25B0"/>
    <w:rsid w:val="4C7E4CB1"/>
    <w:rsid w:val="4D317F76"/>
    <w:rsid w:val="4E125FF9"/>
    <w:rsid w:val="4E721C6A"/>
    <w:rsid w:val="4F053468"/>
    <w:rsid w:val="4FC01998"/>
    <w:rsid w:val="501F0559"/>
    <w:rsid w:val="52B0193D"/>
    <w:rsid w:val="548E5275"/>
    <w:rsid w:val="54F2620C"/>
    <w:rsid w:val="573E39BB"/>
    <w:rsid w:val="5755629B"/>
    <w:rsid w:val="586048F0"/>
    <w:rsid w:val="594554D5"/>
    <w:rsid w:val="59995821"/>
    <w:rsid w:val="5B962018"/>
    <w:rsid w:val="5B974365"/>
    <w:rsid w:val="5BB57FC4"/>
    <w:rsid w:val="5D9F4227"/>
    <w:rsid w:val="5DD92690"/>
    <w:rsid w:val="5DE975DC"/>
    <w:rsid w:val="5E54429A"/>
    <w:rsid w:val="60E441F4"/>
    <w:rsid w:val="62CD2242"/>
    <w:rsid w:val="635E10C5"/>
    <w:rsid w:val="6408782B"/>
    <w:rsid w:val="67140294"/>
    <w:rsid w:val="685E042C"/>
    <w:rsid w:val="68980DB4"/>
    <w:rsid w:val="6B8C0D41"/>
    <w:rsid w:val="6CC938CF"/>
    <w:rsid w:val="6FBB684B"/>
    <w:rsid w:val="70671D7D"/>
    <w:rsid w:val="707D50FC"/>
    <w:rsid w:val="71081682"/>
    <w:rsid w:val="71E116BB"/>
    <w:rsid w:val="72BF7C4E"/>
    <w:rsid w:val="738D5656"/>
    <w:rsid w:val="74FC799E"/>
    <w:rsid w:val="75CB690A"/>
    <w:rsid w:val="768633DE"/>
    <w:rsid w:val="76A41635"/>
    <w:rsid w:val="782020ED"/>
    <w:rsid w:val="7AD26045"/>
    <w:rsid w:val="7B292109"/>
    <w:rsid w:val="7B5231E8"/>
    <w:rsid w:val="7C296138"/>
    <w:rsid w:val="7C6A471C"/>
    <w:rsid w:val="7F5434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4"/>
    <w:basedOn w:val="1"/>
    <w:next w:val="1"/>
    <w:link w:val="19"/>
    <w:qFormat/>
    <w:uiPriority w:val="0"/>
    <w:pPr>
      <w:keepNext/>
      <w:keepLines/>
      <w:widowControl w:val="0"/>
      <w:adjustRightInd/>
      <w:snapToGrid/>
      <w:spacing w:after="0" w:line="360" w:lineRule="auto"/>
      <w:jc w:val="both"/>
      <w:outlineLvl w:val="3"/>
    </w:pPr>
    <w:rPr>
      <w:rFonts w:ascii="Arial" w:hAnsi="Arial" w:eastAsia="宋体" w:cs="Times New Roman"/>
      <w:b/>
      <w:bCs/>
      <w:kern w:val="2"/>
      <w:sz w:val="21"/>
      <w:szCs w:val="28"/>
    </w:rPr>
  </w:style>
  <w:style w:type="character" w:default="1" w:styleId="16">
    <w:name w:val="Default Paragraph Font"/>
    <w:unhideWhenUsed/>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szCs w:val="20"/>
    </w:rPr>
  </w:style>
  <w:style w:type="paragraph" w:styleId="4">
    <w:name w:val="annotation text"/>
    <w:basedOn w:val="1"/>
    <w:link w:val="20"/>
    <w:unhideWhenUsed/>
    <w:qFormat/>
    <w:uiPriority w:val="0"/>
    <w:pPr>
      <w:jc w:val="left"/>
    </w:pPr>
  </w:style>
  <w:style w:type="paragraph" w:styleId="5">
    <w:name w:val="Body Text"/>
    <w:basedOn w:val="1"/>
    <w:next w:val="1"/>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6">
    <w:name w:val="Body Text Indent"/>
    <w:basedOn w:val="1"/>
    <w:next w:val="7"/>
    <w:qFormat/>
    <w:uiPriority w:val="0"/>
    <w:pPr>
      <w:ind w:firstLine="630"/>
    </w:pPr>
    <w:rPr>
      <w:sz w:val="32"/>
    </w:rPr>
  </w:style>
  <w:style w:type="paragraph" w:styleId="7">
    <w:name w:val="envelope return"/>
    <w:basedOn w:val="1"/>
    <w:qFormat/>
    <w:uiPriority w:val="0"/>
    <w:pPr>
      <w:snapToGrid w:val="0"/>
    </w:pPr>
    <w:rPr>
      <w:rFonts w:ascii="Arial" w:hAnsi="Arial"/>
    </w:rPr>
  </w:style>
  <w:style w:type="paragraph" w:styleId="8">
    <w:name w:val="Balloon Text"/>
    <w:basedOn w:val="1"/>
    <w:link w:val="21"/>
    <w:unhideWhenUsed/>
    <w:qFormat/>
    <w:uiPriority w:val="99"/>
    <w:pPr>
      <w:spacing w:after="0"/>
    </w:pPr>
    <w:rPr>
      <w:sz w:val="18"/>
      <w:szCs w:val="18"/>
    </w:rPr>
  </w:style>
  <w:style w:type="paragraph" w:styleId="9">
    <w:name w:val="footer"/>
    <w:basedOn w:val="1"/>
    <w:link w:val="22"/>
    <w:unhideWhenUsed/>
    <w:qFormat/>
    <w:uiPriority w:val="99"/>
    <w:pPr>
      <w:tabs>
        <w:tab w:val="center" w:pos="4153"/>
        <w:tab w:val="right" w:pos="8306"/>
      </w:tabs>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1">
    <w:name w:val="annotation subject"/>
    <w:basedOn w:val="4"/>
    <w:next w:val="4"/>
    <w:link w:val="24"/>
    <w:unhideWhenUsed/>
    <w:qFormat/>
    <w:uiPriority w:val="99"/>
    <w:rPr>
      <w:b/>
      <w:bCs/>
    </w:rPr>
  </w:style>
  <w:style w:type="paragraph" w:styleId="12">
    <w:name w:val="Body Text First Indent"/>
    <w:basedOn w:val="5"/>
    <w:qFormat/>
    <w:uiPriority w:val="0"/>
    <w:pPr>
      <w:spacing w:line="500" w:lineRule="exact"/>
      <w:ind w:firstLine="510"/>
    </w:pPr>
    <w:rPr>
      <w:sz w:val="28"/>
      <w:lang w:val="en-US" w:bidi="ar-SA"/>
    </w:rPr>
  </w:style>
  <w:style w:type="paragraph" w:styleId="13">
    <w:name w:val="Body Text First Indent 2"/>
    <w:basedOn w:val="6"/>
    <w:next w:val="12"/>
    <w:qFormat/>
    <w:uiPriority w:val="0"/>
    <w:pPr>
      <w:ind w:firstLine="420" w:firstLineChars="200"/>
    </w:pPr>
    <w:rPr>
      <w:rFonts w:ascii="Calibri"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unhideWhenUsed/>
    <w:qFormat/>
    <w:uiPriority w:val="0"/>
    <w:rPr>
      <w:sz w:val="21"/>
      <w:szCs w:val="21"/>
    </w:rPr>
  </w:style>
  <w:style w:type="character" w:customStyle="1" w:styleId="19">
    <w:name w:val="标题 4 Char"/>
    <w:basedOn w:val="16"/>
    <w:link w:val="2"/>
    <w:qFormat/>
    <w:uiPriority w:val="0"/>
    <w:rPr>
      <w:rFonts w:ascii="Arial" w:hAnsi="Arial" w:eastAsia="宋体" w:cs="Times New Roman"/>
      <w:b/>
      <w:bCs/>
      <w:kern w:val="2"/>
      <w:sz w:val="21"/>
      <w:szCs w:val="28"/>
    </w:rPr>
  </w:style>
  <w:style w:type="character" w:customStyle="1" w:styleId="20">
    <w:name w:val="批注文字 Char"/>
    <w:basedOn w:val="16"/>
    <w:link w:val="4"/>
    <w:qFormat/>
    <w:uiPriority w:val="0"/>
    <w:rPr>
      <w:rFonts w:ascii="Tahoma" w:hAnsi="Tahoma"/>
      <w:sz w:val="22"/>
      <w:szCs w:val="22"/>
    </w:rPr>
  </w:style>
  <w:style w:type="character" w:customStyle="1" w:styleId="21">
    <w:name w:val="批注框文本 Char"/>
    <w:basedOn w:val="16"/>
    <w:link w:val="8"/>
    <w:semiHidden/>
    <w:qFormat/>
    <w:uiPriority w:val="99"/>
    <w:rPr>
      <w:rFonts w:ascii="Tahoma" w:hAnsi="Tahoma"/>
      <w:sz w:val="18"/>
      <w:szCs w:val="18"/>
    </w:rPr>
  </w:style>
  <w:style w:type="character" w:customStyle="1" w:styleId="22">
    <w:name w:val="页脚 Char"/>
    <w:basedOn w:val="16"/>
    <w:link w:val="9"/>
    <w:semiHidden/>
    <w:qFormat/>
    <w:uiPriority w:val="99"/>
    <w:rPr>
      <w:rFonts w:ascii="Tahoma" w:hAnsi="Tahoma"/>
      <w:sz w:val="18"/>
      <w:szCs w:val="18"/>
    </w:rPr>
  </w:style>
  <w:style w:type="character" w:customStyle="1" w:styleId="23">
    <w:name w:val="页眉 Char"/>
    <w:basedOn w:val="16"/>
    <w:link w:val="10"/>
    <w:semiHidden/>
    <w:qFormat/>
    <w:uiPriority w:val="99"/>
    <w:rPr>
      <w:rFonts w:ascii="Tahoma" w:hAnsi="Tahoma"/>
      <w:sz w:val="18"/>
      <w:szCs w:val="18"/>
    </w:rPr>
  </w:style>
  <w:style w:type="character" w:customStyle="1" w:styleId="24">
    <w:name w:val="批注主题 Char"/>
    <w:basedOn w:val="20"/>
    <w:link w:val="11"/>
    <w:semiHidden/>
    <w:qFormat/>
    <w:uiPriority w:val="99"/>
    <w:rPr>
      <w:b/>
      <w:bCs/>
    </w:rPr>
  </w:style>
  <w:style w:type="paragraph" w:customStyle="1" w:styleId="2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qFormat/>
    <w:uiPriority w:val="0"/>
  </w:style>
  <w:style w:type="character" w:customStyle="1" w:styleId="28">
    <w:name w:val="ca-12"/>
    <w:qFormat/>
    <w:uiPriority w:val="0"/>
    <w:rPr>
      <w:rFonts w:eastAsia="宋体" w:cs="Times New Roman"/>
      <w:kern w:val="2"/>
      <w:sz w:val="24"/>
      <w:szCs w:val="24"/>
      <w:lang w:val="en-US" w:eastAsia="zh-CN" w:bidi="ar-SA"/>
    </w:rPr>
  </w:style>
  <w:style w:type="character" w:customStyle="1" w:styleId="29">
    <w:name w:val="font31"/>
    <w:basedOn w:val="16"/>
    <w:qFormat/>
    <w:uiPriority w:val="0"/>
    <w:rPr>
      <w:rFonts w:hint="eastAsia" w:ascii="宋体" w:hAnsi="宋体" w:eastAsia="宋体"/>
      <w:color w:val="000000"/>
      <w:sz w:val="28"/>
      <w:szCs w:val="28"/>
      <w:u w:val="none"/>
    </w:rPr>
  </w:style>
  <w:style w:type="paragraph" w:styleId="30">
    <w:name w:val="List Paragraph"/>
    <w:basedOn w:val="1"/>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微软雅黑" w:hAnsi="Calibri" w:eastAsia="微软雅黑" w:cs="微软雅黑"/>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692</Words>
  <Characters>707</Characters>
  <Lines>35</Lines>
  <Paragraphs>9</Paragraphs>
  <TotalTime>208</TotalTime>
  <ScaleCrop>false</ScaleCrop>
  <LinksUpToDate>false</LinksUpToDate>
  <CharactersWithSpaces>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周诚淳</cp:lastModifiedBy>
  <dcterms:modified xsi:type="dcterms:W3CDTF">2026-03-02T09:44:13Z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70ADC8EFDBE542FDB0D2501B657B3773_13</vt:lpwstr>
  </property>
  <property fmtid="{D5CDD505-2E9C-101B-9397-08002B2CF9AE}" pid="4" name="KSOTemplateDocerSaveRecord">
    <vt:lpwstr>eyJoZGlkIjoiNDIzMjZiNmYwMDE3NTM0OGEzMmNkOTRhZTFlZThjMWUiLCJ1c2VySWQiOiI0MzE1MzY4MTEifQ==</vt:lpwstr>
  </property>
</Properties>
</file>